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6720" w14:textId="77777777" w:rsidR="002E250C" w:rsidRDefault="002E250C" w:rsidP="002E250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Figure S1. </w:t>
      </w:r>
      <w:proofErr w:type="spellStart"/>
      <w:r>
        <w:rPr>
          <w:b/>
          <w:bCs/>
          <w:lang w:val="en-US"/>
        </w:rPr>
        <w:t>mPFC</w:t>
      </w:r>
      <w:proofErr w:type="spellEnd"/>
      <w:r>
        <w:rPr>
          <w:b/>
          <w:bCs/>
          <w:lang w:val="en-US"/>
        </w:rPr>
        <w:t xml:space="preserve"> pyramidal neurons of susceptible mice display no differences between prelimbic and infralimbic cortex.</w:t>
      </w:r>
    </w:p>
    <w:p w14:paraId="0A2410B1" w14:textId="77777777" w:rsidR="002E250C" w:rsidRPr="0064132C" w:rsidRDefault="002E250C" w:rsidP="002E250C">
      <w:pPr>
        <w:jc w:val="both"/>
        <w:rPr>
          <w:color w:val="000000" w:themeColor="text1"/>
          <w:lang w:val="en-US"/>
        </w:rPr>
      </w:pPr>
      <w:r w:rsidRPr="00D449F6">
        <w:rPr>
          <w:b/>
          <w:lang w:val="en-US"/>
        </w:rPr>
        <w:t>(</w:t>
      </w:r>
      <w:r>
        <w:rPr>
          <w:b/>
          <w:lang w:val="en-US"/>
        </w:rPr>
        <w:t>a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>Summary plot of input resistance.</w:t>
      </w:r>
      <w:r w:rsidRPr="00D449F6">
        <w:rPr>
          <w:b/>
          <w:lang w:val="en-US"/>
        </w:rPr>
        <w:t xml:space="preserve"> (</w:t>
      </w:r>
      <w:r>
        <w:rPr>
          <w:b/>
          <w:lang w:val="en-US"/>
        </w:rPr>
        <w:t>b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resting membrane potential.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c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sag ratio</w:t>
      </w:r>
      <w:r>
        <w:rPr>
          <w:lang w:val="en-US"/>
        </w:rPr>
        <w:t xml:space="preserve">. </w:t>
      </w:r>
      <w:r>
        <w:rPr>
          <w:b/>
          <w:lang w:val="en-US"/>
        </w:rPr>
        <w:t>(d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 xml:space="preserve">Number of APs elicited by increasing injected current.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e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 xml:space="preserve">Summary plot of rheobase. </w:t>
      </w:r>
      <w:r>
        <w:rPr>
          <w:b/>
          <w:lang w:val="en-US"/>
        </w:rPr>
        <w:t>(f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>Summary plot of threshold of the 1</w:t>
      </w:r>
      <w:r w:rsidRPr="00D449F6">
        <w:rPr>
          <w:vertAlign w:val="superscript"/>
          <w:lang w:val="en-US"/>
        </w:rPr>
        <w:t>st</w:t>
      </w:r>
      <w:r w:rsidRPr="00D449F6">
        <w:rPr>
          <w:lang w:val="en-US"/>
        </w:rPr>
        <w:t xml:space="preserve"> action potential.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g</w:t>
      </w:r>
      <w:r w:rsidRPr="00D449F6">
        <w:rPr>
          <w:b/>
          <w:lang w:val="en-US"/>
        </w:rPr>
        <w:t xml:space="preserve">) </w:t>
      </w:r>
      <w:r>
        <w:rPr>
          <w:bCs/>
          <w:lang w:val="en-US"/>
        </w:rPr>
        <w:t xml:space="preserve">Summary plot of amplitude of the </w:t>
      </w:r>
      <w:r w:rsidRPr="00D449F6">
        <w:rPr>
          <w:lang w:val="en-US"/>
        </w:rPr>
        <w:t>1</w:t>
      </w:r>
      <w:r w:rsidRPr="00D449F6">
        <w:rPr>
          <w:vertAlign w:val="superscript"/>
          <w:lang w:val="en-US"/>
        </w:rPr>
        <w:t>st</w:t>
      </w:r>
      <w:r w:rsidRPr="00D449F6">
        <w:rPr>
          <w:lang w:val="en-US"/>
        </w:rPr>
        <w:t xml:space="preserve"> action potential.</w:t>
      </w:r>
      <w:r>
        <w:rPr>
          <w:lang w:val="en-US"/>
        </w:rPr>
        <w:t xml:space="preserve">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h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AHP amplitude.</w:t>
      </w:r>
      <w:r>
        <w:rPr>
          <w:lang w:val="en-US"/>
        </w:rPr>
        <w:t xml:space="preserve"> </w:t>
      </w:r>
      <w:r w:rsidRPr="0064132C">
        <w:rPr>
          <w:b/>
          <w:lang w:val="en-US"/>
        </w:rPr>
        <w:t>(</w:t>
      </w:r>
      <w:proofErr w:type="spellStart"/>
      <w:r>
        <w:rPr>
          <w:b/>
          <w:lang w:val="en-US"/>
        </w:rPr>
        <w:t>i</w:t>
      </w:r>
      <w:proofErr w:type="spellEnd"/>
      <w:r w:rsidRPr="0064132C">
        <w:rPr>
          <w:b/>
          <w:lang w:val="en-US"/>
        </w:rPr>
        <w:t xml:space="preserve">) </w:t>
      </w:r>
      <w:r w:rsidRPr="0064132C">
        <w:rPr>
          <w:lang w:val="en-US"/>
        </w:rPr>
        <w:t xml:space="preserve">Summary plot of ISIs. </w:t>
      </w:r>
      <w:r w:rsidRPr="0064132C">
        <w:rPr>
          <w:b/>
          <w:lang w:val="en-US"/>
        </w:rPr>
        <w:t>(</w:t>
      </w:r>
      <w:r>
        <w:rPr>
          <w:b/>
          <w:lang w:val="en-US"/>
        </w:rPr>
        <w:t>l</w:t>
      </w:r>
      <w:r w:rsidRPr="0064132C">
        <w:rPr>
          <w:b/>
          <w:lang w:val="en-US"/>
        </w:rPr>
        <w:t xml:space="preserve">) </w:t>
      </w:r>
      <w:r w:rsidRPr="0064132C">
        <w:rPr>
          <w:lang w:val="en-US"/>
        </w:rPr>
        <w:t xml:space="preserve">Summary plot of ISI coefficient </w:t>
      </w:r>
      <w:r>
        <w:rPr>
          <w:lang w:val="en-US"/>
        </w:rPr>
        <w:t xml:space="preserve">of </w:t>
      </w:r>
      <w:r w:rsidRPr="0064132C">
        <w:rPr>
          <w:lang w:val="en-US"/>
        </w:rPr>
        <w:t>variation</w:t>
      </w:r>
      <w:r w:rsidRPr="0064132C">
        <w:rPr>
          <w:b/>
          <w:lang w:val="en-US"/>
        </w:rPr>
        <w:t>.</w:t>
      </w:r>
      <w:r w:rsidRPr="00D449F6">
        <w:rPr>
          <w:lang w:val="en-US"/>
        </w:rPr>
        <w:t xml:space="preserve"> </w:t>
      </w:r>
      <w:r>
        <w:rPr>
          <w:color w:val="000000" w:themeColor="text1"/>
          <w:lang w:val="en-US"/>
        </w:rPr>
        <w:t>Not significant p values are not displayed.</w:t>
      </w:r>
      <w:r w:rsidRPr="0064132C">
        <w:rPr>
          <w:lang w:val="en-US"/>
        </w:rPr>
        <w:t xml:space="preserve"> </w:t>
      </w:r>
      <w:r w:rsidRPr="0064132C">
        <w:rPr>
          <w:color w:val="000000" w:themeColor="text1"/>
          <w:lang w:val="en-US"/>
        </w:rPr>
        <w:t>Data are presented as mean ± SEM.</w:t>
      </w:r>
    </w:p>
    <w:p w14:paraId="24A11684" w14:textId="77777777" w:rsidR="002E250C" w:rsidRDefault="002E250C" w:rsidP="002E250C">
      <w:pPr>
        <w:rPr>
          <w:lang w:val="en-US"/>
        </w:rPr>
      </w:pPr>
    </w:p>
    <w:p w14:paraId="52E992FB" w14:textId="77777777" w:rsidR="002E250C" w:rsidRDefault="002E250C" w:rsidP="002E250C">
      <w:pPr>
        <w:rPr>
          <w:lang w:val="en-US"/>
        </w:rPr>
      </w:pPr>
    </w:p>
    <w:p w14:paraId="65B87688" w14:textId="77777777" w:rsidR="002E250C" w:rsidRDefault="002E250C" w:rsidP="002E250C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Figure S2. </w:t>
      </w:r>
      <w:proofErr w:type="spellStart"/>
      <w:r>
        <w:rPr>
          <w:b/>
          <w:bCs/>
          <w:lang w:val="en-US"/>
        </w:rPr>
        <w:t>mPFC</w:t>
      </w:r>
      <w:proofErr w:type="spellEnd"/>
      <w:r>
        <w:rPr>
          <w:b/>
          <w:bCs/>
          <w:lang w:val="en-US"/>
        </w:rPr>
        <w:t xml:space="preserve"> pyramidal neurons of resilient mice display no differences between prelimbic and infralimbic cortex.</w:t>
      </w:r>
    </w:p>
    <w:p w14:paraId="70A826F4" w14:textId="77777777" w:rsidR="002E250C" w:rsidRPr="0064132C" w:rsidRDefault="002E250C" w:rsidP="002E250C">
      <w:pPr>
        <w:jc w:val="both"/>
        <w:rPr>
          <w:color w:val="000000" w:themeColor="text1"/>
          <w:lang w:val="en-US"/>
        </w:rPr>
      </w:pPr>
      <w:r w:rsidRPr="00D449F6">
        <w:rPr>
          <w:b/>
          <w:lang w:val="en-US"/>
        </w:rPr>
        <w:t>(</w:t>
      </w:r>
      <w:r>
        <w:rPr>
          <w:b/>
          <w:lang w:val="en-US"/>
        </w:rPr>
        <w:t>a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>Summary plot of input resistance.</w:t>
      </w:r>
      <w:r w:rsidRPr="00D449F6">
        <w:rPr>
          <w:b/>
          <w:lang w:val="en-US"/>
        </w:rPr>
        <w:t xml:space="preserve"> (</w:t>
      </w:r>
      <w:r>
        <w:rPr>
          <w:b/>
          <w:lang w:val="en-US"/>
        </w:rPr>
        <w:t>b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resting membrane potential.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c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sag ratio</w:t>
      </w:r>
      <w:r>
        <w:rPr>
          <w:lang w:val="en-US"/>
        </w:rPr>
        <w:t xml:space="preserve">. </w:t>
      </w:r>
      <w:r>
        <w:rPr>
          <w:b/>
          <w:lang w:val="en-US"/>
        </w:rPr>
        <w:t>(d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 xml:space="preserve">Number of APs elicited by increasing injected current.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e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 xml:space="preserve">Summary plot of rheobase. </w:t>
      </w:r>
      <w:r>
        <w:rPr>
          <w:b/>
          <w:lang w:val="en-US"/>
        </w:rPr>
        <w:t>(f</w:t>
      </w:r>
      <w:r w:rsidRPr="00D449F6">
        <w:rPr>
          <w:b/>
          <w:lang w:val="en-US"/>
        </w:rPr>
        <w:t xml:space="preserve">) </w:t>
      </w:r>
      <w:r w:rsidRPr="00D449F6">
        <w:rPr>
          <w:lang w:val="en-US"/>
        </w:rPr>
        <w:t>Summary plot of threshold of the 1</w:t>
      </w:r>
      <w:r w:rsidRPr="00D449F6">
        <w:rPr>
          <w:vertAlign w:val="superscript"/>
          <w:lang w:val="en-US"/>
        </w:rPr>
        <w:t>st</w:t>
      </w:r>
      <w:r w:rsidRPr="00D449F6">
        <w:rPr>
          <w:lang w:val="en-US"/>
        </w:rPr>
        <w:t xml:space="preserve"> action potential.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g</w:t>
      </w:r>
      <w:r w:rsidRPr="00D449F6">
        <w:rPr>
          <w:b/>
          <w:lang w:val="en-US"/>
        </w:rPr>
        <w:t xml:space="preserve">) </w:t>
      </w:r>
      <w:r>
        <w:rPr>
          <w:bCs/>
          <w:lang w:val="en-US"/>
        </w:rPr>
        <w:t xml:space="preserve">Summary plot of amplitude of the </w:t>
      </w:r>
      <w:r w:rsidRPr="00D449F6">
        <w:rPr>
          <w:lang w:val="en-US"/>
        </w:rPr>
        <w:t>1</w:t>
      </w:r>
      <w:r w:rsidRPr="00D449F6">
        <w:rPr>
          <w:vertAlign w:val="superscript"/>
          <w:lang w:val="en-US"/>
        </w:rPr>
        <w:t>st</w:t>
      </w:r>
      <w:r w:rsidRPr="00D449F6">
        <w:rPr>
          <w:lang w:val="en-US"/>
        </w:rPr>
        <w:t xml:space="preserve"> action potential.</w:t>
      </w:r>
      <w:r>
        <w:rPr>
          <w:lang w:val="en-US"/>
        </w:rPr>
        <w:t xml:space="preserve"> </w:t>
      </w:r>
      <w:r w:rsidRPr="00D449F6">
        <w:rPr>
          <w:b/>
          <w:lang w:val="en-US"/>
        </w:rPr>
        <w:t>(</w:t>
      </w:r>
      <w:r>
        <w:rPr>
          <w:b/>
          <w:lang w:val="en-US"/>
        </w:rPr>
        <w:t>h</w:t>
      </w:r>
      <w:r w:rsidRPr="00D449F6">
        <w:rPr>
          <w:b/>
          <w:lang w:val="en-US"/>
        </w:rPr>
        <w:t>)</w:t>
      </w:r>
      <w:r w:rsidRPr="00D449F6">
        <w:rPr>
          <w:lang w:val="en-US"/>
        </w:rPr>
        <w:t xml:space="preserve"> Summary plot of AHP amplitude.</w:t>
      </w:r>
      <w:r>
        <w:rPr>
          <w:lang w:val="en-US"/>
        </w:rPr>
        <w:t xml:space="preserve"> </w:t>
      </w:r>
      <w:r w:rsidRPr="0064132C">
        <w:rPr>
          <w:b/>
          <w:lang w:val="en-US"/>
        </w:rPr>
        <w:t>(</w:t>
      </w:r>
      <w:proofErr w:type="spellStart"/>
      <w:r>
        <w:rPr>
          <w:b/>
          <w:lang w:val="en-US"/>
        </w:rPr>
        <w:t>i</w:t>
      </w:r>
      <w:proofErr w:type="spellEnd"/>
      <w:r w:rsidRPr="0064132C">
        <w:rPr>
          <w:b/>
          <w:lang w:val="en-US"/>
        </w:rPr>
        <w:t xml:space="preserve">) </w:t>
      </w:r>
      <w:r w:rsidRPr="0064132C">
        <w:rPr>
          <w:lang w:val="en-US"/>
        </w:rPr>
        <w:t xml:space="preserve">Summary plot of ISIs. </w:t>
      </w:r>
      <w:r w:rsidRPr="0064132C">
        <w:rPr>
          <w:b/>
          <w:lang w:val="en-US"/>
        </w:rPr>
        <w:t>(</w:t>
      </w:r>
      <w:r>
        <w:rPr>
          <w:b/>
          <w:lang w:val="en-US"/>
        </w:rPr>
        <w:t>l</w:t>
      </w:r>
      <w:r w:rsidRPr="0064132C">
        <w:rPr>
          <w:b/>
          <w:lang w:val="en-US"/>
        </w:rPr>
        <w:t xml:space="preserve">) </w:t>
      </w:r>
      <w:r w:rsidRPr="0064132C">
        <w:rPr>
          <w:lang w:val="en-US"/>
        </w:rPr>
        <w:t xml:space="preserve">Summary plot of ISI coefficient </w:t>
      </w:r>
      <w:r>
        <w:rPr>
          <w:lang w:val="en-US"/>
        </w:rPr>
        <w:t xml:space="preserve">of </w:t>
      </w:r>
      <w:r w:rsidRPr="0064132C">
        <w:rPr>
          <w:lang w:val="en-US"/>
        </w:rPr>
        <w:t>variation</w:t>
      </w:r>
      <w:r w:rsidRPr="0064132C">
        <w:rPr>
          <w:b/>
          <w:lang w:val="en-US"/>
        </w:rPr>
        <w:t>.</w:t>
      </w:r>
      <w:r w:rsidRPr="00D449F6">
        <w:rPr>
          <w:lang w:val="en-US"/>
        </w:rPr>
        <w:t xml:space="preserve"> *</w:t>
      </w:r>
      <w:r>
        <w:rPr>
          <w:lang w:val="en-US"/>
        </w:rPr>
        <w:t>t test</w:t>
      </w:r>
      <w:r w:rsidRPr="00D449F6">
        <w:rPr>
          <w:lang w:val="en-US"/>
        </w:rPr>
        <w:t xml:space="preserve"> p&lt;0.05</w:t>
      </w:r>
      <w:r>
        <w:rPr>
          <w:lang w:val="en-US"/>
        </w:rPr>
        <w:t xml:space="preserve">. </w:t>
      </w:r>
      <w:r>
        <w:rPr>
          <w:color w:val="000000" w:themeColor="text1"/>
          <w:lang w:val="en-US"/>
        </w:rPr>
        <w:t>Not significant p values are not displayed.</w:t>
      </w:r>
      <w:r w:rsidRPr="0064132C">
        <w:rPr>
          <w:lang w:val="en-US"/>
        </w:rPr>
        <w:t xml:space="preserve"> </w:t>
      </w:r>
      <w:r w:rsidRPr="0064132C">
        <w:rPr>
          <w:color w:val="000000" w:themeColor="text1"/>
          <w:lang w:val="en-US"/>
        </w:rPr>
        <w:t>Data are presented as mean ± SEM.</w:t>
      </w:r>
    </w:p>
    <w:p w14:paraId="7DEB5FE3" w14:textId="77777777" w:rsidR="002E250C" w:rsidRDefault="002E250C" w:rsidP="002E250C">
      <w:pPr>
        <w:rPr>
          <w:lang w:val="en-US"/>
        </w:rPr>
      </w:pPr>
    </w:p>
    <w:p w14:paraId="49CA9468" w14:textId="77777777" w:rsidR="002E250C" w:rsidRPr="00443459" w:rsidRDefault="002E250C" w:rsidP="002E250C">
      <w:pPr>
        <w:pStyle w:val="NormaleWeb"/>
        <w:spacing w:before="0" w:beforeAutospacing="0" w:after="0" w:afterAutospacing="0"/>
        <w:rPr>
          <w:lang w:val="en-US"/>
        </w:rPr>
      </w:pPr>
      <w:r w:rsidRPr="00443459">
        <w:rPr>
          <w:b/>
          <w:bCs/>
          <w:color w:val="000000"/>
          <w:lang w:val="en-US"/>
        </w:rPr>
        <w:t>Figure S3. Prelimbic and infralimbic pyramidal neurons of susceptible mice exhibit reduced excitability.</w:t>
      </w:r>
    </w:p>
    <w:p w14:paraId="7BAC26E1" w14:textId="77777777" w:rsidR="002E250C" w:rsidRPr="00443459" w:rsidRDefault="002E250C" w:rsidP="002E250C">
      <w:pPr>
        <w:pStyle w:val="NormaleWeb"/>
        <w:spacing w:before="0" w:beforeAutospacing="0" w:after="0" w:afterAutospacing="0"/>
        <w:rPr>
          <w:lang w:val="en-US"/>
        </w:rPr>
      </w:pPr>
      <w:r w:rsidRPr="00443459">
        <w:rPr>
          <w:b/>
          <w:bCs/>
          <w:color w:val="000000"/>
          <w:lang w:val="en-US"/>
        </w:rPr>
        <w:t xml:space="preserve">(a) </w:t>
      </w:r>
      <w:r w:rsidRPr="00443459">
        <w:rPr>
          <w:color w:val="000000"/>
          <w:lang w:val="en-US"/>
        </w:rPr>
        <w:t xml:space="preserve">Number of action potentials elicited by current steps in the prelimbic cortex. </w:t>
      </w:r>
      <w:r w:rsidRPr="00443459">
        <w:rPr>
          <w:b/>
          <w:bCs/>
          <w:color w:val="000000"/>
          <w:lang w:val="en-US"/>
        </w:rPr>
        <w:t xml:space="preserve">(b) </w:t>
      </w:r>
      <w:r w:rsidRPr="00443459">
        <w:rPr>
          <w:color w:val="000000"/>
          <w:lang w:val="en-US"/>
        </w:rPr>
        <w:t xml:space="preserve">Number of action potentials elicited by current steps in the infralimbic cortex. </w:t>
      </w:r>
      <w:r w:rsidRPr="00443459">
        <w:rPr>
          <w:color w:val="000000"/>
          <w:sz w:val="14"/>
          <w:szCs w:val="14"/>
          <w:vertAlign w:val="superscript"/>
          <w:lang w:val="en-US"/>
        </w:rPr>
        <w:t>####</w:t>
      </w:r>
      <w:r w:rsidRPr="00443459">
        <w:rPr>
          <w:color w:val="000000"/>
          <w:lang w:val="en-US"/>
        </w:rPr>
        <w:t>two-way ANOVA p&lt;0.0001. Data are presented as mean ± SEM.</w:t>
      </w:r>
    </w:p>
    <w:p w14:paraId="165C826C" w14:textId="77777777" w:rsidR="002E250C" w:rsidRDefault="002E250C" w:rsidP="002E250C">
      <w:pPr>
        <w:rPr>
          <w:lang w:val="en-US"/>
        </w:rPr>
      </w:pPr>
    </w:p>
    <w:p w14:paraId="760B1D5D" w14:textId="2F79BFC7" w:rsidR="002E250C" w:rsidRDefault="002E250C">
      <w:pPr>
        <w:spacing w:after="160" w:line="278" w:lineRule="auto"/>
        <w:rPr>
          <w:lang w:val="en-US"/>
        </w:rPr>
      </w:pPr>
      <w:r>
        <w:rPr>
          <w:lang w:val="en-US"/>
        </w:rPr>
        <w:br w:type="page"/>
      </w:r>
    </w:p>
    <w:p w14:paraId="6CBEFCB2" w14:textId="77777777" w:rsidR="002E250C" w:rsidRDefault="002E250C" w:rsidP="002E250C">
      <w:pPr>
        <w:rPr>
          <w:lang w:val="en-US"/>
        </w:rPr>
      </w:pPr>
    </w:p>
    <w:p w14:paraId="623783E8" w14:textId="77777777" w:rsidR="002E250C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Figure 1</w:t>
      </w:r>
    </w:p>
    <w:p w14:paraId="190EA75E" w14:textId="77777777" w:rsidR="002E250C" w:rsidRDefault="002E250C" w:rsidP="002E250C">
      <w:pPr>
        <w:rPr>
          <w:lang w:val="en-US"/>
        </w:rPr>
      </w:pPr>
    </w:p>
    <w:p w14:paraId="36F19F0B" w14:textId="77777777" w:rsidR="002E250C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200B67FC" wp14:editId="25364ECC">
            <wp:extent cx="4402957" cy="7431801"/>
            <wp:effectExtent l="0" t="0" r="4445" b="0"/>
            <wp:docPr id="1321040820" name="Picture 10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040820" name="Picture 10" descr="A collage of graphs and diagr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306" cy="7437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F277C" w14:textId="50392B7B" w:rsidR="002E250C" w:rsidRDefault="002E250C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C45EB32" w14:textId="77777777" w:rsidR="002E250C" w:rsidRDefault="002E250C" w:rsidP="002E250C">
      <w:pPr>
        <w:jc w:val="both"/>
        <w:rPr>
          <w:b/>
          <w:bCs/>
          <w:lang w:val="en-US"/>
        </w:rPr>
      </w:pPr>
    </w:p>
    <w:p w14:paraId="394AAC9E" w14:textId="77777777" w:rsidR="002E250C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Figure 2</w:t>
      </w:r>
    </w:p>
    <w:p w14:paraId="00CD0AE2" w14:textId="6A25F99D" w:rsidR="002E250C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670BD1D9" wp14:editId="4B7E71BC">
            <wp:extent cx="4647110" cy="7890510"/>
            <wp:effectExtent l="0" t="0" r="1270" b="0"/>
            <wp:docPr id="652976768" name="Picture 11" descr="Immagine che contiene diagramma, linea, Piano, Disegno tecn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magine che contiene diagramma, linea, Piano, Disegno tecnic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205" cy="790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5F591" w14:textId="77777777" w:rsidR="002E250C" w:rsidRDefault="002E250C">
      <w:pPr>
        <w:spacing w:after="160" w:line="278" w:lineRule="auto"/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5A8071F" w14:textId="77777777" w:rsidR="002E250C" w:rsidRDefault="002E250C" w:rsidP="002E250C">
      <w:pPr>
        <w:jc w:val="both"/>
        <w:rPr>
          <w:b/>
          <w:bCs/>
          <w:lang w:val="en-US"/>
        </w:rPr>
      </w:pPr>
    </w:p>
    <w:p w14:paraId="55273FA4" w14:textId="77777777" w:rsidR="002E250C" w:rsidRDefault="002E250C" w:rsidP="002E250C">
      <w:pPr>
        <w:jc w:val="both"/>
        <w:rPr>
          <w:b/>
          <w:bCs/>
          <w:lang w:val="en-US"/>
        </w:rPr>
      </w:pPr>
    </w:p>
    <w:p w14:paraId="5DC1519E" w14:textId="77777777" w:rsidR="002E250C" w:rsidRDefault="002E250C" w:rsidP="002E250C">
      <w:pPr>
        <w:jc w:val="both"/>
        <w:rPr>
          <w:b/>
          <w:bCs/>
          <w:lang w:val="en-US"/>
        </w:rPr>
      </w:pPr>
    </w:p>
    <w:p w14:paraId="5C64F3F0" w14:textId="77777777" w:rsidR="002E250C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Supplementary Figure 3</w:t>
      </w:r>
    </w:p>
    <w:p w14:paraId="27EF1A5A" w14:textId="77777777" w:rsidR="002E250C" w:rsidRDefault="002E250C" w:rsidP="002E250C">
      <w:pPr>
        <w:jc w:val="both"/>
        <w:rPr>
          <w:b/>
          <w:bCs/>
          <w:lang w:val="en-US"/>
        </w:rPr>
      </w:pPr>
    </w:p>
    <w:p w14:paraId="1AD2B235" w14:textId="77777777" w:rsidR="002E250C" w:rsidRPr="00BE6CAB" w:rsidRDefault="002E250C" w:rsidP="002E250C">
      <w:pPr>
        <w:jc w:val="both"/>
        <w:rPr>
          <w:b/>
          <w:bCs/>
          <w:lang w:val="en-US"/>
        </w:rPr>
      </w:pPr>
      <w:r>
        <w:rPr>
          <w:b/>
          <w:bCs/>
          <w:noProof/>
          <w:color w:val="000000"/>
          <w:bdr w:val="none" w:sz="0" w:space="0" w:color="auto" w:frame="1"/>
        </w:rPr>
        <w:drawing>
          <wp:inline distT="0" distB="0" distL="0" distR="0" wp14:anchorId="4CDE1575" wp14:editId="7EEA1360">
            <wp:extent cx="5408295" cy="7402830"/>
            <wp:effectExtent l="0" t="0" r="1905" b="1270"/>
            <wp:docPr id="724546110" name="Picture 12" descr="A comparison of different types of rea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546110" name="Picture 12" descr="A comparison of different types of rea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295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12F54" w14:textId="77777777" w:rsidR="002E250C" w:rsidRPr="00443459" w:rsidRDefault="002E250C" w:rsidP="002E250C">
      <w:pPr>
        <w:rPr>
          <w:lang w:val="en-US"/>
        </w:rPr>
      </w:pPr>
    </w:p>
    <w:p w14:paraId="7EB37129" w14:textId="77777777" w:rsidR="002E250C" w:rsidRPr="002E250C" w:rsidRDefault="002E250C">
      <w:pPr>
        <w:rPr>
          <w:lang w:val="en-US"/>
        </w:rPr>
      </w:pPr>
    </w:p>
    <w:sectPr w:rsidR="002E250C" w:rsidRPr="002E250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50C"/>
    <w:rsid w:val="002E250C"/>
    <w:rsid w:val="0042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17E44829"/>
  <w15:chartTrackingRefBased/>
  <w15:docId w15:val="{81F376C2-E269-A844-A0F9-4AC225F5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250C"/>
    <w:pPr>
      <w:spacing w:after="0" w:line="240" w:lineRule="auto"/>
    </w:pPr>
    <w:rPr>
      <w:rFonts w:ascii="Times New Roman" w:eastAsia="Times New Roman" w:hAnsi="Times New Roman" w:cs="Times New Roman"/>
      <w:kern w:val="0"/>
      <w:lang w:val="it-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E250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it-US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250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it-US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250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it-US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E250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it-US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E250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it-US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E250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it-US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E250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it-US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E250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it-US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E250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it-US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E2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E2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2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E250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E250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E25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E25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E25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E25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25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US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E2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E250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US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E2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E250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it-US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E25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E250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it-US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E250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E2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it-US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E250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E250C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2E250C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Eriola Hoxha</dc:creator>
  <cp:keywords/>
  <dc:description/>
  <cp:lastModifiedBy>Eriola Hoxha</cp:lastModifiedBy>
  <cp:revision>1</cp:revision>
  <dcterms:created xsi:type="dcterms:W3CDTF">2025-09-21T09:47:00Z</dcterms:created>
  <dcterms:modified xsi:type="dcterms:W3CDTF">2025-09-21T09:49:00Z</dcterms:modified>
</cp:coreProperties>
</file>