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7CD1A">
      <w:pPr>
        <w:keepNext w:val="0"/>
        <w:keepLines w:val="0"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eastAsia"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upplement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figure 1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Identification of six immune cell subsets in SKCM</w:t>
      </w:r>
    </w:p>
    <w:p w14:paraId="2F2CD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The original dataset comprising three samples was merged, and batch effect correction was performed using CCA, resulting in 28,812 cells and 22,780 genes (1A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 xml:space="preserve"> 1B). Following quality control filtering, the dataset retained 27,748 cells and 22,780 genes (1C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1D). Hypervariable genes were identified and visualized via eigenvariance plots. Principal component analysis (PCA) was then conducted, and the top 50 principal components were selected for downstream</w:t>
      </w:r>
      <w:bookmarkStart w:id="0" w:name="_GoBack"/>
      <w:bookmarkEnd w:id="0"/>
      <w:r>
        <w:rPr>
          <w:rFonts w:hint="eastAsia" w:ascii="Times New Roman" w:hAnsi="Times New Roman" w:cs="Times New Roman"/>
          <w:color w:val="auto"/>
          <w:sz w:val="24"/>
          <w:szCs w:val="24"/>
        </w:rPr>
        <w:t xml:space="preserve"> analyses (1E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1F).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55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2025-09-04T09:10:09Z</dcterms:created>
  <dc:creator>Administrator</dc:creator>
  <cp:lastModifiedBy>WPS_1633767916</cp:lastModifiedBy>
  <dcterms:modified xsi:type="dcterms:W3CDTF">2025-09-04T09:12:16Z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eyJoZGlkIjoiMTU5OTQwZmY3OWYwMDYxZGU0YThiNDQ4OWNkODc5NTIiLCJ1c2VySWQiOiIxMjgyMzY3OTA2In0=</vt:lpwstr>
  </property>
  <property fmtid="{D5CDD505-2E9C-101B-9397-08002B2CF9AE}" pid="4" name="ICV">
    <vt:lpwstr>17FFF930582C4EB2A78ACA77297AC664_12</vt:lpwstr>
  </property>
</Properties>
</file>