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5698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87F769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4205A778" wp14:editId="6DF673D8">
            <wp:extent cx="2247900" cy="1676400"/>
            <wp:effectExtent l="0" t="0" r="0" b="0"/>
            <wp:docPr id="1746301534" name="Picture 16" descr="A graph showing the number of data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8D3B3D1-798E-415A-80A6-F46DF2F4B1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301534" name="Picture 16" descr="A graph showing the number of data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B4A18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1C6311D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13724">
        <w:rPr>
          <w:rFonts w:ascii="Arial" w:hAnsi="Arial" w:cs="Arial"/>
          <w:b/>
          <w:sz w:val="22"/>
          <w:szCs w:val="22"/>
        </w:rPr>
        <w:t xml:space="preserve">Supplementary Figure 1 </w:t>
      </w:r>
      <w:r w:rsidRPr="00313724">
        <w:rPr>
          <w:rFonts w:ascii="Arial" w:eastAsiaTheme="majorEastAsia" w:hAnsi="Arial" w:cs="Arial"/>
          <w:b/>
          <w:sz w:val="22"/>
          <w:szCs w:val="22"/>
        </w:rPr>
        <w:t>| Relationship between flow cell pore availability and sequencing</w:t>
      </w:r>
      <w:r w:rsidRPr="00A03056">
        <w:rPr>
          <w:rFonts w:ascii="Arial" w:eastAsiaTheme="majorEastAsia" w:hAnsi="Arial" w:cs="Arial"/>
          <w:b/>
          <w:bCs/>
          <w:sz w:val="22"/>
          <w:szCs w:val="22"/>
        </w:rPr>
        <w:t xml:space="preserve"> </w:t>
      </w:r>
      <w:r w:rsidRPr="00313724">
        <w:rPr>
          <w:rFonts w:ascii="Arial" w:eastAsiaTheme="majorEastAsia" w:hAnsi="Arial" w:cs="Arial"/>
          <w:b/>
          <w:sz w:val="22"/>
          <w:szCs w:val="22"/>
        </w:rPr>
        <w:t>yield.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2E676B">
        <w:rPr>
          <w:rFonts w:ascii="Arial" w:hAnsi="Arial" w:cs="Arial"/>
          <w:sz w:val="22"/>
          <w:szCs w:val="22"/>
        </w:rPr>
        <w:t>Scatter plot showing sequencing yield (</w:t>
      </w:r>
      <w:proofErr w:type="spellStart"/>
      <w:r w:rsidRPr="002E676B">
        <w:rPr>
          <w:rFonts w:ascii="Arial" w:hAnsi="Arial" w:cs="Arial"/>
          <w:sz w:val="22"/>
          <w:szCs w:val="22"/>
        </w:rPr>
        <w:t>gigabases</w:t>
      </w:r>
      <w:proofErr w:type="spellEnd"/>
      <w:r w:rsidRPr="002E676B">
        <w:rPr>
          <w:rFonts w:ascii="Arial" w:hAnsi="Arial" w:cs="Arial"/>
          <w:sz w:val="22"/>
          <w:szCs w:val="22"/>
        </w:rPr>
        <w:t xml:space="preserve">, Gb) as a function of the number of available pores at the start of each run (n = 10). Each data point represents a sequencing run that included both </w:t>
      </w:r>
      <w:r w:rsidRPr="1BD538A4">
        <w:rPr>
          <w:rFonts w:ascii="Arial" w:hAnsi="Arial" w:cs="Arial"/>
          <w:sz w:val="22"/>
          <w:szCs w:val="22"/>
        </w:rPr>
        <w:t>W</w:t>
      </w:r>
      <w:r w:rsidRPr="002E676B">
        <w:rPr>
          <w:rFonts w:ascii="Arial" w:hAnsi="Arial" w:cs="Arial"/>
          <w:sz w:val="22"/>
          <w:szCs w:val="22"/>
        </w:rPr>
        <w:t>hole</w:t>
      </w:r>
      <w:r w:rsidRPr="13BEDF3A">
        <w:rPr>
          <w:rFonts w:ascii="Arial" w:hAnsi="Arial" w:cs="Arial"/>
          <w:sz w:val="22"/>
          <w:szCs w:val="22"/>
        </w:rPr>
        <w:t xml:space="preserve"> G</w:t>
      </w:r>
      <w:r w:rsidRPr="002E676B">
        <w:rPr>
          <w:rFonts w:ascii="Arial" w:hAnsi="Arial" w:cs="Arial"/>
          <w:sz w:val="22"/>
          <w:szCs w:val="22"/>
        </w:rPr>
        <w:t xml:space="preserve">enome </w:t>
      </w:r>
      <w:r w:rsidRPr="1BD538A4">
        <w:rPr>
          <w:rFonts w:ascii="Arial" w:hAnsi="Arial" w:cs="Arial"/>
          <w:sz w:val="22"/>
          <w:szCs w:val="22"/>
        </w:rPr>
        <w:t>S</w:t>
      </w:r>
      <w:r w:rsidRPr="002E676B">
        <w:rPr>
          <w:rFonts w:ascii="Arial" w:hAnsi="Arial" w:cs="Arial"/>
          <w:sz w:val="22"/>
          <w:szCs w:val="22"/>
        </w:rPr>
        <w:t>equencing (WGS) and adaptive sampling phases. Total yield (red) and passed yield (blue) are shown. A weak but statistically significant positive correlation (Pearson’s r) was observed for both total (R² = 0.67, p = 0.0036) and passed yield (R² = 0.66, p = 0.0043), indicating that higher pore availability is associated with increased sequencing output.</w:t>
      </w:r>
    </w:p>
    <w:p w14:paraId="5B5720CA" w14:textId="77777777" w:rsidR="00EA204E" w:rsidRDefault="00EA204E" w:rsidP="00EA204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891DDF1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EFC4A5B" w14:textId="77777777" w:rsidR="00EA204E" w:rsidRPr="002E676B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BD5CCD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E9DF2D9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22C709BA" wp14:editId="48CCD965">
            <wp:extent cx="5731510" cy="915670"/>
            <wp:effectExtent l="0" t="0" r="0" b="0"/>
            <wp:docPr id="720013787" name="Picture 18" descr="A graph with a number of black and white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F2BFDCB-6F2D-4559-866E-94514C4347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013787" name="Picture 18" descr="A graph with a number of black and white lin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1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A4885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51C3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Pr="55F69C3B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 xml:space="preserve"> |</w:t>
      </w:r>
      <w:r w:rsidRPr="00BB51C3">
        <w:rPr>
          <w:rFonts w:ascii="Arial" w:hAnsi="Arial" w:cs="Arial"/>
          <w:b/>
          <w:bCs/>
          <w:sz w:val="22"/>
          <w:szCs w:val="22"/>
        </w:rPr>
        <w:t xml:space="preserve"> Average autosomal depth of coverage across samples. </w:t>
      </w:r>
      <w:r w:rsidRPr="002E676B">
        <w:rPr>
          <w:rFonts w:ascii="Arial" w:hAnsi="Arial" w:cs="Arial"/>
          <w:sz w:val="22"/>
          <w:szCs w:val="22"/>
        </w:rPr>
        <w:t xml:space="preserve">Boxplots showing the mean depth of coverage for all on- and off-target regions, based on SUP </w:t>
      </w:r>
      <w:proofErr w:type="spellStart"/>
      <w:r w:rsidRPr="002E676B">
        <w:rPr>
          <w:rFonts w:ascii="Arial" w:hAnsi="Arial" w:cs="Arial"/>
          <w:sz w:val="22"/>
          <w:szCs w:val="22"/>
        </w:rPr>
        <w:t>basecalled</w:t>
      </w:r>
      <w:proofErr w:type="spellEnd"/>
      <w:r w:rsidRPr="002E676B">
        <w:rPr>
          <w:rFonts w:ascii="Arial" w:hAnsi="Arial" w:cs="Arial"/>
          <w:sz w:val="22"/>
          <w:szCs w:val="22"/>
        </w:rPr>
        <w:t xml:space="preserve"> reads from 3-plex adaptive sampling runs. Samples are grouped by input DNA amount (800 ng and 1000 ng). Boxplots show median, IQR; whiskers extend to 1.5</w:t>
      </w:r>
      <w:r>
        <w:rPr>
          <w:rFonts w:ascii="Arial" w:hAnsi="Arial" w:cs="Arial"/>
          <w:sz w:val="22"/>
          <w:szCs w:val="22"/>
        </w:rPr>
        <w:t>x</w:t>
      </w:r>
      <w:r w:rsidRPr="002E676B">
        <w:rPr>
          <w:rFonts w:ascii="Arial" w:hAnsi="Arial" w:cs="Arial"/>
          <w:sz w:val="22"/>
          <w:szCs w:val="22"/>
        </w:rPr>
        <w:t xml:space="preserve"> IQR. Outliers shown as dots.</w:t>
      </w:r>
    </w:p>
    <w:p w14:paraId="2A3D006B" w14:textId="77777777" w:rsidR="00EA204E" w:rsidRDefault="00EA204E" w:rsidP="00EA204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145C425" w14:textId="77777777" w:rsidR="00EA204E" w:rsidRPr="001560AC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C82668D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1A52862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5BCD3B3" wp14:editId="68127C53">
            <wp:extent cx="5461000" cy="3187700"/>
            <wp:effectExtent l="0" t="0" r="0" b="0"/>
            <wp:docPr id="1668935292" name="Picture 19" descr="A row of graphing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F0B7469-E7C2-453E-B3C9-4D1C6F706F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935292" name="Picture 19" descr="A row of graphing line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B11E5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727E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Pr="55F69C3B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 xml:space="preserve"> |</w:t>
      </w:r>
      <w:r w:rsidRPr="003A727E">
        <w:rPr>
          <w:rFonts w:ascii="Arial" w:hAnsi="Arial" w:cs="Arial"/>
          <w:b/>
          <w:bCs/>
          <w:sz w:val="22"/>
          <w:szCs w:val="22"/>
        </w:rPr>
        <w:t xml:space="preserve"> Distribution of read depth in target pharmacogenes.</w:t>
      </w:r>
      <w:r>
        <w:br/>
      </w:r>
      <w:r w:rsidRPr="00D43A43">
        <w:rPr>
          <w:rFonts w:ascii="Arial" w:hAnsi="Arial" w:cs="Arial"/>
          <w:sz w:val="22"/>
          <w:szCs w:val="22"/>
        </w:rPr>
        <w:t>Boxplots represent</w:t>
      </w:r>
      <w:r>
        <w:rPr>
          <w:rFonts w:ascii="Arial" w:hAnsi="Arial" w:cs="Arial"/>
          <w:sz w:val="22"/>
          <w:szCs w:val="22"/>
        </w:rPr>
        <w:t>ing</w:t>
      </w:r>
      <w:r w:rsidRPr="00D43A43">
        <w:rPr>
          <w:rFonts w:ascii="Arial" w:hAnsi="Arial" w:cs="Arial"/>
          <w:sz w:val="22"/>
          <w:szCs w:val="22"/>
        </w:rPr>
        <w:t xml:space="preserve"> the distribution of sequencing read </w:t>
      </w:r>
      <w:r>
        <w:rPr>
          <w:rFonts w:ascii="Arial" w:hAnsi="Arial" w:cs="Arial"/>
          <w:sz w:val="22"/>
          <w:szCs w:val="22"/>
        </w:rPr>
        <w:t>depth</w:t>
      </w:r>
      <w:r w:rsidRPr="00D43A43">
        <w:rPr>
          <w:rFonts w:ascii="Arial" w:hAnsi="Arial" w:cs="Arial"/>
          <w:sz w:val="22"/>
          <w:szCs w:val="22"/>
        </w:rPr>
        <w:t xml:space="preserve"> for 34 pharmacogenes (PGx) targeted in the panel, using a 3-plex </w:t>
      </w:r>
      <w:r>
        <w:rPr>
          <w:rFonts w:ascii="Arial" w:hAnsi="Arial" w:cs="Arial"/>
          <w:sz w:val="22"/>
          <w:szCs w:val="22"/>
        </w:rPr>
        <w:t>adaptive sampling</w:t>
      </w:r>
      <w:r w:rsidRPr="00D43A43">
        <w:rPr>
          <w:rFonts w:ascii="Arial" w:hAnsi="Arial" w:cs="Arial"/>
          <w:sz w:val="22"/>
          <w:szCs w:val="22"/>
        </w:rPr>
        <w:t>. The dashed vertical line indicates the mean read depth across all genes (21.9</w:t>
      </w:r>
      <w:r>
        <w:rPr>
          <w:rFonts w:ascii="Arial" w:hAnsi="Arial" w:cs="Arial"/>
          <w:sz w:val="22"/>
          <w:szCs w:val="22"/>
        </w:rPr>
        <w:t>x</w:t>
      </w:r>
      <w:r w:rsidRPr="00D43A43">
        <w:rPr>
          <w:rFonts w:ascii="Arial" w:hAnsi="Arial" w:cs="Arial"/>
          <w:sz w:val="22"/>
          <w:szCs w:val="22"/>
        </w:rPr>
        <w:t xml:space="preserve">). Most genes demonstrate consistent coverage, while </w:t>
      </w:r>
      <w:r w:rsidRPr="003A727E">
        <w:rPr>
          <w:rFonts w:ascii="Arial" w:hAnsi="Arial" w:cs="Arial"/>
          <w:i/>
          <w:iCs/>
          <w:sz w:val="22"/>
          <w:szCs w:val="22"/>
        </w:rPr>
        <w:t>G6PD</w:t>
      </w:r>
      <w:r w:rsidRPr="00D43A43">
        <w:rPr>
          <w:rFonts w:ascii="Arial" w:hAnsi="Arial" w:cs="Arial"/>
          <w:sz w:val="22"/>
          <w:szCs w:val="22"/>
        </w:rPr>
        <w:t xml:space="preserve"> and </w:t>
      </w:r>
      <w:r w:rsidRPr="003A727E">
        <w:rPr>
          <w:rFonts w:ascii="Arial" w:hAnsi="Arial" w:cs="Arial"/>
          <w:i/>
          <w:iCs/>
          <w:sz w:val="22"/>
          <w:szCs w:val="22"/>
        </w:rPr>
        <w:t>SLC19A1</w:t>
      </w:r>
      <w:r w:rsidRPr="00D43A43">
        <w:rPr>
          <w:rFonts w:ascii="Arial" w:hAnsi="Arial" w:cs="Arial"/>
          <w:sz w:val="22"/>
          <w:szCs w:val="22"/>
        </w:rPr>
        <w:t xml:space="preserve"> show notably lower coverage across samples. Outliers are depicted as individual points.</w:t>
      </w:r>
    </w:p>
    <w:p w14:paraId="7BBA2CF1" w14:textId="77777777" w:rsidR="00EA204E" w:rsidRDefault="00EA204E" w:rsidP="00EA204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05B26F1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F1BC1A" w14:textId="77777777" w:rsidR="00EA204E" w:rsidRDefault="00EA204E" w:rsidP="00EA204E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noProof/>
          <w:sz w:val="22"/>
          <w:szCs w:val="22"/>
        </w:rPr>
        <w:drawing>
          <wp:inline distT="0" distB="0" distL="0" distR="0" wp14:anchorId="28387790" wp14:editId="194F8903">
            <wp:extent cx="5731510" cy="2428240"/>
            <wp:effectExtent l="0" t="0" r="0" b="0"/>
            <wp:docPr id="995111207" name="Picture 20" descr="A close-up of a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1FDBF15-8E31-4DE1-9690-2886F097D0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111207" name="Picture 20" descr="A close-up of a lin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9EF09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CE411F2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402E38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 w:rsidRPr="55F69C3B">
        <w:rPr>
          <w:rFonts w:ascii="Arial" w:hAnsi="Arial" w:cs="Arial"/>
          <w:b/>
          <w:bCs/>
          <w:sz w:val="22"/>
          <w:szCs w:val="22"/>
        </w:rPr>
        <w:t>4</w:t>
      </w:r>
      <w:r>
        <w:rPr>
          <w:rFonts w:ascii="Arial" w:hAnsi="Arial" w:cs="Arial"/>
          <w:b/>
          <w:bCs/>
          <w:sz w:val="22"/>
          <w:szCs w:val="22"/>
        </w:rPr>
        <w:t xml:space="preserve"> |</w:t>
      </w:r>
      <w:r w:rsidRPr="00402E38">
        <w:rPr>
          <w:rFonts w:ascii="Arial" w:hAnsi="Arial" w:cs="Arial"/>
          <w:b/>
          <w:bCs/>
          <w:sz w:val="22"/>
          <w:szCs w:val="22"/>
        </w:rPr>
        <w:t xml:space="preserve"> Low-complexity region near </w:t>
      </w:r>
      <w:r w:rsidRPr="002E676B">
        <w:rPr>
          <w:rFonts w:ascii="Arial" w:hAnsi="Arial" w:cs="Arial"/>
          <w:b/>
          <w:i/>
          <w:sz w:val="22"/>
          <w:szCs w:val="22"/>
        </w:rPr>
        <w:t>SLC19A1</w:t>
      </w:r>
      <w:r w:rsidRPr="00402E38">
        <w:rPr>
          <w:rFonts w:ascii="Arial" w:hAnsi="Arial" w:cs="Arial"/>
          <w:b/>
          <w:bCs/>
          <w:sz w:val="22"/>
          <w:szCs w:val="22"/>
        </w:rPr>
        <w:t xml:space="preserve">. </w:t>
      </w:r>
      <w:r w:rsidRPr="002E676B">
        <w:rPr>
          <w:rFonts w:ascii="Arial" w:hAnsi="Arial" w:cs="Arial"/>
          <w:sz w:val="22"/>
          <w:szCs w:val="22"/>
        </w:rPr>
        <w:t xml:space="preserve">IGV </w:t>
      </w:r>
      <w:r>
        <w:rPr>
          <w:rFonts w:ascii="Arial" w:hAnsi="Arial" w:cs="Arial"/>
          <w:sz w:val="22"/>
          <w:szCs w:val="22"/>
        </w:rPr>
        <w:t xml:space="preserve">genome browser </w:t>
      </w:r>
      <w:r w:rsidRPr="002E676B">
        <w:rPr>
          <w:rFonts w:ascii="Arial" w:hAnsi="Arial" w:cs="Arial"/>
          <w:sz w:val="22"/>
          <w:szCs w:val="22"/>
        </w:rPr>
        <w:t xml:space="preserve">plot showing read alignments for three samples (HG01572, HG03259, HG01097) from </w:t>
      </w:r>
      <w:r>
        <w:rPr>
          <w:rFonts w:ascii="Arial" w:hAnsi="Arial" w:cs="Arial"/>
          <w:sz w:val="22"/>
          <w:szCs w:val="22"/>
        </w:rPr>
        <w:t>the 3-plex run “</w:t>
      </w:r>
      <w:r w:rsidRPr="003422B4">
        <w:rPr>
          <w:rFonts w:ascii="Arial" w:hAnsi="Arial" w:cs="Arial"/>
          <w:sz w:val="22"/>
          <w:szCs w:val="22"/>
        </w:rPr>
        <w:t>1000ng_cell_lines_5</w:t>
      </w:r>
      <w:r>
        <w:rPr>
          <w:rFonts w:ascii="Arial" w:hAnsi="Arial" w:cs="Arial"/>
          <w:sz w:val="22"/>
          <w:szCs w:val="22"/>
        </w:rPr>
        <w:t>”</w:t>
      </w:r>
      <w:r w:rsidRPr="002E676B">
        <w:rPr>
          <w:rFonts w:ascii="Arial" w:hAnsi="Arial" w:cs="Arial"/>
          <w:sz w:val="22"/>
          <w:szCs w:val="22"/>
        </w:rPr>
        <w:t>, highlighting a low-complexity</w:t>
      </w:r>
      <w:r>
        <w:rPr>
          <w:rFonts w:ascii="Arial" w:hAnsi="Arial" w:cs="Arial"/>
          <w:sz w:val="22"/>
          <w:szCs w:val="22"/>
        </w:rPr>
        <w:t xml:space="preserve"> </w:t>
      </w:r>
      <w:r w:rsidRPr="002E676B">
        <w:rPr>
          <w:rFonts w:ascii="Arial" w:hAnsi="Arial" w:cs="Arial"/>
          <w:sz w:val="22"/>
          <w:szCs w:val="22"/>
        </w:rPr>
        <w:t xml:space="preserve">within </w:t>
      </w:r>
      <w:r w:rsidRPr="002E676B">
        <w:rPr>
          <w:rFonts w:ascii="Arial" w:hAnsi="Arial" w:cs="Arial"/>
          <w:i/>
          <w:sz w:val="22"/>
          <w:szCs w:val="22"/>
        </w:rPr>
        <w:t>COL18A1</w:t>
      </w:r>
      <w:r w:rsidRPr="002E676B">
        <w:rPr>
          <w:rFonts w:ascii="Arial" w:hAnsi="Arial" w:cs="Arial"/>
          <w:sz w:val="22"/>
          <w:szCs w:val="22"/>
        </w:rPr>
        <w:t xml:space="preserve">, located adjacent to </w:t>
      </w:r>
      <w:r w:rsidRPr="002E676B">
        <w:rPr>
          <w:rFonts w:ascii="Arial" w:hAnsi="Arial" w:cs="Arial"/>
          <w:i/>
          <w:sz w:val="22"/>
          <w:szCs w:val="22"/>
        </w:rPr>
        <w:t>SLC19A1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(red box)</w:t>
      </w:r>
      <w:r w:rsidRPr="002E676B">
        <w:rPr>
          <w:rFonts w:ascii="Arial" w:hAnsi="Arial" w:cs="Arial"/>
          <w:sz w:val="22"/>
          <w:szCs w:val="22"/>
        </w:rPr>
        <w:t xml:space="preserve">. The gene tracks at the bottom depict the genomic location of </w:t>
      </w:r>
      <w:r w:rsidRPr="002E676B">
        <w:rPr>
          <w:rFonts w:ascii="Arial" w:hAnsi="Arial" w:cs="Arial"/>
          <w:i/>
          <w:sz w:val="22"/>
          <w:szCs w:val="22"/>
        </w:rPr>
        <w:t>COL18A1</w:t>
      </w:r>
      <w:r w:rsidRPr="002E676B">
        <w:rPr>
          <w:rFonts w:ascii="Arial" w:hAnsi="Arial" w:cs="Arial"/>
          <w:sz w:val="22"/>
          <w:szCs w:val="22"/>
        </w:rPr>
        <w:t xml:space="preserve"> (alpha chain of type XVIII collagen) and </w:t>
      </w:r>
      <w:r w:rsidRPr="002E676B">
        <w:rPr>
          <w:rFonts w:ascii="Arial" w:hAnsi="Arial" w:cs="Arial"/>
          <w:i/>
          <w:sz w:val="22"/>
          <w:szCs w:val="22"/>
        </w:rPr>
        <w:t>SLC19A1</w:t>
      </w:r>
      <w:r w:rsidRPr="002E676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The low-complexity region overlaps with the targeted region for adaptive </w:t>
      </w:r>
      <w:proofErr w:type="gramStart"/>
      <w:r>
        <w:rPr>
          <w:rFonts w:ascii="Arial" w:hAnsi="Arial" w:cs="Arial"/>
          <w:sz w:val="22"/>
          <w:szCs w:val="22"/>
        </w:rPr>
        <w:t>sampling, and</w:t>
      </w:r>
      <w:proofErr w:type="gramEnd"/>
      <w:r>
        <w:rPr>
          <w:rFonts w:ascii="Arial" w:hAnsi="Arial" w:cs="Arial"/>
          <w:sz w:val="22"/>
          <w:szCs w:val="22"/>
        </w:rPr>
        <w:t xml:space="preserve"> reduces the target coverage for </w:t>
      </w:r>
      <w:r w:rsidRPr="00A47F39">
        <w:rPr>
          <w:rFonts w:ascii="Arial" w:hAnsi="Arial" w:cs="Arial"/>
          <w:i/>
          <w:iCs/>
          <w:sz w:val="22"/>
          <w:szCs w:val="22"/>
        </w:rPr>
        <w:t xml:space="preserve"> </w:t>
      </w:r>
      <w:r w:rsidRPr="00CB7726">
        <w:rPr>
          <w:rFonts w:ascii="Arial" w:hAnsi="Arial" w:cs="Arial"/>
          <w:i/>
          <w:iCs/>
          <w:sz w:val="22"/>
          <w:szCs w:val="22"/>
        </w:rPr>
        <w:t>SLC19A1</w:t>
      </w:r>
      <w:r>
        <w:rPr>
          <w:rFonts w:ascii="Arial" w:hAnsi="Arial" w:cs="Arial"/>
          <w:i/>
          <w:iCs/>
          <w:sz w:val="22"/>
          <w:szCs w:val="22"/>
        </w:rPr>
        <w:t>.</w:t>
      </w:r>
    </w:p>
    <w:p w14:paraId="04915D6A" w14:textId="77777777" w:rsidR="00EA204E" w:rsidRDefault="00EA204E" w:rsidP="00EA204E">
      <w:pPr>
        <w:spacing w:after="160" w:line="259" w:lineRule="auto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br w:type="page"/>
      </w:r>
    </w:p>
    <w:p w14:paraId="57B95F95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7D94BA2E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4DB77BDC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noProof/>
          <w:sz w:val="22"/>
          <w:szCs w:val="22"/>
        </w:rPr>
        <w:drawing>
          <wp:inline distT="0" distB="0" distL="0" distR="0" wp14:anchorId="1B47E653" wp14:editId="305BB467">
            <wp:extent cx="5689600" cy="2921000"/>
            <wp:effectExtent l="0" t="0" r="0" b="0"/>
            <wp:docPr id="1558291146" name="Picture 21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3A1CC28-D14B-432E-999E-308576668B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291146" name="Picture 2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77839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066BD942" w14:textId="77777777" w:rsidR="00EA204E" w:rsidRPr="008B17E6" w:rsidRDefault="00EA204E" w:rsidP="00EA204E">
      <w:pPr>
        <w:spacing w:line="276" w:lineRule="auto"/>
        <w:rPr>
          <w:rFonts w:ascii="Arial" w:hAnsi="Arial" w:cs="Arial"/>
          <w:sz w:val="22"/>
          <w:szCs w:val="22"/>
        </w:rPr>
      </w:pPr>
      <w:r w:rsidRPr="00402E38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5 |</w:t>
      </w:r>
      <w:r>
        <w:rPr>
          <w:rFonts w:ascii="Arial" w:hAnsi="Arial" w:cs="Arial"/>
          <w:sz w:val="22"/>
          <w:szCs w:val="22"/>
        </w:rPr>
        <w:t xml:space="preserve"> </w:t>
      </w:r>
      <w:r w:rsidRPr="00F0009B">
        <w:rPr>
          <w:rFonts w:ascii="Arial" w:hAnsi="Arial" w:cs="Arial"/>
          <w:b/>
          <w:bCs/>
          <w:sz w:val="22"/>
          <w:szCs w:val="22"/>
        </w:rPr>
        <w:t xml:space="preserve">Examples of improved </w:t>
      </w:r>
      <w:proofErr w:type="spellStart"/>
      <w:r w:rsidRPr="00F0009B">
        <w:rPr>
          <w:rFonts w:ascii="Arial" w:hAnsi="Arial" w:cs="Arial"/>
          <w:b/>
          <w:bCs/>
          <w:sz w:val="22"/>
          <w:szCs w:val="22"/>
        </w:rPr>
        <w:t>pharmacogene</w:t>
      </w:r>
      <w:proofErr w:type="spellEnd"/>
      <w:r w:rsidRPr="00F0009B">
        <w:rPr>
          <w:rFonts w:ascii="Arial" w:hAnsi="Arial" w:cs="Arial"/>
          <w:b/>
          <w:bCs/>
          <w:sz w:val="22"/>
          <w:szCs w:val="22"/>
        </w:rPr>
        <w:t xml:space="preserve"> calls enabled by enhanced phasing, novel allele detection, and expanded haplotype coverage.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845F2D">
        <w:rPr>
          <w:rFonts w:ascii="Arial" w:hAnsi="Arial" w:cs="Arial"/>
          <w:b/>
          <w:bCs/>
          <w:sz w:val="22"/>
          <w:szCs w:val="22"/>
        </w:rPr>
        <w:t>(</w:t>
      </w:r>
      <w:r w:rsidRPr="00DF1592">
        <w:rPr>
          <w:rFonts w:ascii="Arial" w:hAnsi="Arial" w:cs="Arial"/>
          <w:b/>
          <w:bCs/>
          <w:sz w:val="22"/>
          <w:szCs w:val="22"/>
        </w:rPr>
        <w:t>a</w:t>
      </w:r>
      <w:r w:rsidRPr="00845F2D">
        <w:rPr>
          <w:rFonts w:ascii="Arial" w:hAnsi="Arial" w:cs="Arial"/>
          <w:b/>
          <w:bCs/>
          <w:sz w:val="22"/>
          <w:szCs w:val="22"/>
        </w:rPr>
        <w:t>)</w:t>
      </w:r>
      <w:r w:rsidRPr="00DF1592">
        <w:rPr>
          <w:rFonts w:ascii="Arial" w:hAnsi="Arial" w:cs="Arial"/>
          <w:sz w:val="22"/>
          <w:szCs w:val="22"/>
        </w:rPr>
        <w:t xml:space="preserve"> Long-read sequencing enabled phasing of c.85T&gt;C (*9A) and</w:t>
      </w:r>
      <w:r>
        <w:rPr>
          <w:rFonts w:ascii="Arial" w:hAnsi="Arial" w:cs="Arial"/>
          <w:sz w:val="22"/>
          <w:szCs w:val="22"/>
        </w:rPr>
        <w:t xml:space="preserve"> </w:t>
      </w:r>
      <w:r w:rsidRPr="00DF1592">
        <w:rPr>
          <w:rFonts w:ascii="Arial" w:hAnsi="Arial" w:cs="Arial"/>
          <w:sz w:val="22"/>
          <w:szCs w:val="22"/>
        </w:rPr>
        <w:t xml:space="preserve">c.1216A&gt;G variants in NA19226. </w:t>
      </w:r>
      <w:r w:rsidRPr="00845F2D">
        <w:rPr>
          <w:rFonts w:ascii="Arial" w:hAnsi="Arial" w:cs="Arial"/>
          <w:b/>
          <w:bCs/>
          <w:sz w:val="22"/>
          <w:szCs w:val="22"/>
        </w:rPr>
        <w:t>(</w:t>
      </w:r>
      <w:r w:rsidRPr="00DF1592">
        <w:rPr>
          <w:rFonts w:ascii="Arial" w:hAnsi="Arial" w:cs="Arial"/>
          <w:b/>
          <w:bCs/>
          <w:sz w:val="22"/>
          <w:szCs w:val="22"/>
        </w:rPr>
        <w:t>b</w:t>
      </w:r>
      <w:r w:rsidRPr="00845F2D">
        <w:rPr>
          <w:rFonts w:ascii="Arial" w:hAnsi="Arial" w:cs="Arial"/>
          <w:b/>
          <w:bCs/>
          <w:sz w:val="22"/>
          <w:szCs w:val="22"/>
        </w:rPr>
        <w:t>)</w:t>
      </w:r>
      <w:r w:rsidRPr="00DF1592">
        <w:rPr>
          <w:rFonts w:ascii="Arial" w:hAnsi="Arial" w:cs="Arial"/>
          <w:sz w:val="22"/>
          <w:szCs w:val="22"/>
        </w:rPr>
        <w:t xml:space="preserve"> Improved diplotype calling of UGT1A1 in a clinical</w:t>
      </w:r>
      <w:r>
        <w:rPr>
          <w:rFonts w:ascii="Arial" w:hAnsi="Arial" w:cs="Arial"/>
          <w:sz w:val="22"/>
          <w:szCs w:val="22"/>
        </w:rPr>
        <w:t xml:space="preserve"> </w:t>
      </w:r>
      <w:r w:rsidRPr="00DF1592">
        <w:rPr>
          <w:rFonts w:ascii="Arial" w:hAnsi="Arial" w:cs="Arial"/>
          <w:sz w:val="22"/>
          <w:szCs w:val="22"/>
        </w:rPr>
        <w:t>sample (TTSH_</w:t>
      </w:r>
      <w:r>
        <w:rPr>
          <w:rFonts w:ascii="Arial" w:hAnsi="Arial" w:cs="Arial"/>
          <w:sz w:val="22"/>
          <w:szCs w:val="22"/>
        </w:rPr>
        <w:t>3</w:t>
      </w:r>
      <w:r w:rsidRPr="00DF1592">
        <w:rPr>
          <w:rFonts w:ascii="Arial" w:hAnsi="Arial" w:cs="Arial"/>
          <w:sz w:val="22"/>
          <w:szCs w:val="22"/>
        </w:rPr>
        <w:t>), where TAS-LRS identified the complex allele *1/*80+*28+*27.</w:t>
      </w:r>
    </w:p>
    <w:p w14:paraId="727A7571" w14:textId="77777777" w:rsidR="00EA204E" w:rsidRDefault="00EA204E" w:rsidP="00EA204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EF8604B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992FAD4" w14:textId="77777777" w:rsidR="00EA204E" w:rsidRPr="008B17E6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AD9233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49249A60" wp14:editId="1C432F3E">
            <wp:extent cx="5731510" cy="2705735"/>
            <wp:effectExtent l="0" t="0" r="0" b="0"/>
            <wp:docPr id="1434877581" name="Picture 22" descr="A close-up of a tabl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489734E-F21C-4751-8496-002CAEB726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877581" name="Picture 22" descr="A close-up of a table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E79AF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4744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6 |</w:t>
      </w:r>
      <w:r w:rsidRPr="00484744">
        <w:rPr>
          <w:rFonts w:ascii="Arial" w:hAnsi="Arial" w:cs="Arial"/>
          <w:b/>
          <w:bCs/>
          <w:sz w:val="22"/>
          <w:szCs w:val="22"/>
        </w:rPr>
        <w:t xml:space="preserve"> Phenotype concordance in pharmacogenes with complex a</w:t>
      </w:r>
      <w:r>
        <w:rPr>
          <w:rFonts w:ascii="Arial" w:hAnsi="Arial" w:cs="Arial"/>
          <w:b/>
          <w:bCs/>
          <w:sz w:val="22"/>
          <w:szCs w:val="22"/>
        </w:rPr>
        <w:t xml:space="preserve">llele definitions and metabolizer profiles. </w:t>
      </w:r>
      <w:r>
        <w:rPr>
          <w:rFonts w:ascii="Arial" w:hAnsi="Arial" w:cs="Arial"/>
          <w:sz w:val="22"/>
          <w:szCs w:val="22"/>
        </w:rPr>
        <w:t xml:space="preserve">Results for </w:t>
      </w:r>
      <w:r w:rsidRPr="002E676B">
        <w:rPr>
          <w:rFonts w:ascii="Arial" w:hAnsi="Arial" w:cs="Arial"/>
          <w:b/>
          <w:sz w:val="22"/>
          <w:szCs w:val="22"/>
        </w:rPr>
        <w:t>(a)</w:t>
      </w:r>
      <w:r w:rsidRPr="004847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</w:t>
      </w:r>
      <w:r w:rsidRPr="00484744">
        <w:rPr>
          <w:rFonts w:ascii="Arial" w:hAnsi="Arial" w:cs="Arial"/>
          <w:sz w:val="22"/>
          <w:szCs w:val="22"/>
        </w:rPr>
        <w:t>eference cell lines (</w:t>
      </w:r>
      <w:r>
        <w:rPr>
          <w:rFonts w:ascii="Arial" w:hAnsi="Arial" w:cs="Arial"/>
          <w:sz w:val="22"/>
          <w:szCs w:val="22"/>
        </w:rPr>
        <w:t>n=11</w:t>
      </w:r>
      <w:r w:rsidRPr="00484744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, </w:t>
      </w:r>
      <w:r w:rsidRPr="002E676B">
        <w:rPr>
          <w:rFonts w:ascii="Arial" w:hAnsi="Arial" w:cs="Arial"/>
          <w:b/>
          <w:sz w:val="22"/>
          <w:szCs w:val="22"/>
        </w:rPr>
        <w:t>(b)</w:t>
      </w:r>
      <w:r w:rsidRPr="00484744">
        <w:rPr>
          <w:rFonts w:ascii="Arial" w:hAnsi="Arial" w:cs="Arial"/>
          <w:sz w:val="22"/>
          <w:szCs w:val="22"/>
        </w:rPr>
        <w:t xml:space="preserve"> clinical</w:t>
      </w:r>
      <w:r>
        <w:rPr>
          <w:rFonts w:ascii="Arial" w:hAnsi="Arial" w:cs="Arial"/>
          <w:sz w:val="22"/>
          <w:szCs w:val="22"/>
        </w:rPr>
        <w:t xml:space="preserve"> samples from TTSH (n=3) and</w:t>
      </w:r>
      <w:r w:rsidRPr="00484744">
        <w:rPr>
          <w:rFonts w:ascii="Arial" w:hAnsi="Arial" w:cs="Arial"/>
          <w:sz w:val="22"/>
          <w:szCs w:val="22"/>
        </w:rPr>
        <w:t xml:space="preserve"> </w:t>
      </w:r>
      <w:r w:rsidRPr="002E676B">
        <w:rPr>
          <w:rFonts w:ascii="Arial" w:hAnsi="Arial" w:cs="Arial"/>
          <w:b/>
          <w:sz w:val="22"/>
          <w:szCs w:val="22"/>
        </w:rPr>
        <w:t>(c)</w:t>
      </w:r>
      <w:r w:rsidRPr="00484744">
        <w:rPr>
          <w:rFonts w:ascii="Arial" w:hAnsi="Arial" w:cs="Arial"/>
          <w:sz w:val="22"/>
          <w:szCs w:val="22"/>
        </w:rPr>
        <w:t xml:space="preserve"> </w:t>
      </w:r>
      <w:r w:rsidRPr="60F76626">
        <w:rPr>
          <w:rFonts w:ascii="Arial" w:hAnsi="Arial" w:cs="Arial"/>
          <w:sz w:val="22"/>
          <w:szCs w:val="22"/>
        </w:rPr>
        <w:t>External Q</w:t>
      </w:r>
      <w:r>
        <w:rPr>
          <w:rFonts w:ascii="Arial" w:hAnsi="Arial" w:cs="Arial"/>
          <w:sz w:val="22"/>
          <w:szCs w:val="22"/>
        </w:rPr>
        <w:t xml:space="preserve">uality </w:t>
      </w:r>
      <w:r w:rsidRPr="1DD96AB9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ssessment (EQA) samples (n=3) were compared against reference truth sets</w:t>
      </w:r>
      <w:r w:rsidRPr="00484744">
        <w:rPr>
          <w:rFonts w:ascii="Arial" w:hAnsi="Arial" w:cs="Arial"/>
          <w:sz w:val="22"/>
          <w:szCs w:val="22"/>
        </w:rPr>
        <w:t xml:space="preserve">. </w:t>
      </w:r>
      <w:r w:rsidRPr="002E676B">
        <w:rPr>
          <w:rFonts w:ascii="Arial" w:hAnsi="Arial" w:cs="Arial"/>
          <w:sz w:val="22"/>
          <w:szCs w:val="22"/>
        </w:rPr>
        <w:t xml:space="preserve">Phenotypes were inferred from diplotype calls based on </w:t>
      </w:r>
      <w:proofErr w:type="spellStart"/>
      <w:r w:rsidRPr="275B827F">
        <w:rPr>
          <w:rFonts w:ascii="Arial" w:hAnsi="Arial" w:cs="Arial"/>
          <w:sz w:val="22"/>
          <w:szCs w:val="22"/>
        </w:rPr>
        <w:t>PharmGKB</w:t>
      </w:r>
      <w:proofErr w:type="spellEnd"/>
      <w:r w:rsidRPr="002E676B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Phenotypes based on </w:t>
      </w:r>
      <w:r w:rsidRPr="00E7673C">
        <w:rPr>
          <w:rFonts w:ascii="Arial" w:hAnsi="Arial" w:cs="Arial"/>
          <w:sz w:val="22"/>
          <w:szCs w:val="22"/>
        </w:rPr>
        <w:t xml:space="preserve">GeT-RM </w:t>
      </w:r>
      <w:r>
        <w:rPr>
          <w:rFonts w:ascii="Arial" w:hAnsi="Arial" w:cs="Arial"/>
          <w:sz w:val="22"/>
          <w:szCs w:val="22"/>
        </w:rPr>
        <w:t>calls were</w:t>
      </w:r>
      <w:r w:rsidRPr="00E7673C">
        <w:rPr>
          <w:rFonts w:ascii="Arial" w:hAnsi="Arial" w:cs="Arial"/>
          <w:sz w:val="22"/>
          <w:szCs w:val="22"/>
        </w:rPr>
        <w:t xml:space="preserve"> used as the truth set for HG001, HG01190, NA18861, NA18966, NA19174, and NA19226 unless otherwise specified. </w:t>
      </w:r>
      <w:r>
        <w:rPr>
          <w:rFonts w:ascii="Arial" w:hAnsi="Arial" w:cs="Arial"/>
          <w:sz w:val="22"/>
          <w:szCs w:val="22"/>
        </w:rPr>
        <w:t>Phenotype</w:t>
      </w:r>
      <w:r w:rsidRPr="00E7673C">
        <w:rPr>
          <w:rFonts w:ascii="Arial" w:hAnsi="Arial" w:cs="Arial"/>
          <w:sz w:val="22"/>
          <w:szCs w:val="22"/>
        </w:rPr>
        <w:t xml:space="preserve"> calls for HG00337, HG005, HG01097, HG01572, and HG03259 were </w:t>
      </w:r>
      <w:r>
        <w:rPr>
          <w:rFonts w:ascii="Arial" w:hAnsi="Arial" w:cs="Arial"/>
          <w:sz w:val="22"/>
          <w:szCs w:val="22"/>
        </w:rPr>
        <w:t>based on</w:t>
      </w:r>
      <w:r w:rsidRPr="00E7673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7673C">
        <w:rPr>
          <w:rFonts w:ascii="Arial" w:hAnsi="Arial" w:cs="Arial"/>
          <w:sz w:val="22"/>
          <w:szCs w:val="22"/>
        </w:rPr>
        <w:t>PyP</w:t>
      </w:r>
      <w:r>
        <w:rPr>
          <w:rFonts w:ascii="Arial" w:hAnsi="Arial" w:cs="Arial"/>
          <w:sz w:val="22"/>
          <w:szCs w:val="22"/>
        </w:rPr>
        <w:t>G</w:t>
      </w:r>
      <w:r w:rsidRPr="00E7673C">
        <w:rPr>
          <w:rFonts w:ascii="Arial" w:hAnsi="Arial" w:cs="Arial"/>
          <w:sz w:val="22"/>
          <w:szCs w:val="22"/>
        </w:rPr>
        <w:t>x</w:t>
      </w:r>
      <w:proofErr w:type="spellEnd"/>
      <w:r w:rsidRPr="00E7673C">
        <w:rPr>
          <w:rFonts w:ascii="Arial" w:hAnsi="Arial" w:cs="Arial"/>
          <w:sz w:val="22"/>
          <w:szCs w:val="22"/>
        </w:rPr>
        <w:t xml:space="preserve"> diplotypes from 30x short-read data. For all samples, </w:t>
      </w:r>
      <w:r w:rsidRPr="002E676B">
        <w:rPr>
          <w:rFonts w:ascii="Arial" w:hAnsi="Arial" w:cs="Arial"/>
          <w:i/>
          <w:sz w:val="22"/>
          <w:szCs w:val="22"/>
        </w:rPr>
        <w:t>NUDT15</w:t>
      </w:r>
      <w:r w:rsidRPr="00E7673C">
        <w:rPr>
          <w:rFonts w:ascii="Arial" w:hAnsi="Arial" w:cs="Arial"/>
          <w:sz w:val="22"/>
          <w:szCs w:val="22"/>
        </w:rPr>
        <w:t xml:space="preserve">, and </w:t>
      </w:r>
      <w:r w:rsidRPr="002E676B">
        <w:rPr>
          <w:rFonts w:ascii="Arial" w:hAnsi="Arial" w:cs="Arial"/>
          <w:i/>
          <w:sz w:val="22"/>
          <w:szCs w:val="22"/>
        </w:rPr>
        <w:t>UGT1A1</w:t>
      </w:r>
      <w:r w:rsidRPr="00E7673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expected phenotypes were based </w:t>
      </w:r>
      <w:proofErr w:type="spellStart"/>
      <w:r w:rsidRPr="00E7673C">
        <w:rPr>
          <w:rFonts w:ascii="Arial" w:hAnsi="Arial" w:cs="Arial"/>
          <w:sz w:val="22"/>
          <w:szCs w:val="22"/>
        </w:rPr>
        <w:t>PyP</w:t>
      </w:r>
      <w:r>
        <w:rPr>
          <w:rFonts w:ascii="Arial" w:hAnsi="Arial" w:cs="Arial"/>
          <w:sz w:val="22"/>
          <w:szCs w:val="22"/>
        </w:rPr>
        <w:t>G</w:t>
      </w:r>
      <w:r w:rsidRPr="00E7673C">
        <w:rPr>
          <w:rFonts w:ascii="Arial" w:hAnsi="Arial" w:cs="Arial"/>
          <w:sz w:val="22"/>
          <w:szCs w:val="22"/>
        </w:rPr>
        <w:t>x</w:t>
      </w:r>
      <w:proofErr w:type="spellEnd"/>
      <w:r w:rsidRPr="00E7673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diplotypes</w:t>
      </w:r>
      <w:r w:rsidRPr="00E7673C">
        <w:rPr>
          <w:rFonts w:ascii="Arial" w:hAnsi="Arial" w:cs="Arial"/>
          <w:sz w:val="22"/>
          <w:szCs w:val="22"/>
        </w:rPr>
        <w:t xml:space="preserve">. Calls matching the </w:t>
      </w:r>
      <w:r>
        <w:rPr>
          <w:rFonts w:ascii="Arial" w:hAnsi="Arial" w:cs="Arial"/>
          <w:sz w:val="22"/>
          <w:szCs w:val="22"/>
        </w:rPr>
        <w:t xml:space="preserve">expected phenotypes based on the </w:t>
      </w:r>
      <w:r w:rsidRPr="00E7673C">
        <w:rPr>
          <w:rFonts w:ascii="Arial" w:hAnsi="Arial" w:cs="Arial"/>
          <w:sz w:val="22"/>
          <w:szCs w:val="22"/>
        </w:rPr>
        <w:t xml:space="preserve">truth set were labelled as concordant, </w:t>
      </w:r>
      <w:r w:rsidRPr="00313B7E">
        <w:rPr>
          <w:rFonts w:ascii="Arial" w:hAnsi="Arial" w:cs="Arial"/>
          <w:sz w:val="22"/>
          <w:szCs w:val="22"/>
        </w:rPr>
        <w:t xml:space="preserve">while mismatched calls were considered improved </w:t>
      </w:r>
      <w:r w:rsidRPr="002E676B">
        <w:rPr>
          <w:rFonts w:ascii="Arial" w:hAnsi="Arial" w:cs="Arial"/>
          <w:sz w:val="22"/>
          <w:szCs w:val="22"/>
        </w:rPr>
        <w:t>based on IGV read support or consensus across orthogonal methods</w:t>
      </w:r>
      <w:r>
        <w:rPr>
          <w:rFonts w:ascii="Arial" w:hAnsi="Arial" w:cs="Arial"/>
          <w:sz w:val="22"/>
          <w:szCs w:val="22"/>
        </w:rPr>
        <w:t>.</w:t>
      </w:r>
    </w:p>
    <w:p w14:paraId="5B1EE92B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BE3F21C" w14:textId="77777777" w:rsidR="00EA204E" w:rsidRDefault="00EA204E" w:rsidP="00EA204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2CBEDB3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6A911D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878133F" wp14:editId="11873ACC">
            <wp:extent cx="5384800" cy="1511300"/>
            <wp:effectExtent l="0" t="0" r="0" b="0"/>
            <wp:docPr id="1728814639" name="Picture 23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9166893-3565-4902-9BEC-73D38C80F1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14639" name="Picture 23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E025E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6BDB228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B4F3A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7 |</w:t>
      </w:r>
      <w:r w:rsidRPr="008B4F3A">
        <w:rPr>
          <w:rFonts w:ascii="Arial" w:hAnsi="Arial" w:cs="Arial"/>
          <w:b/>
          <w:bCs/>
          <w:sz w:val="22"/>
          <w:szCs w:val="22"/>
        </w:rPr>
        <w:t xml:space="preserve"> Example of improved </w:t>
      </w:r>
      <w:r w:rsidRPr="002E676B">
        <w:rPr>
          <w:rFonts w:ascii="Arial" w:hAnsi="Arial" w:cs="Arial"/>
          <w:b/>
          <w:i/>
          <w:sz w:val="22"/>
          <w:szCs w:val="22"/>
        </w:rPr>
        <w:t>CYP2D6</w:t>
      </w:r>
      <w:r w:rsidRPr="008B4F3A">
        <w:rPr>
          <w:rFonts w:ascii="Arial" w:hAnsi="Arial" w:cs="Arial"/>
          <w:b/>
          <w:bCs/>
          <w:sz w:val="22"/>
          <w:szCs w:val="22"/>
        </w:rPr>
        <w:t xml:space="preserve"> diplotype call leading to refined phenotype classification. </w:t>
      </w:r>
      <w:r>
        <w:rPr>
          <w:rFonts w:ascii="Arial" w:hAnsi="Arial" w:cs="Arial"/>
          <w:sz w:val="22"/>
          <w:szCs w:val="22"/>
        </w:rPr>
        <w:t>IGV g</w:t>
      </w:r>
      <w:r w:rsidRPr="002E676B">
        <w:rPr>
          <w:rFonts w:ascii="Arial" w:hAnsi="Arial" w:cs="Arial"/>
          <w:sz w:val="22"/>
          <w:szCs w:val="22"/>
        </w:rPr>
        <w:t xml:space="preserve">enome browser view and variant table for </w:t>
      </w:r>
      <w:r w:rsidRPr="002E676B">
        <w:rPr>
          <w:rFonts w:ascii="Arial" w:hAnsi="Arial" w:cs="Arial"/>
          <w:i/>
          <w:sz w:val="22"/>
          <w:szCs w:val="22"/>
        </w:rPr>
        <w:t>CYP2D6</w:t>
      </w:r>
      <w:r w:rsidRPr="002E676B">
        <w:rPr>
          <w:rFonts w:ascii="Arial" w:hAnsi="Arial" w:cs="Arial"/>
          <w:sz w:val="22"/>
          <w:szCs w:val="22"/>
        </w:rPr>
        <w:t xml:space="preserve"> in sample </w:t>
      </w:r>
      <w:r w:rsidRPr="00F9705B">
        <w:rPr>
          <w:rFonts w:ascii="Arial" w:hAnsi="Arial" w:cs="Arial"/>
          <w:sz w:val="22"/>
          <w:szCs w:val="22"/>
        </w:rPr>
        <w:t>TTSH_</w:t>
      </w:r>
      <w:r>
        <w:rPr>
          <w:rFonts w:ascii="Arial" w:hAnsi="Arial" w:cs="Arial"/>
          <w:sz w:val="22"/>
          <w:szCs w:val="22"/>
        </w:rPr>
        <w:t>3</w:t>
      </w:r>
      <w:r w:rsidRPr="002E676B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showing an example where</w:t>
      </w:r>
      <w:r w:rsidRPr="002E676B">
        <w:rPr>
          <w:rFonts w:ascii="Arial" w:hAnsi="Arial" w:cs="Arial"/>
          <w:sz w:val="22"/>
          <w:szCs w:val="22"/>
        </w:rPr>
        <w:t xml:space="preserve"> TAS-LRS resolved a previously unphased copy number change identified by microarrays. This allowed for unambiguous diplotype assignment and a change from 'Indeterminate' to 'Ultrarapid metabolizer' phenotype.</w:t>
      </w:r>
    </w:p>
    <w:p w14:paraId="2668727D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FFCE39B" w14:textId="77777777" w:rsidR="00EA204E" w:rsidRDefault="00EA204E" w:rsidP="00EA204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3B45BA4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2C9478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BE74E99" wp14:editId="43BEF6AF">
            <wp:extent cx="5731510" cy="1061720"/>
            <wp:effectExtent l="0" t="0" r="0" b="5080"/>
            <wp:docPr id="145280853" name="Picture 24" descr="A diagram of a proces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0373EDE-E0BF-4E61-9726-392B7AA0C9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80853" name="Picture 24" descr="A diagram of a process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89D07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676B" w:rsidDel="001A57F1">
        <w:rPr>
          <w:rStyle w:val="Strong"/>
          <w:rFonts w:ascii="Arial" w:eastAsiaTheme="majorEastAsia" w:hAnsi="Arial" w:cs="Arial"/>
          <w:sz w:val="22"/>
          <w:szCs w:val="22"/>
        </w:rPr>
        <w:t xml:space="preserve">Supplementary Figure </w:t>
      </w:r>
      <w:r>
        <w:rPr>
          <w:rStyle w:val="Strong"/>
          <w:rFonts w:ascii="Arial" w:eastAsiaTheme="majorEastAsia" w:hAnsi="Arial" w:cs="Arial"/>
          <w:sz w:val="22"/>
          <w:szCs w:val="22"/>
        </w:rPr>
        <w:t>8 |</w:t>
      </w:r>
      <w:r w:rsidRPr="002E676B">
        <w:rPr>
          <w:rStyle w:val="Strong"/>
          <w:rFonts w:ascii="Arial" w:eastAsiaTheme="majorEastAsia" w:hAnsi="Arial" w:cs="Arial"/>
          <w:sz w:val="22"/>
          <w:szCs w:val="22"/>
        </w:rPr>
        <w:t xml:space="preserve"> Sample preparation and sequencing workflow for TAS-LRS.</w:t>
      </w:r>
      <w:r>
        <w:br/>
      </w:r>
      <w:r w:rsidRPr="002E676B">
        <w:rPr>
          <w:rFonts w:ascii="Arial" w:hAnsi="Arial" w:cs="Arial"/>
          <w:sz w:val="22"/>
          <w:szCs w:val="22"/>
        </w:rPr>
        <w:t>Schematic overview of the laboratory protocol used in the TAS-LRS workflow, optimized for three-sample multiplexing. The process includes four main stages: (</w:t>
      </w:r>
      <w:proofErr w:type="spellStart"/>
      <w:r w:rsidRPr="002E676B">
        <w:rPr>
          <w:rFonts w:ascii="Arial" w:hAnsi="Arial" w:cs="Arial"/>
          <w:sz w:val="22"/>
          <w:szCs w:val="22"/>
        </w:rPr>
        <w:t>i</w:t>
      </w:r>
      <w:proofErr w:type="spellEnd"/>
      <w:r w:rsidRPr="002E676B">
        <w:rPr>
          <w:rFonts w:ascii="Arial" w:hAnsi="Arial" w:cs="Arial"/>
          <w:sz w:val="22"/>
          <w:szCs w:val="22"/>
        </w:rPr>
        <w:t>) sample preparation (~5 hours), encompassing whole blood DNA extraction, bead-based concentration, and gDNA shearing; (ii) library preparation (~5 hours), including end repair, native barcoding, and adapter ligation; (iii) an initial whole genome sequencing (~1 hour), during which partial libraries are loaded to assess fragment size and flow cell performance; and (iv) adaptive sampling sequencing (~72 hours), performed in three loading cycles (T1–T3) with nuclease washes and library reloads to maintain active pore utilization.</w:t>
      </w:r>
    </w:p>
    <w:p w14:paraId="72BD02C9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20D2C7" w14:textId="77777777" w:rsidR="00EA204E" w:rsidRPr="00085DB9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00A6CC5" wp14:editId="7AFB8932">
            <wp:extent cx="5731510" cy="6606540"/>
            <wp:effectExtent l="0" t="0" r="0" b="0"/>
            <wp:docPr id="1414363440" name="Picture 25" descr="A diagram of a diagram of a test tub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79047F6-C38C-4363-96BD-4BAB443CD5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363440" name="Picture 25" descr="A diagram of a diagram of a test tube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0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2FC93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AE07CE6" w14:textId="77777777" w:rsidR="00EA204E" w:rsidRPr="002E676B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676B">
        <w:rPr>
          <w:rStyle w:val="Strong"/>
          <w:rFonts w:ascii="Arial" w:eastAsiaTheme="majorEastAsia" w:hAnsi="Arial" w:cs="Arial"/>
          <w:sz w:val="22"/>
          <w:szCs w:val="22"/>
        </w:rPr>
        <w:t xml:space="preserve">Supplementary Figure </w:t>
      </w:r>
      <w:r>
        <w:rPr>
          <w:rStyle w:val="Strong"/>
          <w:rFonts w:ascii="Arial" w:eastAsiaTheme="majorEastAsia" w:hAnsi="Arial" w:cs="Arial"/>
          <w:sz w:val="22"/>
          <w:szCs w:val="22"/>
        </w:rPr>
        <w:t>9 |</w:t>
      </w:r>
      <w:r w:rsidRPr="002E676B">
        <w:rPr>
          <w:rStyle w:val="Strong"/>
          <w:rFonts w:ascii="Arial" w:eastAsiaTheme="majorEastAsia" w:hAnsi="Arial" w:cs="Arial"/>
          <w:sz w:val="22"/>
          <w:szCs w:val="22"/>
        </w:rPr>
        <w:t xml:space="preserve"> Modified DNA extraction protocol for long-read sequencing.</w:t>
      </w:r>
      <w:r>
        <w:br/>
      </w:r>
      <w:r w:rsidRPr="002E676B">
        <w:rPr>
          <w:rFonts w:ascii="Arial" w:hAnsi="Arial" w:cs="Arial"/>
          <w:sz w:val="22"/>
          <w:szCs w:val="22"/>
        </w:rPr>
        <w:t xml:space="preserve">Workflow illustrating the steps modified from </w:t>
      </w:r>
      <w:r>
        <w:rPr>
          <w:rFonts w:ascii="Arial" w:hAnsi="Arial" w:cs="Arial"/>
          <w:sz w:val="22"/>
          <w:szCs w:val="22"/>
        </w:rPr>
        <w:t xml:space="preserve">the </w:t>
      </w:r>
      <w:r w:rsidRPr="002E676B">
        <w:rPr>
          <w:rFonts w:ascii="Arial" w:hAnsi="Arial" w:cs="Arial"/>
          <w:sz w:val="22"/>
          <w:szCs w:val="22"/>
        </w:rPr>
        <w:t xml:space="preserve">manufacturer protocol to increase recovery of long DNA fragments from blood. Part 1 shows the lysis step, where a scaled-up lysis </w:t>
      </w:r>
      <w:proofErr w:type="spellStart"/>
      <w:r w:rsidRPr="002E676B">
        <w:rPr>
          <w:rFonts w:ascii="Arial" w:hAnsi="Arial" w:cs="Arial"/>
          <w:sz w:val="22"/>
          <w:szCs w:val="22"/>
        </w:rPr>
        <w:t>mastermix</w:t>
      </w:r>
      <w:proofErr w:type="spellEnd"/>
      <w:r w:rsidRPr="002E676B">
        <w:rPr>
          <w:rFonts w:ascii="Arial" w:hAnsi="Arial" w:cs="Arial"/>
          <w:sz w:val="22"/>
          <w:szCs w:val="22"/>
        </w:rPr>
        <w:t xml:space="preserve"> is incubated at 56°C for 25 minutes. In Part 2, lysates are split into two portions, with binding buffer and ethanol added prior to column-based DNA binding. DNA is then pooled onto a single spin column, followed by sequential wash steps (Part 3) and a two-step elution using preheated buffer (Part 4) to maximize recovery. </w:t>
      </w:r>
      <w:r w:rsidRPr="275B827F">
        <w:rPr>
          <w:rFonts w:ascii="Arial" w:hAnsi="Arial" w:cs="Arial"/>
          <w:sz w:val="22"/>
          <w:szCs w:val="22"/>
        </w:rPr>
        <w:t>Combined with Solid-Phase Reversible Immobilization (</w:t>
      </w:r>
      <w:r w:rsidRPr="002E676B">
        <w:rPr>
          <w:rFonts w:ascii="Arial" w:hAnsi="Arial" w:cs="Arial"/>
          <w:sz w:val="22"/>
          <w:szCs w:val="22"/>
        </w:rPr>
        <w:t>SPRI</w:t>
      </w:r>
      <w:r w:rsidRPr="275B827F">
        <w:rPr>
          <w:rFonts w:ascii="Arial" w:hAnsi="Arial" w:cs="Arial"/>
          <w:sz w:val="22"/>
          <w:szCs w:val="22"/>
        </w:rPr>
        <w:t>)</w:t>
      </w:r>
      <w:r w:rsidRPr="002E676B">
        <w:rPr>
          <w:rFonts w:ascii="Arial" w:hAnsi="Arial" w:cs="Arial"/>
          <w:sz w:val="22"/>
          <w:szCs w:val="22"/>
        </w:rPr>
        <w:t xml:space="preserve"> bead-based concentration, this protocol delivers concentrated gDNA (&gt;100 ng/µL) from 300 µL of blood input.</w:t>
      </w:r>
    </w:p>
    <w:p w14:paraId="41247A2B" w14:textId="77777777" w:rsidR="00EA204E" w:rsidRPr="002E676B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F6F8BC7" w14:textId="77777777" w:rsidR="00EA204E" w:rsidRDefault="00EA204E" w:rsidP="00EA204E">
      <w:pPr>
        <w:spacing w:line="276" w:lineRule="auto"/>
        <w:jc w:val="both"/>
        <w:rPr>
          <w:rStyle w:val="Strong"/>
          <w:rFonts w:ascii="Arial" w:eastAsiaTheme="majorEastAsia" w:hAnsi="Arial" w:cs="Arial"/>
          <w:sz w:val="22"/>
          <w:szCs w:val="22"/>
        </w:rPr>
      </w:pPr>
    </w:p>
    <w:p w14:paraId="6552280F" w14:textId="77777777" w:rsidR="00EA204E" w:rsidRDefault="00EA204E" w:rsidP="00EA204E">
      <w:pPr>
        <w:spacing w:line="276" w:lineRule="auto"/>
        <w:jc w:val="both"/>
        <w:rPr>
          <w:rStyle w:val="Strong"/>
          <w:rFonts w:ascii="Arial" w:eastAsiaTheme="majorEastAsia" w:hAnsi="Arial" w:cs="Arial"/>
          <w:sz w:val="22"/>
          <w:szCs w:val="22"/>
        </w:rPr>
      </w:pPr>
      <w:r>
        <w:rPr>
          <w:rFonts w:ascii="Arial" w:eastAsiaTheme="majorEastAsia" w:hAnsi="Arial" w:cs="Arial"/>
          <w:b/>
          <w:bCs/>
          <w:noProof/>
          <w:sz w:val="22"/>
          <w:szCs w:val="22"/>
        </w:rPr>
        <w:lastRenderedPageBreak/>
        <w:drawing>
          <wp:inline distT="0" distB="0" distL="0" distR="0" wp14:anchorId="1ECB35E2" wp14:editId="74DED62C">
            <wp:extent cx="5731510" cy="1930400"/>
            <wp:effectExtent l="0" t="0" r="0" b="0"/>
            <wp:docPr id="1470458735" name="Picture 27" descr="A diagram of a magnet and a couple of glass contain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4FD0404-4427-4C3B-A0F3-486F5B0BFD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458735" name="Picture 27" descr="A diagram of a magnet and a couple of glass containers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7AE54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E676B">
        <w:rPr>
          <w:rStyle w:val="Strong"/>
          <w:rFonts w:ascii="Arial" w:eastAsiaTheme="majorEastAsia" w:hAnsi="Arial" w:cs="Arial"/>
          <w:sz w:val="22"/>
          <w:szCs w:val="22"/>
        </w:rPr>
        <w:t xml:space="preserve">Supplementary Figure </w:t>
      </w:r>
      <w:r>
        <w:rPr>
          <w:rStyle w:val="Strong"/>
          <w:rFonts w:ascii="Arial" w:eastAsiaTheme="majorEastAsia" w:hAnsi="Arial" w:cs="Arial"/>
          <w:sz w:val="22"/>
          <w:szCs w:val="22"/>
        </w:rPr>
        <w:t>10 |</w:t>
      </w:r>
      <w:r w:rsidRPr="002E676B">
        <w:rPr>
          <w:rStyle w:val="Strong"/>
          <w:rFonts w:ascii="Arial" w:eastAsiaTheme="majorEastAsia" w:hAnsi="Arial" w:cs="Arial"/>
          <w:sz w:val="22"/>
          <w:szCs w:val="22"/>
        </w:rPr>
        <w:t xml:space="preserve"> SPRI bead-based concentration of extracted genomic DNA.</w:t>
      </w:r>
      <w:r>
        <w:br/>
      </w:r>
      <w:r w:rsidRPr="002E676B">
        <w:rPr>
          <w:rFonts w:ascii="Arial" w:hAnsi="Arial" w:cs="Arial"/>
          <w:sz w:val="22"/>
          <w:szCs w:val="22"/>
        </w:rPr>
        <w:t xml:space="preserve">Diagram of the bead purification workflow used to concentrate genomic DNA following extraction. DNA binds to SPRI beads (dark red) in the presence of </w:t>
      </w:r>
      <w:r w:rsidRPr="275B827F">
        <w:rPr>
          <w:rFonts w:ascii="Arial" w:hAnsi="Arial" w:cs="Arial"/>
          <w:sz w:val="22"/>
          <w:szCs w:val="22"/>
        </w:rPr>
        <w:t>polyethylene glycol (</w:t>
      </w:r>
      <w:r w:rsidRPr="002E676B">
        <w:rPr>
          <w:rFonts w:ascii="Arial" w:hAnsi="Arial" w:cs="Arial"/>
          <w:sz w:val="22"/>
          <w:szCs w:val="22"/>
        </w:rPr>
        <w:t>PEG</w:t>
      </w:r>
      <w:r w:rsidRPr="275B827F">
        <w:rPr>
          <w:rFonts w:ascii="Arial" w:hAnsi="Arial" w:cs="Arial"/>
          <w:sz w:val="22"/>
          <w:szCs w:val="22"/>
        </w:rPr>
        <w:t>)</w:t>
      </w:r>
      <w:r w:rsidRPr="002E676B">
        <w:rPr>
          <w:rFonts w:ascii="Arial" w:hAnsi="Arial" w:cs="Arial"/>
          <w:sz w:val="22"/>
          <w:szCs w:val="22"/>
        </w:rPr>
        <w:t xml:space="preserve"> and salt, while impurities (yellow) remain in solution and are discarded during magnetic separation. Subsequent washing steps remove residual contaminants. In the final elution step, purified high-molecular-weight gDNA (blue) is released from the beads into a low-volume buffer, yielding DNA concentrations exceeding 100 ng/µL suitable for long-read sequencing.</w:t>
      </w:r>
    </w:p>
    <w:p w14:paraId="3C478F0D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047CAF4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D41B553" w14:textId="77777777" w:rsidR="00EA204E" w:rsidRDefault="00EA204E" w:rsidP="00EA204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CD62451" w14:textId="77777777" w:rsidR="00EA204E" w:rsidRPr="002E676B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3C184F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3CB433B" wp14:editId="47DF01D4">
            <wp:extent cx="5435600" cy="2247900"/>
            <wp:effectExtent l="0" t="0" r="0" b="0"/>
            <wp:docPr id="2105055742" name="Picture 28" descr="A diagram of a diagram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66B1AE0-1A3B-49CB-8728-C5457357D6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055742" name="Picture 28" descr="A diagram of a diagram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D6339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F5430FD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4067D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11</w:t>
      </w:r>
      <w:r w:rsidRPr="4A8D7EE4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|</w:t>
      </w:r>
      <w:r w:rsidRPr="00E4067D" w:rsidDel="005B54F6">
        <w:rPr>
          <w:rFonts w:ascii="Arial" w:hAnsi="Arial" w:cs="Arial"/>
          <w:b/>
          <w:bCs/>
          <w:sz w:val="22"/>
          <w:szCs w:val="22"/>
        </w:rPr>
        <w:t xml:space="preserve"> </w:t>
      </w:r>
      <w:r w:rsidRPr="00E4067D">
        <w:rPr>
          <w:rFonts w:ascii="Arial" w:hAnsi="Arial" w:cs="Arial"/>
          <w:b/>
          <w:bCs/>
          <w:sz w:val="22"/>
          <w:szCs w:val="22"/>
        </w:rPr>
        <w:t xml:space="preserve">Bioinformatic workflow for pharmacogenomic annotation and genome-wide imputation. </w:t>
      </w:r>
      <w:r w:rsidRPr="002E676B">
        <w:rPr>
          <w:rFonts w:ascii="Arial" w:hAnsi="Arial" w:cs="Arial"/>
          <w:sz w:val="22"/>
          <w:szCs w:val="22"/>
        </w:rPr>
        <w:t>Schematic overview of the bioinformatic pipeline, illustrating the steps involved in processing sequencing data for pharmacogenomic analysis. The workflow encompasses sequencing on the</w:t>
      </w:r>
      <w:r>
        <w:rPr>
          <w:rFonts w:ascii="Arial" w:hAnsi="Arial" w:cs="Arial"/>
          <w:sz w:val="22"/>
          <w:szCs w:val="22"/>
        </w:rPr>
        <w:t xml:space="preserve"> ONT P2 Solo</w:t>
      </w:r>
      <w:r w:rsidRPr="002E676B">
        <w:rPr>
          <w:rFonts w:ascii="Arial" w:hAnsi="Arial" w:cs="Arial"/>
          <w:sz w:val="22"/>
          <w:szCs w:val="22"/>
        </w:rPr>
        <w:t xml:space="preserve"> platform, basecalling, read mapping, genotyping of target pharmacogenes (including </w:t>
      </w:r>
      <w:r w:rsidRPr="002E676B">
        <w:rPr>
          <w:rFonts w:ascii="Arial" w:hAnsi="Arial" w:cs="Arial"/>
          <w:i/>
          <w:sz w:val="22"/>
          <w:szCs w:val="22"/>
        </w:rPr>
        <w:t>CYP2D6</w:t>
      </w:r>
      <w:r w:rsidRPr="002E676B">
        <w:rPr>
          <w:rFonts w:ascii="Arial" w:hAnsi="Arial" w:cs="Arial"/>
          <w:sz w:val="22"/>
          <w:szCs w:val="22"/>
        </w:rPr>
        <w:t xml:space="preserve"> and </w:t>
      </w:r>
      <w:r w:rsidRPr="002E676B">
        <w:rPr>
          <w:rFonts w:ascii="Arial" w:hAnsi="Arial" w:cs="Arial"/>
          <w:i/>
          <w:sz w:val="22"/>
          <w:szCs w:val="22"/>
        </w:rPr>
        <w:t>HLA</w:t>
      </w:r>
      <w:r w:rsidRPr="002E676B">
        <w:rPr>
          <w:rFonts w:ascii="Arial" w:hAnsi="Arial" w:cs="Arial"/>
          <w:sz w:val="22"/>
          <w:szCs w:val="22"/>
        </w:rPr>
        <w:t xml:space="preserve"> typing), and genome-wide imputation using GLIMPSE2.  In-house scripts are indicated by orange boxes, while steps utilizing third-party tools are shown in blue.  Key file formats </w:t>
      </w:r>
      <w:r>
        <w:rPr>
          <w:rFonts w:ascii="Arial" w:hAnsi="Arial" w:cs="Arial"/>
          <w:sz w:val="22"/>
          <w:szCs w:val="22"/>
        </w:rPr>
        <w:t xml:space="preserve">- </w:t>
      </w:r>
      <w:r w:rsidRPr="002E676B">
        <w:rPr>
          <w:rFonts w:ascii="Arial" w:hAnsi="Arial" w:cs="Arial"/>
          <w:sz w:val="22"/>
          <w:szCs w:val="22"/>
        </w:rPr>
        <w:t>POD5</w:t>
      </w:r>
      <w:r>
        <w:rPr>
          <w:rFonts w:ascii="Arial" w:hAnsi="Arial" w:cs="Arial"/>
          <w:sz w:val="22"/>
          <w:szCs w:val="22"/>
        </w:rPr>
        <w:t xml:space="preserve"> (raw signal)</w:t>
      </w:r>
      <w:r w:rsidRPr="002E676B">
        <w:rPr>
          <w:rFonts w:ascii="Arial" w:hAnsi="Arial" w:cs="Arial"/>
          <w:sz w:val="22"/>
          <w:szCs w:val="22"/>
        </w:rPr>
        <w:t>, CRAM</w:t>
      </w:r>
      <w:r>
        <w:rPr>
          <w:rFonts w:ascii="Arial" w:hAnsi="Arial" w:cs="Arial"/>
          <w:sz w:val="22"/>
          <w:szCs w:val="22"/>
        </w:rPr>
        <w:t xml:space="preserve"> (aligned reads)</w:t>
      </w:r>
      <w:r w:rsidRPr="002E676B">
        <w:rPr>
          <w:rFonts w:ascii="Arial" w:hAnsi="Arial" w:cs="Arial"/>
          <w:sz w:val="22"/>
          <w:szCs w:val="22"/>
        </w:rPr>
        <w:t>, VCF</w:t>
      </w:r>
      <w:r>
        <w:rPr>
          <w:rFonts w:ascii="Arial" w:hAnsi="Arial" w:cs="Arial"/>
          <w:sz w:val="22"/>
          <w:szCs w:val="22"/>
        </w:rPr>
        <w:t xml:space="preserve"> (variant calls) -</w:t>
      </w:r>
      <w:r w:rsidRPr="002E676B">
        <w:rPr>
          <w:rFonts w:ascii="Arial" w:hAnsi="Arial" w:cs="Arial"/>
          <w:sz w:val="22"/>
          <w:szCs w:val="22"/>
        </w:rPr>
        <w:t xml:space="preserve"> and quality control (QC) </w:t>
      </w:r>
      <w:r>
        <w:rPr>
          <w:rFonts w:ascii="Arial" w:hAnsi="Arial" w:cs="Arial"/>
          <w:sz w:val="22"/>
          <w:szCs w:val="22"/>
        </w:rPr>
        <w:t>steps</w:t>
      </w:r>
      <w:r w:rsidRPr="002E676B">
        <w:rPr>
          <w:rFonts w:ascii="Arial" w:hAnsi="Arial" w:cs="Arial"/>
          <w:sz w:val="22"/>
          <w:szCs w:val="22"/>
        </w:rPr>
        <w:t xml:space="preserve"> are highlighted.</w:t>
      </w:r>
    </w:p>
    <w:p w14:paraId="7BE824FD" w14:textId="77777777" w:rsidR="00EA204E" w:rsidRDefault="00EA204E" w:rsidP="00EA204E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3DFEEE8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0DCEA77" w14:textId="77777777" w:rsidR="00EA204E" w:rsidRDefault="00EA204E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61B82D8" w14:textId="68198FDF" w:rsidR="00EA204E" w:rsidRDefault="007F007D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37B1462A" wp14:editId="5962F16C">
            <wp:extent cx="5731510" cy="2795270"/>
            <wp:effectExtent l="0" t="0" r="2540" b="5080"/>
            <wp:docPr id="1251367436" name="Picture 1" descr="A diagram of a flowchar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E0054F9-45C3-44E4-A145-02ECE49ED9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367436" name="Picture 1" descr="A diagram of a flowchart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C109B" w14:textId="77777777" w:rsidR="00D45022" w:rsidRDefault="00D45022" w:rsidP="00EA204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8774101" w14:textId="1585CEC9" w:rsidR="00EA204E" w:rsidRDefault="3B10917D" w:rsidP="00EA204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667E798F">
        <w:rPr>
          <w:rFonts w:ascii="Arial" w:hAnsi="Arial" w:cs="Arial"/>
          <w:b/>
          <w:bCs/>
          <w:sz w:val="22"/>
          <w:szCs w:val="22"/>
        </w:rPr>
        <w:t>Supplementary Figure 12 | Novel CYP2D6 caller workflow.</w:t>
      </w:r>
      <w:r w:rsidRPr="667E798F">
        <w:rPr>
          <w:rFonts w:ascii="Arial" w:hAnsi="Arial" w:cs="Arial"/>
          <w:sz w:val="22"/>
          <w:szCs w:val="22"/>
        </w:rPr>
        <w:t xml:space="preserve"> </w:t>
      </w:r>
      <w:r w:rsidRPr="667E798F">
        <w:rPr>
          <w:rFonts w:ascii="Arial" w:hAnsi="Arial" w:cs="Arial"/>
          <w:b/>
          <w:bCs/>
          <w:sz w:val="22"/>
          <w:szCs w:val="22"/>
        </w:rPr>
        <w:t>(a)</w:t>
      </w:r>
      <w:r w:rsidRPr="667E798F">
        <w:rPr>
          <w:rFonts w:ascii="Arial" w:hAnsi="Arial" w:cs="Arial"/>
          <w:sz w:val="22"/>
          <w:szCs w:val="22"/>
        </w:rPr>
        <w:t xml:space="preserve"> Schematic outlining the initial variant calling process for </w:t>
      </w:r>
      <w:r w:rsidRPr="667E798F">
        <w:rPr>
          <w:rFonts w:ascii="Arial" w:hAnsi="Arial" w:cs="Arial"/>
          <w:i/>
          <w:iCs/>
          <w:sz w:val="22"/>
          <w:szCs w:val="22"/>
        </w:rPr>
        <w:t>CYP2D6</w:t>
      </w:r>
      <w:r w:rsidRPr="667E798F">
        <w:rPr>
          <w:rFonts w:ascii="Arial" w:hAnsi="Arial" w:cs="Arial"/>
          <w:sz w:val="22"/>
          <w:szCs w:val="22"/>
        </w:rPr>
        <w:t xml:space="preserve">, where non-hybrid reads are used as input for Clair3 and NanoCaller, followed by phasing with WhatsHap and diplotype calling with PharmCAT. </w:t>
      </w:r>
      <w:r w:rsidRPr="667E798F">
        <w:rPr>
          <w:rFonts w:ascii="Arial" w:hAnsi="Arial" w:cs="Arial"/>
          <w:b/>
          <w:bCs/>
          <w:sz w:val="22"/>
          <w:szCs w:val="22"/>
        </w:rPr>
        <w:t>(b)</w:t>
      </w:r>
      <w:r w:rsidRPr="667E798F">
        <w:rPr>
          <w:rFonts w:ascii="Arial" w:hAnsi="Arial" w:cs="Arial"/>
          <w:sz w:val="22"/>
          <w:szCs w:val="22"/>
        </w:rPr>
        <w:t xml:space="preserve"> Heuristic approach for detecting duplications and deletions in </w:t>
      </w:r>
      <w:r w:rsidRPr="667E798F">
        <w:rPr>
          <w:rFonts w:ascii="Arial" w:hAnsi="Arial" w:cs="Arial"/>
          <w:i/>
          <w:iCs/>
          <w:sz w:val="22"/>
          <w:szCs w:val="22"/>
        </w:rPr>
        <w:t>CYP2D6</w:t>
      </w:r>
      <w:r w:rsidRPr="667E798F">
        <w:rPr>
          <w:rFonts w:ascii="Arial" w:hAnsi="Arial" w:cs="Arial"/>
          <w:sz w:val="22"/>
          <w:szCs w:val="22"/>
        </w:rPr>
        <w:t>, including copy number refinement and resolution of complex allele combinations.</w:t>
      </w:r>
      <w:r w:rsidR="7D860996" w:rsidRPr="667E798F">
        <w:rPr>
          <w:rFonts w:ascii="Arial" w:hAnsi="Arial" w:cs="Arial"/>
          <w:sz w:val="22"/>
          <w:szCs w:val="22"/>
        </w:rPr>
        <w:t xml:space="preserve"> </w:t>
      </w:r>
      <w:r w:rsidR="7D860996" w:rsidRPr="00550BAA">
        <w:rPr>
          <w:rFonts w:ascii="Arial" w:hAnsi="Arial" w:cs="Arial"/>
          <w:b/>
          <w:bCs/>
          <w:sz w:val="22"/>
          <w:szCs w:val="22"/>
        </w:rPr>
        <w:t>(</w:t>
      </w:r>
      <w:r w:rsidR="3C0992AA" w:rsidRPr="00550BAA">
        <w:rPr>
          <w:rFonts w:ascii="Arial" w:hAnsi="Arial" w:cs="Arial"/>
          <w:b/>
          <w:bCs/>
          <w:sz w:val="22"/>
          <w:szCs w:val="22"/>
        </w:rPr>
        <w:t>c</w:t>
      </w:r>
      <w:r w:rsidR="63D3C1CE" w:rsidRPr="00550BAA">
        <w:rPr>
          <w:rFonts w:ascii="Arial" w:hAnsi="Arial" w:cs="Arial"/>
          <w:b/>
          <w:bCs/>
          <w:sz w:val="22"/>
          <w:szCs w:val="22"/>
        </w:rPr>
        <w:t>)</w:t>
      </w:r>
      <w:r w:rsidRPr="667E798F">
        <w:rPr>
          <w:rFonts w:ascii="Arial" w:hAnsi="Arial" w:cs="Arial"/>
          <w:sz w:val="22"/>
          <w:szCs w:val="22"/>
        </w:rPr>
        <w:t xml:space="preserve"> </w:t>
      </w:r>
      <w:r w:rsidR="231F15BA" w:rsidRPr="667E798F">
        <w:rPr>
          <w:rFonts w:ascii="Arial" w:hAnsi="Arial" w:cs="Arial"/>
          <w:sz w:val="22"/>
          <w:szCs w:val="22"/>
        </w:rPr>
        <w:t>H</w:t>
      </w:r>
      <w:r w:rsidR="21CE274F" w:rsidRPr="667E798F">
        <w:rPr>
          <w:rFonts w:ascii="Arial" w:hAnsi="Arial" w:cs="Arial"/>
          <w:sz w:val="22"/>
          <w:szCs w:val="22"/>
        </w:rPr>
        <w:t>ybrid</w:t>
      </w:r>
      <w:r w:rsidR="00950FDE">
        <w:rPr>
          <w:rFonts w:ascii="Arial" w:hAnsi="Arial" w:cs="Arial"/>
          <w:sz w:val="22"/>
          <w:szCs w:val="22"/>
        </w:rPr>
        <w:t xml:space="preserve"> rea</w:t>
      </w:r>
      <w:r w:rsidR="005535D0">
        <w:rPr>
          <w:rFonts w:ascii="Arial" w:hAnsi="Arial" w:cs="Arial"/>
          <w:sz w:val="22"/>
          <w:szCs w:val="22"/>
        </w:rPr>
        <w:t>d</w:t>
      </w:r>
      <w:r w:rsidR="21CE274F" w:rsidRPr="667E798F">
        <w:rPr>
          <w:rFonts w:ascii="Arial" w:hAnsi="Arial" w:cs="Arial"/>
          <w:sz w:val="22"/>
          <w:szCs w:val="22"/>
        </w:rPr>
        <w:t xml:space="preserve"> </w:t>
      </w:r>
      <w:r w:rsidR="75196EA8" w:rsidRPr="667E798F">
        <w:rPr>
          <w:rFonts w:ascii="Arial" w:hAnsi="Arial" w:cs="Arial"/>
          <w:sz w:val="22"/>
          <w:szCs w:val="22"/>
        </w:rPr>
        <w:t>identificat</w:t>
      </w:r>
      <w:r w:rsidR="511FDB96" w:rsidRPr="667E798F">
        <w:rPr>
          <w:rFonts w:ascii="Arial" w:hAnsi="Arial" w:cs="Arial"/>
          <w:sz w:val="22"/>
          <w:szCs w:val="22"/>
        </w:rPr>
        <w:t xml:space="preserve">ion. </w:t>
      </w:r>
      <w:r w:rsidR="7FBE2299" w:rsidRPr="667E798F">
        <w:rPr>
          <w:rFonts w:ascii="Arial" w:hAnsi="Arial" w:cs="Arial"/>
          <w:sz w:val="22"/>
          <w:szCs w:val="22"/>
        </w:rPr>
        <w:t>F</w:t>
      </w:r>
      <w:r w:rsidR="37F0A837" w:rsidRPr="667E798F">
        <w:rPr>
          <w:rFonts w:ascii="Arial" w:hAnsi="Arial" w:cs="Arial"/>
          <w:sz w:val="22"/>
          <w:szCs w:val="22"/>
        </w:rPr>
        <w:t>or each</w:t>
      </w:r>
      <w:r w:rsidR="21C8214F" w:rsidRPr="667E798F">
        <w:rPr>
          <w:rFonts w:ascii="Arial" w:hAnsi="Arial" w:cs="Arial"/>
          <w:sz w:val="22"/>
          <w:szCs w:val="22"/>
        </w:rPr>
        <w:t xml:space="preserve"> read, </w:t>
      </w:r>
      <w:r w:rsidR="07B1C02B" w:rsidRPr="667E798F">
        <w:rPr>
          <w:rFonts w:ascii="Arial" w:hAnsi="Arial" w:cs="Arial"/>
          <w:sz w:val="22"/>
          <w:szCs w:val="22"/>
        </w:rPr>
        <w:t>where avai</w:t>
      </w:r>
      <w:r w:rsidR="2CA120BA" w:rsidRPr="667E798F">
        <w:rPr>
          <w:rFonts w:ascii="Arial" w:hAnsi="Arial" w:cs="Arial"/>
          <w:sz w:val="22"/>
          <w:szCs w:val="22"/>
        </w:rPr>
        <w:t xml:space="preserve">lable, </w:t>
      </w:r>
      <w:r w:rsidR="62DF38BF" w:rsidRPr="667E798F">
        <w:rPr>
          <w:rFonts w:ascii="Arial" w:hAnsi="Arial" w:cs="Arial"/>
          <w:sz w:val="22"/>
          <w:szCs w:val="22"/>
        </w:rPr>
        <w:t>gene-</w:t>
      </w:r>
      <w:r w:rsidR="2DFE1253" w:rsidRPr="667E798F">
        <w:rPr>
          <w:rFonts w:ascii="Arial" w:hAnsi="Arial" w:cs="Arial"/>
          <w:sz w:val="22"/>
          <w:szCs w:val="22"/>
        </w:rPr>
        <w:t>d</w:t>
      </w:r>
      <w:r w:rsidR="535D3BA1" w:rsidRPr="667E798F">
        <w:rPr>
          <w:rFonts w:ascii="Arial" w:hAnsi="Arial" w:cs="Arial"/>
          <w:sz w:val="22"/>
          <w:szCs w:val="22"/>
        </w:rPr>
        <w:t>i</w:t>
      </w:r>
      <w:r w:rsidR="1630AF1C" w:rsidRPr="667E798F">
        <w:rPr>
          <w:rFonts w:ascii="Arial" w:hAnsi="Arial" w:cs="Arial"/>
          <w:sz w:val="22"/>
          <w:szCs w:val="22"/>
        </w:rPr>
        <w:t>stinguishing</w:t>
      </w:r>
      <w:r w:rsidR="7598E369" w:rsidRPr="667E798F">
        <w:rPr>
          <w:rFonts w:ascii="Arial" w:hAnsi="Arial" w:cs="Arial"/>
          <w:sz w:val="22"/>
          <w:szCs w:val="22"/>
        </w:rPr>
        <w:t xml:space="preserve"> variants</w:t>
      </w:r>
      <w:r w:rsidR="2BBAD81F" w:rsidRPr="667E798F">
        <w:rPr>
          <w:rFonts w:ascii="Arial" w:hAnsi="Arial" w:cs="Arial"/>
          <w:sz w:val="22"/>
          <w:szCs w:val="22"/>
        </w:rPr>
        <w:t xml:space="preserve"> </w:t>
      </w:r>
      <w:r w:rsidR="1D047436" w:rsidRPr="667E798F">
        <w:rPr>
          <w:rFonts w:ascii="Arial" w:hAnsi="Arial" w:cs="Arial"/>
          <w:sz w:val="22"/>
          <w:szCs w:val="22"/>
        </w:rPr>
        <w:t>were</w:t>
      </w:r>
      <w:r w:rsidR="25B75029" w:rsidRPr="667E798F">
        <w:rPr>
          <w:rFonts w:ascii="Arial" w:hAnsi="Arial" w:cs="Arial"/>
          <w:sz w:val="22"/>
          <w:szCs w:val="22"/>
        </w:rPr>
        <w:t xml:space="preserve"> u</w:t>
      </w:r>
      <w:r w:rsidR="47F24138" w:rsidRPr="667E798F">
        <w:rPr>
          <w:rFonts w:ascii="Arial" w:hAnsi="Arial" w:cs="Arial"/>
          <w:sz w:val="22"/>
          <w:szCs w:val="22"/>
        </w:rPr>
        <w:t xml:space="preserve">sed to </w:t>
      </w:r>
      <w:r w:rsidR="6BDB3C99" w:rsidRPr="667E798F">
        <w:rPr>
          <w:rFonts w:ascii="Arial" w:hAnsi="Arial" w:cs="Arial"/>
          <w:sz w:val="22"/>
          <w:szCs w:val="22"/>
        </w:rPr>
        <w:t xml:space="preserve">assign </w:t>
      </w:r>
      <w:r w:rsidR="628391CD" w:rsidRPr="667E798F">
        <w:rPr>
          <w:rFonts w:ascii="Arial" w:hAnsi="Arial" w:cs="Arial"/>
          <w:sz w:val="22"/>
          <w:szCs w:val="22"/>
        </w:rPr>
        <w:t xml:space="preserve">regions </w:t>
      </w:r>
      <w:r w:rsidR="08D3F51E" w:rsidRPr="667E798F">
        <w:rPr>
          <w:rFonts w:ascii="Arial" w:hAnsi="Arial" w:cs="Arial"/>
          <w:sz w:val="22"/>
          <w:szCs w:val="22"/>
        </w:rPr>
        <w:t xml:space="preserve">of </w:t>
      </w:r>
      <w:r w:rsidR="05FE8265" w:rsidRPr="667E798F">
        <w:rPr>
          <w:rFonts w:ascii="Arial" w:hAnsi="Arial" w:cs="Arial"/>
          <w:sz w:val="22"/>
          <w:szCs w:val="22"/>
        </w:rPr>
        <w:t>a</w:t>
      </w:r>
      <w:r w:rsidR="08D3F51E" w:rsidRPr="667E798F">
        <w:rPr>
          <w:rFonts w:ascii="Arial" w:hAnsi="Arial" w:cs="Arial"/>
          <w:sz w:val="22"/>
          <w:szCs w:val="22"/>
        </w:rPr>
        <w:t xml:space="preserve"> read</w:t>
      </w:r>
      <w:r w:rsidR="2124AC46" w:rsidRPr="667E798F">
        <w:rPr>
          <w:rFonts w:ascii="Arial" w:hAnsi="Arial" w:cs="Arial"/>
          <w:sz w:val="22"/>
          <w:szCs w:val="22"/>
        </w:rPr>
        <w:t xml:space="preserve"> </w:t>
      </w:r>
      <w:r w:rsidR="74D4E299" w:rsidRPr="667E798F">
        <w:rPr>
          <w:rFonts w:ascii="Arial" w:hAnsi="Arial" w:cs="Arial"/>
          <w:sz w:val="22"/>
          <w:szCs w:val="22"/>
        </w:rPr>
        <w:t>as or</w:t>
      </w:r>
      <w:r w:rsidR="58DE7665" w:rsidRPr="667E798F">
        <w:rPr>
          <w:rFonts w:ascii="Arial" w:hAnsi="Arial" w:cs="Arial"/>
          <w:sz w:val="22"/>
          <w:szCs w:val="22"/>
        </w:rPr>
        <w:t>iginating</w:t>
      </w:r>
      <w:r w:rsidR="77A1AD5F" w:rsidRPr="667E798F">
        <w:rPr>
          <w:rFonts w:ascii="Arial" w:hAnsi="Arial" w:cs="Arial"/>
          <w:sz w:val="22"/>
          <w:szCs w:val="22"/>
        </w:rPr>
        <w:t xml:space="preserve"> from</w:t>
      </w:r>
      <w:r w:rsidR="2124AC46" w:rsidRPr="667E798F">
        <w:rPr>
          <w:rFonts w:ascii="Arial" w:hAnsi="Arial" w:cs="Arial"/>
          <w:sz w:val="22"/>
          <w:szCs w:val="22"/>
        </w:rPr>
        <w:t xml:space="preserve"> </w:t>
      </w:r>
      <w:r w:rsidR="7AA19C21" w:rsidRPr="667E798F">
        <w:rPr>
          <w:rFonts w:ascii="Arial" w:hAnsi="Arial" w:cs="Arial"/>
          <w:sz w:val="22"/>
          <w:szCs w:val="22"/>
        </w:rPr>
        <w:t xml:space="preserve">either </w:t>
      </w:r>
      <w:r w:rsidR="4FABAF95" w:rsidRPr="667E798F">
        <w:rPr>
          <w:rFonts w:ascii="Arial" w:hAnsi="Arial" w:cs="Arial"/>
          <w:i/>
          <w:iCs/>
          <w:sz w:val="22"/>
          <w:szCs w:val="22"/>
        </w:rPr>
        <w:t>C</w:t>
      </w:r>
      <w:r w:rsidR="6B548A39" w:rsidRPr="667E798F">
        <w:rPr>
          <w:rFonts w:ascii="Arial" w:hAnsi="Arial" w:cs="Arial"/>
          <w:i/>
          <w:iCs/>
          <w:sz w:val="22"/>
          <w:szCs w:val="22"/>
        </w:rPr>
        <w:t>YP2D</w:t>
      </w:r>
      <w:r w:rsidR="77AB0CCC" w:rsidRPr="667E798F">
        <w:rPr>
          <w:rFonts w:ascii="Arial" w:hAnsi="Arial" w:cs="Arial"/>
          <w:i/>
          <w:iCs/>
          <w:sz w:val="22"/>
          <w:szCs w:val="22"/>
        </w:rPr>
        <w:t>6</w:t>
      </w:r>
      <w:r w:rsidR="1B2DA43F" w:rsidRPr="667E798F">
        <w:rPr>
          <w:rFonts w:ascii="Arial" w:hAnsi="Arial" w:cs="Arial"/>
          <w:i/>
          <w:iCs/>
          <w:sz w:val="22"/>
          <w:szCs w:val="22"/>
        </w:rPr>
        <w:t xml:space="preserve"> </w:t>
      </w:r>
      <w:r w:rsidR="1B2DA43F" w:rsidRPr="667E798F">
        <w:rPr>
          <w:rFonts w:ascii="Arial" w:hAnsi="Arial" w:cs="Arial"/>
          <w:sz w:val="22"/>
          <w:szCs w:val="22"/>
        </w:rPr>
        <w:t xml:space="preserve">or </w:t>
      </w:r>
      <w:r w:rsidR="1937B7C2" w:rsidRPr="667E798F">
        <w:rPr>
          <w:rFonts w:ascii="Arial" w:hAnsi="Arial" w:cs="Arial"/>
          <w:i/>
          <w:iCs/>
          <w:sz w:val="22"/>
          <w:szCs w:val="22"/>
        </w:rPr>
        <w:t>CYP2</w:t>
      </w:r>
      <w:r w:rsidR="03B71781" w:rsidRPr="667E798F">
        <w:rPr>
          <w:rFonts w:ascii="Arial" w:hAnsi="Arial" w:cs="Arial"/>
          <w:i/>
          <w:iCs/>
          <w:sz w:val="22"/>
          <w:szCs w:val="22"/>
        </w:rPr>
        <w:t>D7</w:t>
      </w:r>
      <w:r w:rsidR="4AA15578" w:rsidRPr="667E798F">
        <w:rPr>
          <w:rFonts w:ascii="Arial" w:hAnsi="Arial" w:cs="Arial"/>
          <w:sz w:val="22"/>
          <w:szCs w:val="22"/>
        </w:rPr>
        <w:t xml:space="preserve">. </w:t>
      </w:r>
      <w:r w:rsidR="2A3D1C90" w:rsidRPr="667E798F">
        <w:rPr>
          <w:rFonts w:ascii="Arial" w:hAnsi="Arial" w:cs="Arial"/>
          <w:sz w:val="22"/>
          <w:szCs w:val="22"/>
        </w:rPr>
        <w:t>Swi</w:t>
      </w:r>
      <w:r w:rsidR="4DD5C17F" w:rsidRPr="667E798F">
        <w:rPr>
          <w:rFonts w:ascii="Arial" w:hAnsi="Arial" w:cs="Arial"/>
          <w:sz w:val="22"/>
          <w:szCs w:val="22"/>
        </w:rPr>
        <w:t xml:space="preserve">tches </w:t>
      </w:r>
      <w:r w:rsidR="008666D3">
        <w:rPr>
          <w:rFonts w:ascii="Arial" w:hAnsi="Arial" w:cs="Arial"/>
          <w:sz w:val="22"/>
          <w:szCs w:val="22"/>
        </w:rPr>
        <w:t>were</w:t>
      </w:r>
      <w:r w:rsidR="4DD5C17F" w:rsidRPr="667E798F">
        <w:rPr>
          <w:rFonts w:ascii="Arial" w:hAnsi="Arial" w:cs="Arial"/>
          <w:sz w:val="22"/>
          <w:szCs w:val="22"/>
        </w:rPr>
        <w:t xml:space="preserve"> then </w:t>
      </w:r>
      <w:r w:rsidR="4A4BA490" w:rsidRPr="667E798F">
        <w:rPr>
          <w:rFonts w:ascii="Arial" w:hAnsi="Arial" w:cs="Arial"/>
          <w:sz w:val="22"/>
          <w:szCs w:val="22"/>
        </w:rPr>
        <w:t xml:space="preserve">identified </w:t>
      </w:r>
      <w:r w:rsidR="05046CB4" w:rsidRPr="667E798F">
        <w:rPr>
          <w:rFonts w:ascii="Arial" w:hAnsi="Arial" w:cs="Arial"/>
          <w:sz w:val="22"/>
          <w:szCs w:val="22"/>
        </w:rPr>
        <w:t xml:space="preserve">by </w:t>
      </w:r>
      <w:r w:rsidR="2880EE3E" w:rsidRPr="667E798F">
        <w:rPr>
          <w:rFonts w:ascii="Arial" w:hAnsi="Arial" w:cs="Arial"/>
          <w:sz w:val="22"/>
          <w:szCs w:val="22"/>
        </w:rPr>
        <w:t xml:space="preserve">detecting </w:t>
      </w:r>
      <w:r w:rsidR="19CE6C14" w:rsidRPr="667E798F">
        <w:rPr>
          <w:rFonts w:ascii="Arial" w:hAnsi="Arial" w:cs="Arial"/>
          <w:sz w:val="22"/>
          <w:szCs w:val="22"/>
        </w:rPr>
        <w:t>transitio</w:t>
      </w:r>
      <w:r w:rsidR="44BA3C83" w:rsidRPr="667E798F">
        <w:rPr>
          <w:rFonts w:ascii="Arial" w:hAnsi="Arial" w:cs="Arial"/>
          <w:sz w:val="22"/>
          <w:szCs w:val="22"/>
        </w:rPr>
        <w:t xml:space="preserve">n </w:t>
      </w:r>
      <w:r w:rsidR="376EB201" w:rsidRPr="667E798F">
        <w:rPr>
          <w:rFonts w:ascii="Arial" w:hAnsi="Arial" w:cs="Arial"/>
          <w:sz w:val="22"/>
          <w:szCs w:val="22"/>
        </w:rPr>
        <w:t>points bet</w:t>
      </w:r>
      <w:r w:rsidR="69516C49" w:rsidRPr="667E798F">
        <w:rPr>
          <w:rFonts w:ascii="Arial" w:hAnsi="Arial" w:cs="Arial"/>
          <w:sz w:val="22"/>
          <w:szCs w:val="22"/>
        </w:rPr>
        <w:t>ween one gen</w:t>
      </w:r>
      <w:r w:rsidR="71563C52" w:rsidRPr="667E798F">
        <w:rPr>
          <w:rFonts w:ascii="Arial" w:hAnsi="Arial" w:cs="Arial"/>
          <w:sz w:val="22"/>
          <w:szCs w:val="22"/>
        </w:rPr>
        <w:t>e to an</w:t>
      </w:r>
      <w:r w:rsidR="4A8D4F25" w:rsidRPr="667E798F">
        <w:rPr>
          <w:rFonts w:ascii="Arial" w:hAnsi="Arial" w:cs="Arial"/>
          <w:sz w:val="22"/>
          <w:szCs w:val="22"/>
        </w:rPr>
        <w:t>other</w:t>
      </w:r>
      <w:r w:rsidR="191EB0C2" w:rsidRPr="667E798F">
        <w:rPr>
          <w:rFonts w:ascii="Arial" w:hAnsi="Arial" w:cs="Arial"/>
          <w:sz w:val="22"/>
          <w:szCs w:val="22"/>
        </w:rPr>
        <w:t>.</w:t>
      </w:r>
      <w:r w:rsidR="49E92D74" w:rsidRPr="667E798F">
        <w:rPr>
          <w:rFonts w:ascii="Arial" w:hAnsi="Arial" w:cs="Arial"/>
          <w:sz w:val="22"/>
          <w:szCs w:val="22"/>
        </w:rPr>
        <w:t xml:space="preserve"> </w:t>
      </w:r>
      <w:r w:rsidR="6C1B3EBE" w:rsidRPr="667E798F">
        <w:rPr>
          <w:rFonts w:ascii="Arial" w:hAnsi="Arial" w:cs="Arial"/>
          <w:sz w:val="22"/>
          <w:szCs w:val="22"/>
        </w:rPr>
        <w:t>A hybrid was considered present if the same switch was supported by at least three unique reads.</w:t>
      </w:r>
      <w:r w:rsidR="03B71781" w:rsidRPr="667E798F">
        <w:rPr>
          <w:rFonts w:ascii="Arial" w:hAnsi="Arial" w:cs="Arial"/>
          <w:i/>
          <w:iCs/>
          <w:sz w:val="22"/>
          <w:szCs w:val="22"/>
        </w:rPr>
        <w:t xml:space="preserve"> </w:t>
      </w:r>
      <w:r w:rsidRPr="667E798F">
        <w:rPr>
          <w:rFonts w:ascii="Arial" w:hAnsi="Arial" w:cs="Arial"/>
          <w:b/>
          <w:bCs/>
          <w:sz w:val="22"/>
          <w:szCs w:val="22"/>
        </w:rPr>
        <w:t>(</w:t>
      </w:r>
      <w:r w:rsidR="345A23A2" w:rsidRPr="667E798F">
        <w:rPr>
          <w:rFonts w:ascii="Arial" w:hAnsi="Arial" w:cs="Arial"/>
          <w:b/>
          <w:bCs/>
          <w:sz w:val="22"/>
          <w:szCs w:val="22"/>
        </w:rPr>
        <w:t>d</w:t>
      </w:r>
      <w:r w:rsidRPr="667E798F">
        <w:rPr>
          <w:rFonts w:ascii="Arial" w:hAnsi="Arial" w:cs="Arial"/>
          <w:b/>
          <w:bCs/>
          <w:sz w:val="22"/>
          <w:szCs w:val="22"/>
        </w:rPr>
        <w:t>)</w:t>
      </w:r>
      <w:r w:rsidRPr="667E798F">
        <w:rPr>
          <w:rFonts w:ascii="Arial" w:hAnsi="Arial" w:cs="Arial"/>
          <w:sz w:val="22"/>
          <w:szCs w:val="22"/>
        </w:rPr>
        <w:t xml:space="preserve"> Heuristic for resolving tandem hybrids, involving structural variant (SV) calling and haplotype association to determine hybrid allele composition.</w:t>
      </w:r>
    </w:p>
    <w:p w14:paraId="60262E3F" w14:textId="77777777" w:rsidR="001D5526" w:rsidRDefault="001D5526"/>
    <w:sectPr w:rsidR="001D5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4E"/>
    <w:rsid w:val="00035564"/>
    <w:rsid w:val="00044D4F"/>
    <w:rsid w:val="000454D7"/>
    <w:rsid w:val="00050899"/>
    <w:rsid w:val="000744CD"/>
    <w:rsid w:val="000C4E61"/>
    <w:rsid w:val="000F55A5"/>
    <w:rsid w:val="001001B7"/>
    <w:rsid w:val="00124908"/>
    <w:rsid w:val="001311C2"/>
    <w:rsid w:val="001568B8"/>
    <w:rsid w:val="0017342C"/>
    <w:rsid w:val="001757A2"/>
    <w:rsid w:val="0018381E"/>
    <w:rsid w:val="001912E2"/>
    <w:rsid w:val="00193CD3"/>
    <w:rsid w:val="001A5981"/>
    <w:rsid w:val="001B16E4"/>
    <w:rsid w:val="001C5527"/>
    <w:rsid w:val="001C627D"/>
    <w:rsid w:val="001D5526"/>
    <w:rsid w:val="001E6BBF"/>
    <w:rsid w:val="00210C17"/>
    <w:rsid w:val="00222A11"/>
    <w:rsid w:val="0024395B"/>
    <w:rsid w:val="00257B54"/>
    <w:rsid w:val="00262A90"/>
    <w:rsid w:val="00267995"/>
    <w:rsid w:val="002A3994"/>
    <w:rsid w:val="002A4463"/>
    <w:rsid w:val="002B41E2"/>
    <w:rsid w:val="002B4458"/>
    <w:rsid w:val="002D2C98"/>
    <w:rsid w:val="002F449C"/>
    <w:rsid w:val="00317806"/>
    <w:rsid w:val="003252A9"/>
    <w:rsid w:val="00353D59"/>
    <w:rsid w:val="003654D1"/>
    <w:rsid w:val="00365DD6"/>
    <w:rsid w:val="00366F25"/>
    <w:rsid w:val="00377B29"/>
    <w:rsid w:val="00384782"/>
    <w:rsid w:val="00395A37"/>
    <w:rsid w:val="003A1316"/>
    <w:rsid w:val="003C5866"/>
    <w:rsid w:val="003D5DD0"/>
    <w:rsid w:val="003D5FC4"/>
    <w:rsid w:val="003E1233"/>
    <w:rsid w:val="003F0CF5"/>
    <w:rsid w:val="004114E7"/>
    <w:rsid w:val="00466FEC"/>
    <w:rsid w:val="004A0110"/>
    <w:rsid w:val="004B66CE"/>
    <w:rsid w:val="004C2308"/>
    <w:rsid w:val="004E0450"/>
    <w:rsid w:val="004E2E04"/>
    <w:rsid w:val="004F4AA2"/>
    <w:rsid w:val="004F65BB"/>
    <w:rsid w:val="00533381"/>
    <w:rsid w:val="00533A5D"/>
    <w:rsid w:val="00535740"/>
    <w:rsid w:val="00540158"/>
    <w:rsid w:val="005469DD"/>
    <w:rsid w:val="00550BAA"/>
    <w:rsid w:val="005535D0"/>
    <w:rsid w:val="0057074A"/>
    <w:rsid w:val="00575838"/>
    <w:rsid w:val="005765C1"/>
    <w:rsid w:val="0057770B"/>
    <w:rsid w:val="005A37D8"/>
    <w:rsid w:val="005B5179"/>
    <w:rsid w:val="005C2DC2"/>
    <w:rsid w:val="005F7114"/>
    <w:rsid w:val="0060105D"/>
    <w:rsid w:val="0062015A"/>
    <w:rsid w:val="006477A6"/>
    <w:rsid w:val="0065165E"/>
    <w:rsid w:val="00654E28"/>
    <w:rsid w:val="006764E9"/>
    <w:rsid w:val="00692085"/>
    <w:rsid w:val="00692C63"/>
    <w:rsid w:val="006A67DC"/>
    <w:rsid w:val="006A7B4A"/>
    <w:rsid w:val="006C1DA1"/>
    <w:rsid w:val="006C2A53"/>
    <w:rsid w:val="006C624A"/>
    <w:rsid w:val="0071060A"/>
    <w:rsid w:val="00711C39"/>
    <w:rsid w:val="00721E19"/>
    <w:rsid w:val="00723F94"/>
    <w:rsid w:val="007425E5"/>
    <w:rsid w:val="00742F34"/>
    <w:rsid w:val="00756055"/>
    <w:rsid w:val="00765E1F"/>
    <w:rsid w:val="00773094"/>
    <w:rsid w:val="00784856"/>
    <w:rsid w:val="00786E80"/>
    <w:rsid w:val="007879F3"/>
    <w:rsid w:val="00787E75"/>
    <w:rsid w:val="00790AC4"/>
    <w:rsid w:val="007C1626"/>
    <w:rsid w:val="007D1E54"/>
    <w:rsid w:val="007F007D"/>
    <w:rsid w:val="007F0703"/>
    <w:rsid w:val="00802C8B"/>
    <w:rsid w:val="008079CB"/>
    <w:rsid w:val="008128E3"/>
    <w:rsid w:val="00821EC6"/>
    <w:rsid w:val="0082266F"/>
    <w:rsid w:val="00824EAC"/>
    <w:rsid w:val="008258E7"/>
    <w:rsid w:val="008666B6"/>
    <w:rsid w:val="008666D3"/>
    <w:rsid w:val="008B0D72"/>
    <w:rsid w:val="008B627D"/>
    <w:rsid w:val="008D5B39"/>
    <w:rsid w:val="008E294D"/>
    <w:rsid w:val="00905B80"/>
    <w:rsid w:val="00931B08"/>
    <w:rsid w:val="00943832"/>
    <w:rsid w:val="00950A0E"/>
    <w:rsid w:val="00950FDE"/>
    <w:rsid w:val="00956818"/>
    <w:rsid w:val="00964205"/>
    <w:rsid w:val="00971A69"/>
    <w:rsid w:val="00991E91"/>
    <w:rsid w:val="009B1C54"/>
    <w:rsid w:val="009B3DA1"/>
    <w:rsid w:val="009B6A8E"/>
    <w:rsid w:val="009B6F7F"/>
    <w:rsid w:val="009D226D"/>
    <w:rsid w:val="009E790E"/>
    <w:rsid w:val="009F58AA"/>
    <w:rsid w:val="00A20595"/>
    <w:rsid w:val="00A526C8"/>
    <w:rsid w:val="00A52730"/>
    <w:rsid w:val="00A56E33"/>
    <w:rsid w:val="00A8500B"/>
    <w:rsid w:val="00AB0AF0"/>
    <w:rsid w:val="00AC7D27"/>
    <w:rsid w:val="00B21F21"/>
    <w:rsid w:val="00B251D7"/>
    <w:rsid w:val="00B464E7"/>
    <w:rsid w:val="00B8062E"/>
    <w:rsid w:val="00B97836"/>
    <w:rsid w:val="00BE210D"/>
    <w:rsid w:val="00BF3DFE"/>
    <w:rsid w:val="00BF664A"/>
    <w:rsid w:val="00C22FF8"/>
    <w:rsid w:val="00C2796F"/>
    <w:rsid w:val="00C51F2E"/>
    <w:rsid w:val="00C8408E"/>
    <w:rsid w:val="00C84C80"/>
    <w:rsid w:val="00C94642"/>
    <w:rsid w:val="00CA5CBD"/>
    <w:rsid w:val="00CB5459"/>
    <w:rsid w:val="00CB67BD"/>
    <w:rsid w:val="00CC5278"/>
    <w:rsid w:val="00CE2A57"/>
    <w:rsid w:val="00CE793F"/>
    <w:rsid w:val="00CE7EB5"/>
    <w:rsid w:val="00D116AA"/>
    <w:rsid w:val="00D11CE1"/>
    <w:rsid w:val="00D11FF8"/>
    <w:rsid w:val="00D34340"/>
    <w:rsid w:val="00D42EBF"/>
    <w:rsid w:val="00D45022"/>
    <w:rsid w:val="00D4581E"/>
    <w:rsid w:val="00D572BE"/>
    <w:rsid w:val="00D77C0A"/>
    <w:rsid w:val="00D83D15"/>
    <w:rsid w:val="00DA2F53"/>
    <w:rsid w:val="00DC335D"/>
    <w:rsid w:val="00DD52E8"/>
    <w:rsid w:val="00DD6FF3"/>
    <w:rsid w:val="00DF3954"/>
    <w:rsid w:val="00DF4BFC"/>
    <w:rsid w:val="00DF6DA0"/>
    <w:rsid w:val="00E1175B"/>
    <w:rsid w:val="00E3299E"/>
    <w:rsid w:val="00E53CCE"/>
    <w:rsid w:val="00E6005C"/>
    <w:rsid w:val="00E66F31"/>
    <w:rsid w:val="00E77AC9"/>
    <w:rsid w:val="00E877A8"/>
    <w:rsid w:val="00E945E5"/>
    <w:rsid w:val="00EA204E"/>
    <w:rsid w:val="00EA3306"/>
    <w:rsid w:val="00EB28E1"/>
    <w:rsid w:val="00EC624A"/>
    <w:rsid w:val="00ED322B"/>
    <w:rsid w:val="00ED68D2"/>
    <w:rsid w:val="00EE75EE"/>
    <w:rsid w:val="00F00CC9"/>
    <w:rsid w:val="00F1132E"/>
    <w:rsid w:val="00F11DAB"/>
    <w:rsid w:val="00F404A8"/>
    <w:rsid w:val="00F75670"/>
    <w:rsid w:val="00F816E1"/>
    <w:rsid w:val="00FC3E82"/>
    <w:rsid w:val="00FE00CA"/>
    <w:rsid w:val="03B71781"/>
    <w:rsid w:val="05046CB4"/>
    <w:rsid w:val="05FE8265"/>
    <w:rsid w:val="07929060"/>
    <w:rsid w:val="07B1C02B"/>
    <w:rsid w:val="08D3F51E"/>
    <w:rsid w:val="09D99BDF"/>
    <w:rsid w:val="0B49AE21"/>
    <w:rsid w:val="105A0B23"/>
    <w:rsid w:val="134CD9A3"/>
    <w:rsid w:val="14C1EB0B"/>
    <w:rsid w:val="1630AF1C"/>
    <w:rsid w:val="1824DB0C"/>
    <w:rsid w:val="191EB0C2"/>
    <w:rsid w:val="1937B7C2"/>
    <w:rsid w:val="19CE6C14"/>
    <w:rsid w:val="1A12BD58"/>
    <w:rsid w:val="1B2DA43F"/>
    <w:rsid w:val="1B3D7CEE"/>
    <w:rsid w:val="1CC0F0F8"/>
    <w:rsid w:val="1D047436"/>
    <w:rsid w:val="1FC852D2"/>
    <w:rsid w:val="20131976"/>
    <w:rsid w:val="2124AC46"/>
    <w:rsid w:val="21C8214F"/>
    <w:rsid w:val="21CE274F"/>
    <w:rsid w:val="231F15BA"/>
    <w:rsid w:val="2516C2FC"/>
    <w:rsid w:val="25B75029"/>
    <w:rsid w:val="2880EE3E"/>
    <w:rsid w:val="2A3D1C90"/>
    <w:rsid w:val="2B6977DF"/>
    <w:rsid w:val="2BBAD81F"/>
    <w:rsid w:val="2BD0ECAD"/>
    <w:rsid w:val="2CA120BA"/>
    <w:rsid w:val="2D92AF18"/>
    <w:rsid w:val="2DFE1253"/>
    <w:rsid w:val="2FFAD8CE"/>
    <w:rsid w:val="345A23A2"/>
    <w:rsid w:val="376EB201"/>
    <w:rsid w:val="37F0A837"/>
    <w:rsid w:val="3875E7CE"/>
    <w:rsid w:val="3B10917D"/>
    <w:rsid w:val="3C0992AA"/>
    <w:rsid w:val="44BA3C83"/>
    <w:rsid w:val="47E8514C"/>
    <w:rsid w:val="47F24138"/>
    <w:rsid w:val="49E92D74"/>
    <w:rsid w:val="4A4BA490"/>
    <w:rsid w:val="4A8D4F25"/>
    <w:rsid w:val="4AA15578"/>
    <w:rsid w:val="4DD5C17F"/>
    <w:rsid w:val="4FABAF95"/>
    <w:rsid w:val="51154EAD"/>
    <w:rsid w:val="511FDB96"/>
    <w:rsid w:val="535D3BA1"/>
    <w:rsid w:val="55ADA9D2"/>
    <w:rsid w:val="58DE7665"/>
    <w:rsid w:val="628391CD"/>
    <w:rsid w:val="62DF38BF"/>
    <w:rsid w:val="63D3C1CE"/>
    <w:rsid w:val="667E798F"/>
    <w:rsid w:val="674CA73C"/>
    <w:rsid w:val="69516C49"/>
    <w:rsid w:val="6B548A39"/>
    <w:rsid w:val="6BDB3C99"/>
    <w:rsid w:val="6C1B3EBE"/>
    <w:rsid w:val="71563C52"/>
    <w:rsid w:val="74A43504"/>
    <w:rsid w:val="74D4E299"/>
    <w:rsid w:val="75196EA8"/>
    <w:rsid w:val="7598E369"/>
    <w:rsid w:val="77A1AD5F"/>
    <w:rsid w:val="77AB0CCC"/>
    <w:rsid w:val="791AE5E2"/>
    <w:rsid w:val="7AA19C21"/>
    <w:rsid w:val="7C6C04F9"/>
    <w:rsid w:val="7D860996"/>
    <w:rsid w:val="7FBE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C48C3"/>
  <w15:chartTrackingRefBased/>
  <w15:docId w15:val="{3F8D7E17-BBBA-44A4-A1F1-C16EA097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04E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0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0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0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0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0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0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0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2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0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2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04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2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04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2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04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A204E"/>
    <w:rPr>
      <w:b/>
      <w:bCs/>
    </w:rPr>
  </w:style>
  <w:style w:type="paragraph" w:styleId="Revision">
    <w:name w:val="Revision"/>
    <w:hidden/>
    <w:uiPriority w:val="99"/>
    <w:semiHidden/>
    <w:rsid w:val="00692085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customXml" Target="../customXml/item2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9092e0-fbd5-4080-ae0b-bc899df50d35" xsi:nil="true"/>
    <_ip_UnifiedCompliancePolicyUIAction xmlns="http://schemas.microsoft.com/sharepoint/v3" xsi:nil="true"/>
    <lcf76f155ced4ddcb4097134ff3c332f xmlns="5fc5e452-2df9-4d8d-9d2d-5a99fb468e3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4611201C38F74F86CFA85BB8895ABF" ma:contentTypeVersion="18" ma:contentTypeDescription="Create a new document." ma:contentTypeScope="" ma:versionID="a4a23f702f7a02758f79c4e7f5a79489">
  <xsd:schema xmlns:xsd="http://www.w3.org/2001/XMLSchema" xmlns:xs="http://www.w3.org/2001/XMLSchema" xmlns:p="http://schemas.microsoft.com/office/2006/metadata/properties" xmlns:ns1="http://schemas.microsoft.com/sharepoint/v3" xmlns:ns2="5fc5e452-2df9-4d8d-9d2d-5a99fb468e3b" xmlns:ns3="e99092e0-fbd5-4080-ae0b-bc899df50d35" targetNamespace="http://schemas.microsoft.com/office/2006/metadata/properties" ma:root="true" ma:fieldsID="75dfdf41cd1c1e34c40b7422e027ea98" ns1:_="" ns2:_="" ns3:_="">
    <xsd:import namespace="http://schemas.microsoft.com/sharepoint/v3"/>
    <xsd:import namespace="5fc5e452-2df9-4d8d-9d2d-5a99fb468e3b"/>
    <xsd:import namespace="e99092e0-fbd5-4080-ae0b-bc899df50d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5e452-2df9-4d8d-9d2d-5a99fb468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16094f-b7de-425d-8258-ab2f4b9e43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9092e0-fbd5-4080-ae0b-bc899df50d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08e314d-9b13-43f8-9cde-0b6b9a8889c8}" ma:internalName="TaxCatchAll" ma:showField="CatchAllData" ma:web="e99092e0-fbd5-4080-ae0b-bc899df50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E62DBD-D2BB-49AC-8F64-F0E0943BC3FD}">
  <ds:schemaRefs>
    <ds:schemaRef ds:uri="http://schemas.microsoft.com/sharepoint/v3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e99092e0-fbd5-4080-ae0b-bc899df50d35"/>
    <ds:schemaRef ds:uri="5fc5e452-2df9-4d8d-9d2d-5a99fb468e3b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2E0666-3FC9-450F-AA84-776309D362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8EF8C4-EEB0-4687-8CA2-9EC0944BB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c5e452-2df9-4d8d-9d2d-5a99fb468e3b"/>
    <ds:schemaRef ds:uri="e99092e0-fbd5-4080-ae0b-bc899df50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1134</Words>
  <Characters>6469</Characters>
  <Application>Microsoft Office Word</Application>
  <DocSecurity>0</DocSecurity>
  <Lines>53</Lines>
  <Paragraphs>15</Paragraphs>
  <ScaleCrop>false</ScaleCrop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 Gonzalez Porta</dc:creator>
  <cp:keywords/>
  <dc:description/>
  <cp:lastModifiedBy>Pamela Gan Hui Peng</cp:lastModifiedBy>
  <cp:revision>2</cp:revision>
  <dcterms:created xsi:type="dcterms:W3CDTF">2025-08-08T05:36:00Z</dcterms:created>
  <dcterms:modified xsi:type="dcterms:W3CDTF">2025-08-08T05:36:00Z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0x010100A34611201C38F74F86CFA85BB8895ABF</vt:lpwstr>
  </property>
  <property fmtid="{D5CDD505-2E9C-101B-9397-08002B2CF9AE}" pid="3" name="MediaServiceImageTags">
    <vt:lpwstr/>
  </property>
</Properties>
</file>