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44E8" w14:textId="77777777" w:rsidR="006B0D9D" w:rsidRDefault="006B0D9D" w:rsidP="006B0D9D">
      <w:pPr>
        <w:shd w:val="clear" w:color="auto" w:fill="FFFFFF"/>
        <w:spacing w:after="0" w:line="360" w:lineRule="auto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Fig S1</w:t>
      </w:r>
    </w:p>
    <w:p w14:paraId="28A23B6B" w14:textId="77777777" w:rsidR="006B0D9D" w:rsidRDefault="006B0D9D" w:rsidP="006B0D9D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noProof/>
          <w:color w:val="000000"/>
          <w:sz w:val="24"/>
          <w:szCs w:val="24"/>
          <w:bdr w:val="none" w:sz="0" w:space="0" w:color="auto" w:frame="1"/>
          <w:lang w:eastAsia="en-US"/>
        </w:rPr>
        <w:drawing>
          <wp:inline distT="0" distB="0" distL="0" distR="0" wp14:anchorId="7FFE4C23" wp14:editId="59BBE81A">
            <wp:extent cx="3237360" cy="7110014"/>
            <wp:effectExtent l="0" t="0" r="1270" b="0"/>
            <wp:docPr id="34232754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27541" name="Picture 34232754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6243" cy="712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E481E" w14:textId="77777777" w:rsidR="006B0D9D" w:rsidRDefault="006B0D9D" w:rsidP="006B0D9D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6EB19557" w14:textId="77777777" w:rsidR="006B0D9D" w:rsidRDefault="006B0D9D" w:rsidP="006B0D9D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Body weight (A) and food consumption (B) changes following dosing. C shows kidney weight and body weight ratio comparisons among the 4 groups.</w:t>
      </w:r>
    </w:p>
    <w:p w14:paraId="2DBB20EB" w14:textId="77777777" w:rsidR="006B0D9D" w:rsidRDefault="006B0D9D" w:rsidP="006B0D9D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7EEAAA03" w14:textId="77777777" w:rsidR="006B0D9D" w:rsidRPr="00A773A8" w:rsidRDefault="006B0D9D" w:rsidP="006B0D9D">
      <w:pPr>
        <w:shd w:val="clear" w:color="auto" w:fill="FFFFFF"/>
        <w:spacing w:after="0" w:line="360" w:lineRule="auto"/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</w:pPr>
      <w:r w:rsidRPr="00A773A8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  <w:t>Fig S2</w:t>
      </w:r>
    </w:p>
    <w:p w14:paraId="0B8942B5" w14:textId="77777777" w:rsidR="006B0D9D" w:rsidRDefault="006B0D9D" w:rsidP="006B0D9D">
      <w:pPr>
        <w:shd w:val="clear" w:color="auto" w:fill="FFFFFF"/>
        <w:spacing w:after="0" w:line="360" w:lineRule="auto"/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noProof/>
          <w:color w:val="000000"/>
          <w:sz w:val="24"/>
          <w:szCs w:val="24"/>
          <w:bdr w:val="none" w:sz="0" w:space="0" w:color="auto" w:frame="1"/>
          <w:lang w:eastAsia="en-US"/>
        </w:rPr>
        <w:drawing>
          <wp:inline distT="0" distB="0" distL="0" distR="0" wp14:anchorId="18C4245C" wp14:editId="37B39B04">
            <wp:extent cx="5070348" cy="5733288"/>
            <wp:effectExtent l="0" t="0" r="0" b="1270"/>
            <wp:docPr id="11164045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04544" name="Picture 111640454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348" cy="57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0D8EC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061E8DEF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5D37C624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3FB93562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3F41D66E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Both KIM1/CREA (A) and NGAL/CREA were significantly higher in the combination group compared with other 3 groups </w:t>
      </w:r>
      <w:proofErr w:type="gramStart"/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( p</w:t>
      </w:r>
      <w:proofErr w:type="gramEnd"/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 &lt; 0.05, two-way ANOVA). </w:t>
      </w:r>
    </w:p>
    <w:p w14:paraId="5BCC0E07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3E431B1A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2F739840" w14:textId="77777777" w:rsidR="006B0D9D" w:rsidRPr="00A773A8" w:rsidRDefault="006B0D9D" w:rsidP="006B0D9D">
      <w:pPr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</w:pPr>
      <w:r w:rsidRPr="00A773A8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  <w:t>Fig. S3</w:t>
      </w:r>
    </w:p>
    <w:p w14:paraId="00A4A6FF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47A72CA6" w14:textId="77777777" w:rsidR="006B0D9D" w:rsidRDefault="006B0D9D" w:rsidP="006B0D9D">
      <w:pPr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noProof/>
          <w:color w:val="000000"/>
          <w:sz w:val="24"/>
          <w:szCs w:val="24"/>
          <w:bdr w:val="none" w:sz="0" w:space="0" w:color="auto" w:frame="1"/>
          <w:lang w:eastAsia="en-US"/>
        </w:rPr>
        <w:drawing>
          <wp:inline distT="0" distB="0" distL="0" distR="0" wp14:anchorId="004EA7C6" wp14:editId="6486F6B3">
            <wp:extent cx="5114544" cy="6400800"/>
            <wp:effectExtent l="0" t="0" r="0" b="0"/>
            <wp:docPr id="18252814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81468" name="Picture 18252814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544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8B5FE" w14:textId="77777777" w:rsidR="006B0D9D" w:rsidRDefault="006B0D9D" w:rsidP="006B0D9D">
      <w:pPr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131AC6D7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In vivo and ex vivo kidney SWE scan comparison (A) and correlation (B)</w:t>
      </w:r>
    </w:p>
    <w:p w14:paraId="054AD96F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23843B10" w14:textId="77777777" w:rsidR="006B0D9D" w:rsidRPr="006C7C27" w:rsidRDefault="006B0D9D" w:rsidP="006B0D9D">
      <w:pPr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</w:pPr>
      <w:r w:rsidRPr="006C7C27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  <w:lastRenderedPageBreak/>
        <w:t>Fig. S4</w:t>
      </w:r>
    </w:p>
    <w:p w14:paraId="22DA9015" w14:textId="77777777" w:rsidR="006B0D9D" w:rsidRDefault="006B0D9D" w:rsidP="006B0D9D">
      <w:pPr>
        <w:jc w:val="center"/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noProof/>
          <w:color w:val="000000"/>
          <w:sz w:val="24"/>
          <w:szCs w:val="24"/>
          <w:bdr w:val="none" w:sz="0" w:space="0" w:color="auto" w:frame="1"/>
          <w:lang w:eastAsia="en-US"/>
        </w:rPr>
        <w:drawing>
          <wp:inline distT="0" distB="0" distL="0" distR="0" wp14:anchorId="28B30B78" wp14:editId="541DF766">
            <wp:extent cx="4572000" cy="2687320"/>
            <wp:effectExtent l="0" t="0" r="0" b="0"/>
            <wp:docPr id="585801277" name="Picture 585801277" descr="A diagram of a diagram with circl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801277" name="Picture 585801277" descr="A diagram of a diagram with circles and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6431B" w14:textId="77777777" w:rsidR="006B0D9D" w:rsidRPr="009E0DF0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 w:rsidRPr="00DE530B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Principal component analysis of gene expression. 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First </w:t>
      </w:r>
      <w:r w:rsidRPr="009E0DF0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component 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was </w:t>
      </w:r>
      <w:r w:rsidRPr="009E0DF0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41.7%, 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second </w:t>
      </w:r>
      <w:r w:rsidRPr="009E0DF0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component 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was </w:t>
      </w:r>
      <w:r w:rsidRPr="009E0DF0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9.6%, PC3 only add</w:t>
      </w: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ed</w:t>
      </w:r>
      <w:r w:rsidRPr="009E0DF0"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 xml:space="preserve"> a few </w:t>
      </w:r>
      <w:proofErr w:type="gramStart"/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percentage</w:t>
      </w:r>
      <w:proofErr w:type="gramEnd"/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.</w:t>
      </w:r>
    </w:p>
    <w:p w14:paraId="77D9359A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</w:p>
    <w:p w14:paraId="62EA4A22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br w:type="page"/>
      </w:r>
    </w:p>
    <w:p w14:paraId="512AD77D" w14:textId="77777777" w:rsidR="006B0D9D" w:rsidRPr="005A0DA8" w:rsidRDefault="006B0D9D" w:rsidP="006B0D9D">
      <w:pPr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</w:pPr>
      <w:r w:rsidRPr="005A0DA8">
        <w:rPr>
          <w:rFonts w:ascii="inherit" w:eastAsia="Times New Roman" w:hAnsi="inherit" w:cs="Calibri"/>
          <w:b/>
          <w:bCs/>
          <w:color w:val="000000"/>
          <w:sz w:val="24"/>
          <w:szCs w:val="24"/>
          <w:bdr w:val="none" w:sz="0" w:space="0" w:color="auto" w:frame="1"/>
          <w:lang w:eastAsia="en-US"/>
        </w:rPr>
        <w:lastRenderedPageBreak/>
        <w:t xml:space="preserve">Fig S5. </w:t>
      </w:r>
    </w:p>
    <w:p w14:paraId="7399A7C8" w14:textId="77777777" w:rsidR="006B0D9D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noProof/>
          <w:color w:val="000000"/>
          <w:sz w:val="24"/>
          <w:szCs w:val="24"/>
          <w:bdr w:val="none" w:sz="0" w:space="0" w:color="auto" w:frame="1"/>
          <w:lang w:eastAsia="en-US"/>
        </w:rPr>
        <w:drawing>
          <wp:inline distT="0" distB="0" distL="0" distR="0" wp14:anchorId="5F6B3179" wp14:editId="1CA8F02E">
            <wp:extent cx="5931535" cy="4890135"/>
            <wp:effectExtent l="0" t="0" r="0" b="5715"/>
            <wp:docPr id="787892750" name="Picture 7" descr="A group of black and white box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892750" name="Picture 7" descr="A group of black and white box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89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68789" w14:textId="77777777" w:rsidR="006B0D9D" w:rsidRPr="00AA39C1" w:rsidRDefault="006B0D9D" w:rsidP="006B0D9D">
      <w:pP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</w:pPr>
      <w:r>
        <w:rPr>
          <w:rFonts w:ascii="inherit" w:eastAsia="Times New Roman" w:hAnsi="inherit" w:cs="Calibri"/>
          <w:color w:val="000000"/>
          <w:sz w:val="24"/>
          <w:szCs w:val="24"/>
          <w:bdr w:val="none" w:sz="0" w:space="0" w:color="auto" w:frame="1"/>
          <w:lang w:eastAsia="en-US"/>
        </w:rPr>
        <w:t>Comparison of top DE genes associated with renal damage.</w:t>
      </w:r>
    </w:p>
    <w:p w14:paraId="234A718E" w14:textId="77777777" w:rsidR="006B0D9D" w:rsidRDefault="006B0D9D" w:rsidP="006B0D9D">
      <w:pPr>
        <w:pStyle w:val="EndNoteBibliography"/>
        <w:spacing w:after="0"/>
        <w:ind w:left="720" w:hanging="720"/>
        <w:jc w:val="left"/>
        <w:rPr>
          <w:rFonts w:ascii="inherit" w:eastAsia="Times New Roman" w:hAnsi="inherit"/>
          <w:b/>
          <w:bCs/>
          <w:color w:val="000000"/>
          <w:sz w:val="28"/>
          <w:szCs w:val="28"/>
          <w:bdr w:val="none" w:sz="0" w:space="0" w:color="auto" w:frame="1"/>
          <w:lang w:eastAsia="en-US"/>
        </w:rPr>
      </w:pPr>
    </w:p>
    <w:p w14:paraId="79F325CE" w14:textId="77777777" w:rsidR="006B0D9D" w:rsidRDefault="006B0D9D" w:rsidP="006B0D9D">
      <w:pPr>
        <w:rPr>
          <w:rFonts w:ascii="inherit" w:eastAsia="Times New Roman" w:hAnsi="inherit" w:cs="Calibri"/>
          <w:b/>
          <w:bCs/>
          <w:noProof/>
          <w:color w:val="000000"/>
          <w:sz w:val="28"/>
          <w:szCs w:val="28"/>
          <w:bdr w:val="none" w:sz="0" w:space="0" w:color="auto" w:frame="1"/>
          <w:lang w:eastAsia="en-US"/>
        </w:rPr>
      </w:pPr>
      <w:r>
        <w:rPr>
          <w:rFonts w:ascii="inherit" w:eastAsia="Times New Roman" w:hAnsi="inherit"/>
          <w:b/>
          <w:bCs/>
          <w:color w:val="000000"/>
          <w:sz w:val="28"/>
          <w:szCs w:val="28"/>
          <w:bdr w:val="none" w:sz="0" w:space="0" w:color="auto" w:frame="1"/>
          <w:lang w:eastAsia="en-US"/>
        </w:rPr>
        <w:br w:type="page"/>
      </w:r>
    </w:p>
    <w:p w14:paraId="248900C7" w14:textId="77777777" w:rsidR="006B0D9D" w:rsidRDefault="006B0D9D"/>
    <w:sectPr w:rsidR="006B0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D9D"/>
    <w:rsid w:val="006B0D9D"/>
    <w:rsid w:val="00A1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E216F"/>
  <w15:chartTrackingRefBased/>
  <w15:docId w15:val="{268424B7-9AEF-4419-B720-81A318046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D9D"/>
    <w:pPr>
      <w:spacing w:line="259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D9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0D9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0D9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0D9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0D9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D9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D9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D9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D9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D9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0D9D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0D9D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0D9D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6B0D9D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B0D9D"/>
    <w:rPr>
      <w:rFonts w:ascii="Calibri" w:eastAsiaTheme="minorEastAsia" w:hAnsi="Calibri" w:cs="Calibri"/>
      <w:noProof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10" Type="http://schemas.openxmlformats.org/officeDocument/2006/relationships/theme" Target="theme/theme1.xml"/><Relationship Id="rId4" Type="http://schemas.openxmlformats.org/officeDocument/2006/relationships/image" Target="media/image1.t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Chang-Ning</dc:creator>
  <cp:keywords/>
  <dc:description/>
  <cp:lastModifiedBy>Liu, Chang-Ning</cp:lastModifiedBy>
  <cp:revision>1</cp:revision>
  <dcterms:created xsi:type="dcterms:W3CDTF">2025-07-11T22:20:00Z</dcterms:created>
  <dcterms:modified xsi:type="dcterms:W3CDTF">2025-07-11T22:21:00Z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91b42f-c435-42ca-9531-75a3f42aae3d_Enabled">
    <vt:lpwstr>true</vt:lpwstr>
  </property>
  <property fmtid="{D5CDD505-2E9C-101B-9397-08002B2CF9AE}" pid="3" name="MSIP_Label_4791b42f-c435-42ca-9531-75a3f42aae3d_SetDate">
    <vt:lpwstr>2025-07-11T22:21:32Z</vt:lpwstr>
  </property>
  <property fmtid="{D5CDD505-2E9C-101B-9397-08002B2CF9AE}" pid="4" name="MSIP_Label_4791b42f-c435-42ca-9531-75a3f42aae3d_Method">
    <vt:lpwstr>Privileged</vt:lpwstr>
  </property>
  <property fmtid="{D5CDD505-2E9C-101B-9397-08002B2CF9AE}" pid="5" name="MSIP_Label_4791b42f-c435-42ca-9531-75a3f42aae3d_Name">
    <vt:lpwstr>4791b42f-c435-42ca-9531-75a3f42aae3d</vt:lpwstr>
  </property>
  <property fmtid="{D5CDD505-2E9C-101B-9397-08002B2CF9AE}" pid="6" name="MSIP_Label_4791b42f-c435-42ca-9531-75a3f42aae3d_SiteId">
    <vt:lpwstr>7a916015-20ae-4ad1-9170-eefd915e9272</vt:lpwstr>
  </property>
  <property fmtid="{D5CDD505-2E9C-101B-9397-08002B2CF9AE}" pid="7" name="MSIP_Label_4791b42f-c435-42ca-9531-75a3f42aae3d_ActionId">
    <vt:lpwstr>fa427ef5-d467-49dc-9514-41598667e34c</vt:lpwstr>
  </property>
  <property fmtid="{D5CDD505-2E9C-101B-9397-08002B2CF9AE}" pid="8" name="MSIP_Label_4791b42f-c435-42ca-9531-75a3f42aae3d_ContentBits">
    <vt:lpwstr>0</vt:lpwstr>
  </property>
  <property fmtid="{D5CDD505-2E9C-101B-9397-08002B2CF9AE}" pid="9" name="MSIP_Label_4791b42f-c435-42ca-9531-75a3f42aae3d_Tag">
    <vt:lpwstr>10, 0, 1, 1</vt:lpwstr>
  </property>
</Properties>
</file>