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vertAnchor="page" w:horzAnchor="page" w:tblpX="1425" w:tblpY="2228"/>
        <w:tblOverlap w:val="never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36"/>
        <w:gridCol w:w="1298"/>
        <w:gridCol w:w="3437"/>
        <w:gridCol w:w="4778"/>
        <w:gridCol w:w="2949"/>
      </w:tblGrid>
      <w:tr w14:paraId="23418F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6" w:hRule="atLeast"/>
        </w:trPr>
        <w:tc>
          <w:tcPr>
            <w:tcW w:w="611" w:type="pct"/>
            <w:tcBorders>
              <w:top w:val="single" w:color="auto" w:sz="12" w:space="0"/>
              <w:bottom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136A33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57" w:type="pct"/>
            <w:tcBorders>
              <w:top w:val="single" w:color="auto" w:sz="12" w:space="0"/>
              <w:bottom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1F4944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Scale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94AB52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</w:t>
            </w:r>
          </w:p>
        </w:tc>
        <w:tc>
          <w:tcPr>
            <w:tcW w:w="1682" w:type="pct"/>
            <w:tcBorders>
              <w:top w:val="single" w:color="auto" w:sz="12" w:space="0"/>
              <w:bottom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4AD5B6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Scoring Criteria</w:t>
            </w:r>
          </w:p>
        </w:tc>
        <w:tc>
          <w:tcPr>
            <w:tcW w:w="1038" w:type="pct"/>
            <w:tcBorders>
              <w:top w:val="single" w:color="auto" w:sz="12" w:space="0"/>
              <w:bottom w:val="single" w:color="auto" w:sz="8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A1E9C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Cutoff Values</w:t>
            </w:r>
          </w:p>
        </w:tc>
      </w:tr>
      <w:tr w14:paraId="1E0E7E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1" w:type="pct"/>
            <w:tcBorders>
              <w:top w:val="single" w:color="auto" w:sz="8" w:space="0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286126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Physical Exercise</w:t>
            </w:r>
          </w:p>
        </w:tc>
        <w:tc>
          <w:tcPr>
            <w:tcW w:w="457" w:type="pct"/>
            <w:tcBorders>
              <w:top w:val="single" w:color="auto" w:sz="8" w:space="0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F0028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PARS-3</w:t>
            </w:r>
          </w:p>
        </w:tc>
        <w:tc>
          <w:tcPr>
            <w:tcW w:w="1210" w:type="pct"/>
            <w:tcBorders>
              <w:top w:val="single" w:color="auto" w:sz="8" w:space="0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1ECEE1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Test-retest reliability = 0.82</w:t>
            </w:r>
          </w:p>
        </w:tc>
        <w:tc>
          <w:tcPr>
            <w:tcW w:w="1682" w:type="pct"/>
            <w:tcBorders>
              <w:top w:val="single" w:color="auto" w:sz="8" w:space="0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A1589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Items rated on 5 levels (1–5), with higher scores indicating greater exercise amount.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Calculation formula: Physical Activity Score = Intensity × (Duration - 1) × Frequency.</w:t>
            </w:r>
          </w:p>
        </w:tc>
        <w:tc>
          <w:tcPr>
            <w:tcW w:w="1038" w:type="pct"/>
            <w:tcBorders>
              <w:top w:val="single" w:color="auto" w:sz="8" w:space="0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BB7195">
            <w:pPr>
              <w:pStyle w:val="33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exercise level: ≤19 points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Moderate exercise level: 20–42 points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High exercise level: ≥43 points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50AC5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1" w:type="pct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95561B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Emotion Regulation Ability</w:t>
            </w:r>
          </w:p>
        </w:tc>
        <w:tc>
          <w:tcPr>
            <w:tcW w:w="457" w:type="pct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E93336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EIS</w:t>
            </w:r>
          </w:p>
        </w:tc>
        <w:tc>
          <w:tcPr>
            <w:tcW w:w="1210" w:type="pct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12B4E9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Cronbach’s α coefficient = 0.84</w:t>
            </w:r>
          </w:p>
        </w:tc>
        <w:tc>
          <w:tcPr>
            <w:tcW w:w="1682" w:type="pct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28FF0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5-point Likert scale (1 = strongly disagree, 5 = strongly agree); higher scores indicate stronger ability.</w:t>
            </w:r>
          </w:p>
        </w:tc>
        <w:tc>
          <w:tcPr>
            <w:tcW w:w="1038" w:type="pct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E10AC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specific cutoff values mentioned.</w:t>
            </w:r>
          </w:p>
        </w:tc>
      </w:tr>
      <w:tr w14:paraId="6F6EC7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264DEC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Self-Efficacy</w:t>
            </w:r>
          </w:p>
        </w:tc>
        <w:tc>
          <w:tcPr>
            <w:tcW w:w="45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8C838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GSES</w:t>
            </w:r>
          </w:p>
        </w:tc>
        <w:tc>
          <w:tcPr>
            <w:tcW w:w="121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E3DBF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Cronbach’s α coefficient = 0.87- Test-retest reliability = 0.830 (P &lt; 0.001)</w:t>
            </w:r>
          </w:p>
          <w:p w14:paraId="61768A2D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Split-half reliability = 0.820 (n = 401, P &lt; 0.001)</w:t>
            </w:r>
          </w:p>
        </w:tc>
        <w:tc>
          <w:tcPr>
            <w:tcW w:w="16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DB5CB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4-point Likert scale (1 = completely incorrect, 5 = entirely correct); higher total scores indicate stronger self-efficacy.</w:t>
            </w:r>
          </w:p>
        </w:tc>
        <w:tc>
          <w:tcPr>
            <w:tcW w:w="103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4CD4F">
            <w:pPr>
              <w:pStyle w:val="33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Critical score = 2.50 points: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 general self-efficacy: &lt;2.50 points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Normal group: ≥2.50 points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DE1EB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1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4E7DAD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Psychological Resilience</w:t>
            </w:r>
          </w:p>
        </w:tc>
        <w:tc>
          <w:tcPr>
            <w:tcW w:w="45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1F1B50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HKRA</w:t>
            </w:r>
          </w:p>
        </w:tc>
        <w:tc>
          <w:tcPr>
            <w:tcW w:w="121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4A3D1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Cronbach’s α coefficient = 0.84</w:t>
            </w:r>
          </w:p>
        </w:tc>
        <w:tc>
          <w:tcPr>
            <w:tcW w:w="16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88DBC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5-point Likert scale (1 = strongly disagree, 5 = strongly agree); higher scores indicate greater resilience.</w:t>
            </w:r>
          </w:p>
        </w:tc>
        <w:tc>
          <w:tcPr>
            <w:tcW w:w="103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56B95">
            <w:pPr>
              <w:pStyle w:val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specific cutoff values mentioned.</w:t>
            </w:r>
          </w:p>
        </w:tc>
      </w:tr>
    </w:tbl>
    <w:p w14:paraId="34DA9253">
      <w:pPr>
        <w:rPr>
          <w:rFonts w:ascii="Times New Roman" w:hAnsi="Times New Roman" w:eastAsia="等线" w:cs="Times New Roman"/>
          <w:b/>
          <w:bCs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 w:bidi="ar-SA"/>
          <w14:ligatures w14:val="none"/>
        </w:rPr>
        <w:t>Supplementary Table S1</w:t>
      </w:r>
      <w:bookmarkStart w:id="0" w:name="_GoBack"/>
      <w:bookmarkEnd w:id="0"/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 w:bidi="ar-SA"/>
          <w14:ligatures w14:val="none"/>
        </w:rPr>
        <w:t xml:space="preserve"> Details of Reliability, Scoring Criteria, and Cutoff Values for Each Scale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9F"/>
    <w:rsid w:val="0029519F"/>
    <w:rsid w:val="003378B7"/>
    <w:rsid w:val="058802B8"/>
    <w:rsid w:val="1FC9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asciiTheme="minorHAnsi" w:hAnsiTheme="minorHAnsi" w:eastAsiaTheme="minorEastAsia" w:cstheme="majorBidi"/>
      <w:color w:val="2F5597" w:themeColor="accent1" w:themeShade="BF"/>
      <w:kern w:val="2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asciiTheme="minorHAnsi" w:hAnsiTheme="minorHAnsi" w:eastAsiaTheme="minorEastAsia" w:cstheme="majorBidi"/>
      <w:color w:val="2F5597" w:themeColor="accent1" w:themeShade="BF"/>
      <w:kern w:val="2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kern w:val="2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kern w:val="2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_Style 13"/>
    <w:basedOn w:val="1"/>
    <w:uiPriority w:val="0"/>
    <w:pPr>
      <w:widowControl/>
      <w:spacing w:before="120" w:after="120" w:line="288" w:lineRule="auto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1100</Characters>
  <Lines>8</Lines>
  <Paragraphs>2</Paragraphs>
  <TotalTime>1</TotalTime>
  <ScaleCrop>false</ScaleCrop>
  <LinksUpToDate>false</LinksUpToDate>
  <CharactersWithSpaces>1257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2025-08-09T02:43:00Z</dcterms:created>
  <dc:creator>瑶 张</dc:creator>
  <cp:lastModifiedBy>摇什么瑶.</cp:lastModifiedBy>
  <dcterms:modified xsi:type="dcterms:W3CDTF">2025-08-23T16:42:29Z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eyJoZGlkIjoiYTc1N2RhMTVlZmQ2YThhMTBiMGE3OWMxZTRmNWZlZGIiLCJ1c2VySWQiOiIxNjExMjI2NTYwIn0=</vt:lpwstr>
  </property>
  <property fmtid="{D5CDD505-2E9C-101B-9397-08002B2CF9AE}" pid="3" name="KSOProductBuildVer">
    <vt:lpwstr>2052-12.1.0.22529</vt:lpwstr>
  </property>
  <property fmtid="{D5CDD505-2E9C-101B-9397-08002B2CF9AE}" pid="4" name="ICV">
    <vt:lpwstr>2C627B79C2AC4EC08C0A23E37C8E1C3B_12</vt:lpwstr>
  </property>
</Properties>
</file>