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ACA43" w14:textId="77777777" w:rsidR="002B639D" w:rsidRPr="001240C1" w:rsidRDefault="002B639D" w:rsidP="002B639D">
      <w:pPr>
        <w:spacing w:after="0" w:line="360" w:lineRule="auto"/>
        <w:rPr>
          <w:rFonts w:ascii="Times New Roman" w:eastAsia="MS Mincho" w:hAnsi="Times New Roman" w:cs="Times New Roman"/>
          <w:bCs/>
          <w:sz w:val="24"/>
          <w:szCs w:val="24"/>
          <w:lang w:eastAsia="ja-JP"/>
        </w:rPr>
      </w:pPr>
      <w:r w:rsidRPr="001240C1">
        <w:rPr>
          <w:rFonts w:ascii="Times New Roman" w:hAnsi="Times New Roman" w:cs="Times New Roman"/>
          <w:b/>
          <w:sz w:val="24"/>
          <w:szCs w:val="24"/>
        </w:rPr>
        <w:t>Supplementary Table S</w:t>
      </w:r>
      <w:r w:rsidR="006A1D73" w:rsidRPr="001240C1">
        <w:rPr>
          <w:rFonts w:ascii="Times New Roman" w:hAnsi="Times New Roman" w:cs="Times New Roman"/>
          <w:b/>
          <w:sz w:val="24"/>
          <w:szCs w:val="24"/>
        </w:rPr>
        <w:t>1</w:t>
      </w:r>
      <w:r w:rsidRPr="001240C1">
        <w:rPr>
          <w:rFonts w:ascii="Times New Roman" w:hAnsi="Times New Roman" w:cs="Times New Roman"/>
          <w:b/>
          <w:sz w:val="24"/>
          <w:szCs w:val="24"/>
        </w:rPr>
        <w:t xml:space="preserve">: </w:t>
      </w:r>
      <w:r w:rsidRPr="001240C1">
        <w:rPr>
          <w:rFonts w:ascii="Times New Roman" w:eastAsia="MS Mincho" w:hAnsi="Times New Roman" w:cs="Times New Roman"/>
          <w:b/>
          <w:bCs/>
          <w:sz w:val="24"/>
          <w:szCs w:val="24"/>
          <w:lang w:eastAsia="ja-JP"/>
        </w:rPr>
        <w:t>Measurement conditions for electrothermal atomization and MHS 15 system in AAS 700</w:t>
      </w:r>
      <w:r w:rsidRPr="001240C1">
        <w:rPr>
          <w:rFonts w:ascii="Times New Roman" w:eastAsia="MS Mincho" w:hAnsi="Times New Roman" w:cs="Times New Roman"/>
          <w:bCs/>
          <w:sz w:val="24"/>
          <w:szCs w:val="24"/>
          <w:lang w:eastAsia="ja-JP"/>
        </w:rPr>
        <w:t>.</w:t>
      </w:r>
    </w:p>
    <w:p w14:paraId="2B7E70B8" w14:textId="77777777" w:rsidR="006A1D73" w:rsidRPr="001240C1" w:rsidRDefault="006A1D73" w:rsidP="006A1D73">
      <w:pPr>
        <w:spacing w:after="0" w:line="360" w:lineRule="auto"/>
        <w:rPr>
          <w:rFonts w:ascii="Times New Roman" w:hAnsi="Times New Roman" w:cs="Times New Roman"/>
          <w:b/>
          <w:sz w:val="24"/>
          <w:szCs w:val="24"/>
        </w:rPr>
      </w:pPr>
    </w:p>
    <w:tbl>
      <w:tblPr>
        <w:tblStyle w:val="PlainTable2"/>
        <w:tblW w:w="8655" w:type="dxa"/>
        <w:tblLook w:val="04A0" w:firstRow="1" w:lastRow="0" w:firstColumn="1" w:lastColumn="0" w:noHBand="0" w:noVBand="1"/>
      </w:tblPr>
      <w:tblGrid>
        <w:gridCol w:w="4879"/>
        <w:gridCol w:w="1888"/>
        <w:gridCol w:w="1888"/>
      </w:tblGrid>
      <w:tr w:rsidR="0045037D" w:rsidRPr="001240C1" w14:paraId="281F5F82" w14:textId="77777777" w:rsidTr="0034293F">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40225C32" w14:textId="77777777" w:rsidR="0045037D" w:rsidRPr="0045037D" w:rsidRDefault="0045037D" w:rsidP="0045037D">
            <w:pPr>
              <w:spacing w:after="0" w:line="240" w:lineRule="auto"/>
              <w:jc w:val="center"/>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Parameter</w:t>
            </w:r>
          </w:p>
        </w:tc>
        <w:tc>
          <w:tcPr>
            <w:tcW w:w="1888" w:type="dxa"/>
            <w:noWrap/>
            <w:hideMark/>
          </w:tcPr>
          <w:p w14:paraId="0137CBA6" w14:textId="77777777" w:rsidR="0045037D" w:rsidRPr="0045037D" w:rsidRDefault="0045037D" w:rsidP="004503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Selenium</w:t>
            </w:r>
          </w:p>
        </w:tc>
        <w:tc>
          <w:tcPr>
            <w:tcW w:w="1888" w:type="dxa"/>
            <w:noWrap/>
            <w:hideMark/>
          </w:tcPr>
          <w:p w14:paraId="548C5ED8" w14:textId="77777777" w:rsidR="0045037D" w:rsidRPr="0045037D" w:rsidRDefault="0045037D" w:rsidP="004503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Mercury</w:t>
            </w:r>
          </w:p>
        </w:tc>
      </w:tr>
      <w:tr w:rsidR="0045037D" w:rsidRPr="001240C1" w14:paraId="3CEB7B1F"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569FD7C4"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Lamp Current (mA)</w:t>
            </w:r>
          </w:p>
        </w:tc>
        <w:tc>
          <w:tcPr>
            <w:tcW w:w="1888" w:type="dxa"/>
            <w:noWrap/>
            <w:hideMark/>
          </w:tcPr>
          <w:p w14:paraId="4D25565D"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12.5</w:t>
            </w:r>
          </w:p>
        </w:tc>
        <w:tc>
          <w:tcPr>
            <w:tcW w:w="1888" w:type="dxa"/>
            <w:noWrap/>
            <w:hideMark/>
          </w:tcPr>
          <w:p w14:paraId="2C6F17A9"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6.0</w:t>
            </w:r>
          </w:p>
        </w:tc>
      </w:tr>
      <w:tr w:rsidR="0045037D" w:rsidRPr="001240C1" w14:paraId="5DFB722E"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30DF2E1A"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Wavelength (nm)</w:t>
            </w:r>
          </w:p>
        </w:tc>
        <w:tc>
          <w:tcPr>
            <w:tcW w:w="1888" w:type="dxa"/>
            <w:noWrap/>
            <w:hideMark/>
          </w:tcPr>
          <w:p w14:paraId="7CF86D1D"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196.0</w:t>
            </w:r>
          </w:p>
        </w:tc>
        <w:tc>
          <w:tcPr>
            <w:tcW w:w="1888" w:type="dxa"/>
            <w:noWrap/>
            <w:hideMark/>
          </w:tcPr>
          <w:p w14:paraId="617EF149"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253.7</w:t>
            </w:r>
          </w:p>
        </w:tc>
      </w:tr>
      <w:tr w:rsidR="0045037D" w:rsidRPr="001240C1" w14:paraId="7919D2E8"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125847CC"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Slit Width (nm)</w:t>
            </w:r>
          </w:p>
        </w:tc>
        <w:tc>
          <w:tcPr>
            <w:tcW w:w="1888" w:type="dxa"/>
            <w:noWrap/>
            <w:hideMark/>
          </w:tcPr>
          <w:p w14:paraId="5FC724F7"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0.2</w:t>
            </w:r>
          </w:p>
        </w:tc>
        <w:tc>
          <w:tcPr>
            <w:tcW w:w="1888" w:type="dxa"/>
            <w:noWrap/>
            <w:hideMark/>
          </w:tcPr>
          <w:p w14:paraId="75E1F8FC"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0.2</w:t>
            </w:r>
          </w:p>
        </w:tc>
      </w:tr>
      <w:tr w:rsidR="0045037D" w:rsidRPr="001240C1" w14:paraId="214D4ADF"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6EBCF5C1"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Drying Temp (ºC)/Ramp/Hold (s)</w:t>
            </w:r>
          </w:p>
        </w:tc>
        <w:tc>
          <w:tcPr>
            <w:tcW w:w="1888" w:type="dxa"/>
            <w:noWrap/>
            <w:hideMark/>
          </w:tcPr>
          <w:p w14:paraId="622CE778"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140 / 15 / 5</w:t>
            </w:r>
          </w:p>
        </w:tc>
        <w:tc>
          <w:tcPr>
            <w:tcW w:w="1888" w:type="dxa"/>
            <w:noWrap/>
            <w:hideMark/>
          </w:tcPr>
          <w:p w14:paraId="6FB8D842"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140 / 15 / 5</w:t>
            </w:r>
          </w:p>
        </w:tc>
      </w:tr>
      <w:tr w:rsidR="0045037D" w:rsidRPr="001240C1" w14:paraId="6230BC03"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2D3E2042"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Ashing Temp (ºC)/Ramp/Hold (s)</w:t>
            </w:r>
          </w:p>
        </w:tc>
        <w:tc>
          <w:tcPr>
            <w:tcW w:w="1888" w:type="dxa"/>
            <w:noWrap/>
            <w:hideMark/>
          </w:tcPr>
          <w:p w14:paraId="4368563F"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1100 / 10 / 20</w:t>
            </w:r>
          </w:p>
        </w:tc>
        <w:tc>
          <w:tcPr>
            <w:tcW w:w="1888" w:type="dxa"/>
            <w:noWrap/>
            <w:hideMark/>
          </w:tcPr>
          <w:p w14:paraId="14C199AA"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1100 / 10 / 20</w:t>
            </w:r>
          </w:p>
        </w:tc>
      </w:tr>
      <w:tr w:rsidR="0045037D" w:rsidRPr="001240C1" w14:paraId="47A3490F"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02A9B435"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Atomization Temp (ºC)/Ramp/Hold (s)</w:t>
            </w:r>
          </w:p>
        </w:tc>
        <w:tc>
          <w:tcPr>
            <w:tcW w:w="1888" w:type="dxa"/>
            <w:noWrap/>
            <w:hideMark/>
          </w:tcPr>
          <w:p w14:paraId="4373050F"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2100 / 0 / 5</w:t>
            </w:r>
          </w:p>
        </w:tc>
        <w:tc>
          <w:tcPr>
            <w:tcW w:w="1888" w:type="dxa"/>
            <w:noWrap/>
            <w:hideMark/>
          </w:tcPr>
          <w:p w14:paraId="2E95E5F2"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2200 / 0 / 5</w:t>
            </w:r>
          </w:p>
        </w:tc>
      </w:tr>
      <w:tr w:rsidR="0045037D" w:rsidRPr="001240C1" w14:paraId="2A375139"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5E369D9D"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Cleaning Temp (ºC)/Ramp/Hold (s)</w:t>
            </w:r>
          </w:p>
        </w:tc>
        <w:tc>
          <w:tcPr>
            <w:tcW w:w="1888" w:type="dxa"/>
            <w:noWrap/>
            <w:hideMark/>
          </w:tcPr>
          <w:p w14:paraId="70496FB7"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2600 / 1 / 3</w:t>
            </w:r>
          </w:p>
        </w:tc>
        <w:tc>
          <w:tcPr>
            <w:tcW w:w="1888" w:type="dxa"/>
            <w:noWrap/>
            <w:hideMark/>
          </w:tcPr>
          <w:p w14:paraId="4C4FBDF6"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2600 / 1 / 3</w:t>
            </w:r>
          </w:p>
        </w:tc>
      </w:tr>
      <w:tr w:rsidR="0045037D" w:rsidRPr="001240C1" w14:paraId="4AB6EB2B"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2733BCCB"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Chemical Modifier</w:t>
            </w:r>
          </w:p>
        </w:tc>
        <w:tc>
          <w:tcPr>
            <w:tcW w:w="1888" w:type="dxa"/>
            <w:noWrap/>
            <w:hideMark/>
          </w:tcPr>
          <w:p w14:paraId="06DE7D5C" w14:textId="1F709096" w:rsidR="0045037D" w:rsidRPr="0045037D" w:rsidRDefault="00C3210C"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1240C1">
              <w:rPr>
                <w:rFonts w:asciiTheme="majorBidi" w:eastAsia="Times New Roman" w:hAnsiTheme="majorBidi" w:cstheme="majorBidi"/>
                <w:sz w:val="24"/>
                <w:szCs w:val="24"/>
                <w:lang w:eastAsia="zh-CN"/>
              </w:rPr>
              <w:t>Mg (</w:t>
            </w:r>
            <w:r w:rsidR="0045037D" w:rsidRPr="0045037D">
              <w:rPr>
                <w:rFonts w:asciiTheme="majorBidi" w:eastAsia="Times New Roman" w:hAnsiTheme="majorBidi" w:cstheme="majorBidi"/>
                <w:sz w:val="24"/>
                <w:szCs w:val="24"/>
                <w:lang w:eastAsia="zh-CN"/>
              </w:rPr>
              <w:t>NO₃)₂</w:t>
            </w:r>
          </w:p>
        </w:tc>
        <w:tc>
          <w:tcPr>
            <w:tcW w:w="1888" w:type="dxa"/>
            <w:noWrap/>
            <w:hideMark/>
          </w:tcPr>
          <w:p w14:paraId="207BDC16"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Pd(NO₃)₂</w:t>
            </w:r>
          </w:p>
        </w:tc>
      </w:tr>
      <w:tr w:rsidR="0045037D" w:rsidRPr="001240C1" w14:paraId="08E47632"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6668ACC8"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Carrier Gas / Flow Rate (L/min)</w:t>
            </w:r>
          </w:p>
        </w:tc>
        <w:tc>
          <w:tcPr>
            <w:tcW w:w="1888" w:type="dxa"/>
            <w:noWrap/>
            <w:hideMark/>
          </w:tcPr>
          <w:p w14:paraId="58B95E87"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Argon / 1.5</w:t>
            </w:r>
          </w:p>
        </w:tc>
        <w:tc>
          <w:tcPr>
            <w:tcW w:w="1888" w:type="dxa"/>
            <w:noWrap/>
            <w:hideMark/>
          </w:tcPr>
          <w:p w14:paraId="5A6C5422"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Argon / 1.5</w:t>
            </w:r>
          </w:p>
        </w:tc>
      </w:tr>
      <w:tr w:rsidR="0045037D" w:rsidRPr="001240C1" w14:paraId="450683B4"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3F970779"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LOD (µg/L)</w:t>
            </w:r>
          </w:p>
        </w:tc>
        <w:tc>
          <w:tcPr>
            <w:tcW w:w="1888" w:type="dxa"/>
            <w:noWrap/>
            <w:hideMark/>
          </w:tcPr>
          <w:p w14:paraId="20068659"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0.4</w:t>
            </w:r>
          </w:p>
        </w:tc>
        <w:tc>
          <w:tcPr>
            <w:tcW w:w="1888" w:type="dxa"/>
            <w:noWrap/>
            <w:hideMark/>
          </w:tcPr>
          <w:p w14:paraId="355CD28F"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0.2</w:t>
            </w:r>
          </w:p>
        </w:tc>
      </w:tr>
      <w:tr w:rsidR="0045037D" w:rsidRPr="001240C1" w14:paraId="4F7B713D"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25F75C5F"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LOQ (µg/L)</w:t>
            </w:r>
          </w:p>
        </w:tc>
        <w:tc>
          <w:tcPr>
            <w:tcW w:w="1888" w:type="dxa"/>
            <w:noWrap/>
            <w:hideMark/>
          </w:tcPr>
          <w:p w14:paraId="1D9F6308"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1.2</w:t>
            </w:r>
          </w:p>
        </w:tc>
        <w:tc>
          <w:tcPr>
            <w:tcW w:w="1888" w:type="dxa"/>
            <w:noWrap/>
            <w:hideMark/>
          </w:tcPr>
          <w:p w14:paraId="06A6FE6E"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0.6</w:t>
            </w:r>
          </w:p>
        </w:tc>
      </w:tr>
      <w:tr w:rsidR="0045037D" w:rsidRPr="001240C1" w14:paraId="23302279"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4DB4229A"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Calibration Range (µg/L)</w:t>
            </w:r>
          </w:p>
        </w:tc>
        <w:tc>
          <w:tcPr>
            <w:tcW w:w="1888" w:type="dxa"/>
            <w:noWrap/>
            <w:hideMark/>
          </w:tcPr>
          <w:p w14:paraId="12A047F0"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1–100</w:t>
            </w:r>
          </w:p>
        </w:tc>
        <w:tc>
          <w:tcPr>
            <w:tcW w:w="1888" w:type="dxa"/>
            <w:noWrap/>
            <w:hideMark/>
          </w:tcPr>
          <w:p w14:paraId="29F47B6F" w14:textId="2407232F"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0.5–</w:t>
            </w:r>
            <w:r w:rsidR="00057B29">
              <w:rPr>
                <w:rFonts w:asciiTheme="majorBidi" w:eastAsia="Times New Roman" w:hAnsiTheme="majorBidi" w:cstheme="majorBidi"/>
                <w:sz w:val="24"/>
                <w:szCs w:val="24"/>
                <w:lang w:eastAsia="zh-CN"/>
              </w:rPr>
              <w:t>75</w:t>
            </w:r>
          </w:p>
        </w:tc>
      </w:tr>
      <w:tr w:rsidR="0045037D" w:rsidRPr="001240C1" w14:paraId="2563DB2F"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08A74AEF"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R² of Calibration Curve</w:t>
            </w:r>
          </w:p>
        </w:tc>
        <w:tc>
          <w:tcPr>
            <w:tcW w:w="1888" w:type="dxa"/>
            <w:noWrap/>
            <w:hideMark/>
          </w:tcPr>
          <w:p w14:paraId="14F27789"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0.998</w:t>
            </w:r>
          </w:p>
        </w:tc>
        <w:tc>
          <w:tcPr>
            <w:tcW w:w="1888" w:type="dxa"/>
            <w:noWrap/>
            <w:hideMark/>
          </w:tcPr>
          <w:p w14:paraId="34E08BE7"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0.996</w:t>
            </w:r>
          </w:p>
        </w:tc>
      </w:tr>
      <w:tr w:rsidR="0045037D" w:rsidRPr="001240C1" w14:paraId="4143504B" w14:textId="77777777" w:rsidTr="0034293F">
        <w:trPr>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02DC71BF"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SRM Used</w:t>
            </w:r>
          </w:p>
        </w:tc>
        <w:tc>
          <w:tcPr>
            <w:tcW w:w="1888" w:type="dxa"/>
            <w:noWrap/>
            <w:hideMark/>
          </w:tcPr>
          <w:p w14:paraId="5E044D6E"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NIST 1643e</w:t>
            </w:r>
          </w:p>
        </w:tc>
        <w:tc>
          <w:tcPr>
            <w:tcW w:w="1888" w:type="dxa"/>
            <w:noWrap/>
            <w:hideMark/>
          </w:tcPr>
          <w:p w14:paraId="661B52C6" w14:textId="77777777" w:rsidR="0045037D" w:rsidRPr="0045037D" w:rsidRDefault="0045037D" w:rsidP="0045037D">
            <w:pPr>
              <w:spacing w:after="0" w:line="240" w:lineRule="auto"/>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NIST 1643e</w:t>
            </w:r>
          </w:p>
        </w:tc>
      </w:tr>
      <w:tr w:rsidR="0045037D" w:rsidRPr="001240C1" w14:paraId="7EE6951C" w14:textId="77777777" w:rsidTr="0034293F">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879" w:type="dxa"/>
            <w:noWrap/>
            <w:hideMark/>
          </w:tcPr>
          <w:p w14:paraId="4E6C2955" w14:textId="77777777" w:rsidR="0045037D" w:rsidRPr="0045037D" w:rsidRDefault="0045037D" w:rsidP="0045037D">
            <w:pPr>
              <w:spacing w:after="0" w:line="240" w:lineRule="auto"/>
              <w:rPr>
                <w:rFonts w:asciiTheme="majorBidi" w:eastAsia="Times New Roman" w:hAnsiTheme="majorBidi" w:cstheme="majorBidi"/>
                <w:b w:val="0"/>
                <w:bCs w:val="0"/>
                <w:sz w:val="24"/>
                <w:szCs w:val="24"/>
                <w:lang w:eastAsia="zh-CN"/>
              </w:rPr>
            </w:pPr>
            <w:r w:rsidRPr="0045037D">
              <w:rPr>
                <w:rFonts w:asciiTheme="majorBidi" w:eastAsia="Times New Roman" w:hAnsiTheme="majorBidi" w:cstheme="majorBidi"/>
                <w:b w:val="0"/>
                <w:bCs w:val="0"/>
                <w:sz w:val="24"/>
                <w:szCs w:val="24"/>
                <w:lang w:eastAsia="zh-CN"/>
              </w:rPr>
              <w:t>Recovery (%)</w:t>
            </w:r>
          </w:p>
        </w:tc>
        <w:tc>
          <w:tcPr>
            <w:tcW w:w="1888" w:type="dxa"/>
            <w:noWrap/>
            <w:hideMark/>
          </w:tcPr>
          <w:p w14:paraId="267A84C9" w14:textId="0C100718"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9</w:t>
            </w:r>
            <w:r w:rsidR="00057B29">
              <w:rPr>
                <w:rFonts w:asciiTheme="majorBidi" w:eastAsia="Times New Roman" w:hAnsiTheme="majorBidi" w:cstheme="majorBidi"/>
                <w:sz w:val="24"/>
                <w:szCs w:val="24"/>
                <w:lang w:eastAsia="zh-CN"/>
              </w:rPr>
              <w:t>6</w:t>
            </w:r>
            <w:r w:rsidRPr="0045037D">
              <w:rPr>
                <w:rFonts w:asciiTheme="majorBidi" w:eastAsia="Times New Roman" w:hAnsiTheme="majorBidi" w:cstheme="majorBidi"/>
                <w:sz w:val="24"/>
                <w:szCs w:val="24"/>
                <w:lang w:eastAsia="zh-CN"/>
              </w:rPr>
              <w:t>.2%</w:t>
            </w:r>
          </w:p>
        </w:tc>
        <w:tc>
          <w:tcPr>
            <w:tcW w:w="1888" w:type="dxa"/>
            <w:noWrap/>
            <w:hideMark/>
          </w:tcPr>
          <w:p w14:paraId="4544E3DE" w14:textId="77777777" w:rsidR="0045037D" w:rsidRPr="0045037D" w:rsidRDefault="0045037D" w:rsidP="0045037D">
            <w:pPr>
              <w:spacing w:after="0"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4"/>
                <w:szCs w:val="24"/>
                <w:lang w:eastAsia="zh-CN"/>
              </w:rPr>
            </w:pPr>
            <w:r w:rsidRPr="0045037D">
              <w:rPr>
                <w:rFonts w:asciiTheme="majorBidi" w:eastAsia="Times New Roman" w:hAnsiTheme="majorBidi" w:cstheme="majorBidi"/>
                <w:sz w:val="24"/>
                <w:szCs w:val="24"/>
                <w:lang w:eastAsia="zh-CN"/>
              </w:rPr>
              <w:t>97.8%</w:t>
            </w:r>
          </w:p>
        </w:tc>
      </w:tr>
    </w:tbl>
    <w:p w14:paraId="0762177C" w14:textId="77777777" w:rsidR="00430F4F" w:rsidRPr="001240C1" w:rsidRDefault="00430F4F" w:rsidP="00430F4F"/>
    <w:p w14:paraId="7B3E47CC" w14:textId="77777777" w:rsidR="0034293F" w:rsidRPr="001240C1" w:rsidRDefault="0034293F" w:rsidP="00430F4F">
      <w:pPr>
        <w:spacing w:after="0" w:line="360" w:lineRule="auto"/>
        <w:rPr>
          <w:rFonts w:ascii="Times New Roman" w:hAnsi="Times New Roman" w:cs="Times New Roman"/>
          <w:b/>
          <w:sz w:val="24"/>
          <w:szCs w:val="24"/>
        </w:rPr>
        <w:sectPr w:rsidR="0034293F" w:rsidRPr="001240C1" w:rsidSect="006320F0">
          <w:pgSz w:w="12240" w:h="15840"/>
          <w:pgMar w:top="1440" w:right="1440" w:bottom="1440" w:left="1440" w:header="720" w:footer="720" w:gutter="0"/>
          <w:cols w:space="720"/>
          <w:docGrid w:linePitch="360"/>
        </w:sectPr>
      </w:pPr>
    </w:p>
    <w:p w14:paraId="592B9369" w14:textId="77777777" w:rsidR="00430F4F" w:rsidRPr="001240C1" w:rsidRDefault="00430F4F" w:rsidP="00430F4F">
      <w:pPr>
        <w:spacing w:after="0" w:line="360" w:lineRule="auto"/>
        <w:rPr>
          <w:rFonts w:ascii="Times New Roman" w:hAnsi="Times New Roman" w:cs="Times New Roman"/>
          <w:sz w:val="24"/>
          <w:szCs w:val="24"/>
        </w:rPr>
      </w:pPr>
      <w:r w:rsidRPr="001240C1">
        <w:rPr>
          <w:rFonts w:ascii="Times New Roman" w:hAnsi="Times New Roman" w:cs="Times New Roman"/>
          <w:b/>
          <w:sz w:val="24"/>
          <w:szCs w:val="24"/>
        </w:rPr>
        <w:lastRenderedPageBreak/>
        <w:t>Supplementary Table S2. Selenium and Mercury concentration in the blood and scalp hair of normal and Breast Cancer patients</w:t>
      </w:r>
    </w:p>
    <w:p w14:paraId="2DB13B64" w14:textId="5FD9BCE3" w:rsidR="00372CE0" w:rsidRDefault="00372CE0" w:rsidP="00372CE0">
      <w:pPr>
        <w:pStyle w:val="Heading3"/>
        <w:rPr>
          <w:rFonts w:eastAsia="Times New Roman"/>
          <w:lang w:eastAsia="zh-CN"/>
        </w:rPr>
      </w:pPr>
    </w:p>
    <w:tbl>
      <w:tblPr>
        <w:tblStyle w:val="ListTable6Colorful-Accent2"/>
        <w:tblW w:w="0" w:type="auto"/>
        <w:tblLook w:val="04A0" w:firstRow="1" w:lastRow="0" w:firstColumn="1" w:lastColumn="0" w:noHBand="0" w:noVBand="1"/>
      </w:tblPr>
      <w:tblGrid>
        <w:gridCol w:w="961"/>
        <w:gridCol w:w="1007"/>
        <w:gridCol w:w="1243"/>
        <w:gridCol w:w="1009"/>
        <w:gridCol w:w="1244"/>
        <w:gridCol w:w="1028"/>
        <w:gridCol w:w="945"/>
        <w:gridCol w:w="1030"/>
        <w:gridCol w:w="893"/>
      </w:tblGrid>
      <w:tr w:rsidR="00372CE0" w:rsidRPr="00372CE0" w14:paraId="6933BCDD" w14:textId="77777777" w:rsidTr="00372C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402D32" w14:textId="77777777" w:rsidR="00372CE0" w:rsidRPr="00372CE0" w:rsidRDefault="00372CE0">
            <w:pPr>
              <w:jc w:val="center"/>
              <w:rPr>
                <w:rFonts w:asciiTheme="minorBidi" w:hAnsiTheme="minorBidi"/>
                <w:color w:val="auto"/>
                <w:sz w:val="20"/>
                <w:szCs w:val="20"/>
              </w:rPr>
            </w:pPr>
            <w:r w:rsidRPr="00372CE0">
              <w:rPr>
                <w:rStyle w:val="Strong"/>
                <w:rFonts w:asciiTheme="minorBidi" w:hAnsiTheme="minorBidi"/>
                <w:color w:val="auto"/>
                <w:sz w:val="20"/>
                <w:szCs w:val="20"/>
              </w:rPr>
              <w:t>Group</w:t>
            </w:r>
          </w:p>
        </w:tc>
        <w:tc>
          <w:tcPr>
            <w:tcW w:w="0" w:type="auto"/>
            <w:hideMark/>
          </w:tcPr>
          <w:p w14:paraId="50127DAD"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Hair Se (µg/g) mean ± SD</w:t>
            </w:r>
          </w:p>
        </w:tc>
        <w:tc>
          <w:tcPr>
            <w:tcW w:w="0" w:type="auto"/>
            <w:hideMark/>
          </w:tcPr>
          <w:p w14:paraId="706C3DA0"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Hair Se 95% CI (Lower–Upper)</w:t>
            </w:r>
          </w:p>
        </w:tc>
        <w:tc>
          <w:tcPr>
            <w:tcW w:w="0" w:type="auto"/>
            <w:hideMark/>
          </w:tcPr>
          <w:p w14:paraId="03850390"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Hair Hg (µg/g) mean ± SD</w:t>
            </w:r>
          </w:p>
        </w:tc>
        <w:tc>
          <w:tcPr>
            <w:tcW w:w="0" w:type="auto"/>
            <w:hideMark/>
          </w:tcPr>
          <w:p w14:paraId="20E65619"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Hair Hg 95% CI (Lower–Upper)</w:t>
            </w:r>
          </w:p>
        </w:tc>
        <w:tc>
          <w:tcPr>
            <w:tcW w:w="0" w:type="auto"/>
            <w:hideMark/>
          </w:tcPr>
          <w:p w14:paraId="3F81CC0F"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Blood Se (µg/L) mean ± SD</w:t>
            </w:r>
          </w:p>
        </w:tc>
        <w:tc>
          <w:tcPr>
            <w:tcW w:w="0" w:type="auto"/>
            <w:hideMark/>
          </w:tcPr>
          <w:p w14:paraId="717E2028"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lang w:val="it-IT"/>
              </w:rPr>
            </w:pPr>
            <w:r w:rsidRPr="00372CE0">
              <w:rPr>
                <w:rStyle w:val="Strong"/>
                <w:rFonts w:asciiTheme="minorBidi" w:hAnsiTheme="minorBidi"/>
                <w:color w:val="auto"/>
                <w:sz w:val="20"/>
                <w:szCs w:val="20"/>
                <w:lang w:val="it-IT"/>
              </w:rPr>
              <w:t>Blood Se zone (µg/L)</w:t>
            </w:r>
          </w:p>
        </w:tc>
        <w:tc>
          <w:tcPr>
            <w:tcW w:w="0" w:type="auto"/>
            <w:hideMark/>
          </w:tcPr>
          <w:p w14:paraId="0EA48E07"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Blood Hg (µg/L) mean ± SD</w:t>
            </w:r>
          </w:p>
        </w:tc>
        <w:tc>
          <w:tcPr>
            <w:tcW w:w="0" w:type="auto"/>
            <w:hideMark/>
          </w:tcPr>
          <w:p w14:paraId="59E960CF" w14:textId="77777777" w:rsidR="00372CE0" w:rsidRPr="00372CE0" w:rsidRDefault="00372CE0">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bCs w:val="0"/>
                <w:color w:val="auto"/>
                <w:sz w:val="20"/>
                <w:szCs w:val="20"/>
              </w:rPr>
            </w:pPr>
            <w:r w:rsidRPr="00372CE0">
              <w:rPr>
                <w:rStyle w:val="Strong"/>
                <w:rFonts w:asciiTheme="minorBidi" w:hAnsiTheme="minorBidi"/>
                <w:color w:val="auto"/>
                <w:sz w:val="20"/>
                <w:szCs w:val="20"/>
              </w:rPr>
              <w:t>Hair Hg flag (&gt;2 µg/g)</w:t>
            </w:r>
          </w:p>
        </w:tc>
      </w:tr>
      <w:tr w:rsidR="00372CE0" w:rsidRPr="00372CE0" w14:paraId="6446E568" w14:textId="77777777" w:rsidTr="00372C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E1580F" w14:textId="77777777" w:rsidR="00372CE0" w:rsidRPr="00372CE0" w:rsidRDefault="00372CE0">
            <w:pPr>
              <w:rPr>
                <w:rFonts w:asciiTheme="minorBidi" w:hAnsiTheme="minorBidi"/>
                <w:b w:val="0"/>
                <w:bCs w:val="0"/>
                <w:sz w:val="20"/>
                <w:szCs w:val="20"/>
              </w:rPr>
            </w:pPr>
            <w:r w:rsidRPr="00372CE0">
              <w:rPr>
                <w:rStyle w:val="Strong"/>
                <w:rFonts w:asciiTheme="minorBidi" w:hAnsiTheme="minorBidi"/>
                <w:sz w:val="20"/>
                <w:szCs w:val="20"/>
              </w:rPr>
              <w:t>Controls</w:t>
            </w:r>
          </w:p>
        </w:tc>
        <w:tc>
          <w:tcPr>
            <w:tcW w:w="0" w:type="auto"/>
            <w:hideMark/>
          </w:tcPr>
          <w:p w14:paraId="5FFBEEE5"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1.59 ± 0.29</w:t>
            </w:r>
          </w:p>
        </w:tc>
        <w:tc>
          <w:tcPr>
            <w:tcW w:w="0" w:type="auto"/>
            <w:hideMark/>
          </w:tcPr>
          <w:p w14:paraId="5F08B0EA"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1.53–1.65</w:t>
            </w:r>
          </w:p>
        </w:tc>
        <w:tc>
          <w:tcPr>
            <w:tcW w:w="0" w:type="auto"/>
            <w:hideMark/>
          </w:tcPr>
          <w:p w14:paraId="6B77F19F"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1.19 ± 0.09</w:t>
            </w:r>
          </w:p>
        </w:tc>
        <w:tc>
          <w:tcPr>
            <w:tcW w:w="0" w:type="auto"/>
            <w:hideMark/>
          </w:tcPr>
          <w:p w14:paraId="737D6130"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1.17–1.21</w:t>
            </w:r>
          </w:p>
        </w:tc>
        <w:tc>
          <w:tcPr>
            <w:tcW w:w="0" w:type="auto"/>
            <w:hideMark/>
          </w:tcPr>
          <w:p w14:paraId="2C06552A"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220.0 ± 8.19</w:t>
            </w:r>
          </w:p>
        </w:tc>
        <w:tc>
          <w:tcPr>
            <w:tcW w:w="0" w:type="auto"/>
            <w:hideMark/>
          </w:tcPr>
          <w:p w14:paraId="09FE074D"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&gt;120</w:t>
            </w:r>
          </w:p>
        </w:tc>
        <w:tc>
          <w:tcPr>
            <w:tcW w:w="0" w:type="auto"/>
            <w:hideMark/>
          </w:tcPr>
          <w:p w14:paraId="716ABCAF"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0.97 ± 0.05</w:t>
            </w:r>
          </w:p>
        </w:tc>
        <w:tc>
          <w:tcPr>
            <w:tcW w:w="0" w:type="auto"/>
            <w:hideMark/>
          </w:tcPr>
          <w:p w14:paraId="26D569C1"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w:t>
            </w:r>
          </w:p>
        </w:tc>
      </w:tr>
      <w:tr w:rsidR="00372CE0" w:rsidRPr="00372CE0" w14:paraId="6D8652F5" w14:textId="77777777" w:rsidTr="00372CE0">
        <w:tc>
          <w:tcPr>
            <w:cnfStyle w:val="001000000000" w:firstRow="0" w:lastRow="0" w:firstColumn="1" w:lastColumn="0" w:oddVBand="0" w:evenVBand="0" w:oddHBand="0" w:evenHBand="0" w:firstRowFirstColumn="0" w:firstRowLastColumn="0" w:lastRowFirstColumn="0" w:lastRowLastColumn="0"/>
            <w:tcW w:w="0" w:type="auto"/>
            <w:hideMark/>
          </w:tcPr>
          <w:p w14:paraId="0EDBADE3" w14:textId="77777777" w:rsidR="00372CE0" w:rsidRPr="00372CE0" w:rsidRDefault="00372CE0">
            <w:pPr>
              <w:rPr>
                <w:rFonts w:asciiTheme="minorBidi" w:hAnsiTheme="minorBidi"/>
                <w:sz w:val="20"/>
                <w:szCs w:val="20"/>
              </w:rPr>
            </w:pPr>
            <w:r w:rsidRPr="00372CE0">
              <w:rPr>
                <w:rStyle w:val="Strong"/>
                <w:rFonts w:asciiTheme="minorBidi" w:hAnsiTheme="minorBidi"/>
                <w:sz w:val="20"/>
                <w:szCs w:val="20"/>
              </w:rPr>
              <w:t>T-I</w:t>
            </w:r>
          </w:p>
        </w:tc>
        <w:tc>
          <w:tcPr>
            <w:tcW w:w="0" w:type="auto"/>
            <w:hideMark/>
          </w:tcPr>
          <w:p w14:paraId="1CAA8E8C"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0.45 ± 0.09</w:t>
            </w:r>
          </w:p>
        </w:tc>
        <w:tc>
          <w:tcPr>
            <w:tcW w:w="0" w:type="auto"/>
            <w:hideMark/>
          </w:tcPr>
          <w:p w14:paraId="562B435C"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0.40–0.50</w:t>
            </w:r>
          </w:p>
        </w:tc>
        <w:tc>
          <w:tcPr>
            <w:tcW w:w="0" w:type="auto"/>
            <w:hideMark/>
          </w:tcPr>
          <w:p w14:paraId="54C40A98"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2.85 ± 0.21</w:t>
            </w:r>
          </w:p>
        </w:tc>
        <w:tc>
          <w:tcPr>
            <w:tcW w:w="0" w:type="auto"/>
            <w:hideMark/>
          </w:tcPr>
          <w:p w14:paraId="7FD751D1"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2.73–2.97</w:t>
            </w:r>
          </w:p>
        </w:tc>
        <w:tc>
          <w:tcPr>
            <w:tcW w:w="0" w:type="auto"/>
            <w:hideMark/>
          </w:tcPr>
          <w:p w14:paraId="026AAEA6"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125.1 ± 5.35</w:t>
            </w:r>
          </w:p>
        </w:tc>
        <w:tc>
          <w:tcPr>
            <w:tcW w:w="0" w:type="auto"/>
            <w:hideMark/>
          </w:tcPr>
          <w:p w14:paraId="51BAC330"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&gt;120</w:t>
            </w:r>
          </w:p>
        </w:tc>
        <w:tc>
          <w:tcPr>
            <w:tcW w:w="0" w:type="auto"/>
            <w:hideMark/>
          </w:tcPr>
          <w:p w14:paraId="04DEDAB7"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2.15 ± 0.35</w:t>
            </w:r>
          </w:p>
        </w:tc>
        <w:tc>
          <w:tcPr>
            <w:tcW w:w="0" w:type="auto"/>
            <w:hideMark/>
          </w:tcPr>
          <w:p w14:paraId="74795387"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&gt;2</w:t>
            </w:r>
          </w:p>
        </w:tc>
      </w:tr>
      <w:tr w:rsidR="00372CE0" w:rsidRPr="00372CE0" w14:paraId="35BC0891" w14:textId="77777777" w:rsidTr="00372C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297704" w14:textId="77777777" w:rsidR="00372CE0" w:rsidRPr="00372CE0" w:rsidRDefault="00372CE0">
            <w:pPr>
              <w:rPr>
                <w:rFonts w:asciiTheme="minorBidi" w:hAnsiTheme="minorBidi"/>
                <w:sz w:val="20"/>
                <w:szCs w:val="20"/>
              </w:rPr>
            </w:pPr>
            <w:r w:rsidRPr="00372CE0">
              <w:rPr>
                <w:rStyle w:val="Strong"/>
                <w:rFonts w:asciiTheme="minorBidi" w:hAnsiTheme="minorBidi"/>
                <w:sz w:val="20"/>
                <w:szCs w:val="20"/>
              </w:rPr>
              <w:t>T-II</w:t>
            </w:r>
          </w:p>
        </w:tc>
        <w:tc>
          <w:tcPr>
            <w:tcW w:w="0" w:type="auto"/>
            <w:hideMark/>
          </w:tcPr>
          <w:p w14:paraId="32C7B197"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0.41 ± 0.05</w:t>
            </w:r>
          </w:p>
        </w:tc>
        <w:tc>
          <w:tcPr>
            <w:tcW w:w="0" w:type="auto"/>
            <w:hideMark/>
          </w:tcPr>
          <w:p w14:paraId="31F4BF3B"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0.38–0.44</w:t>
            </w:r>
          </w:p>
        </w:tc>
        <w:tc>
          <w:tcPr>
            <w:tcW w:w="0" w:type="auto"/>
            <w:hideMark/>
          </w:tcPr>
          <w:p w14:paraId="1558F7F4"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3.11 ± 0.31</w:t>
            </w:r>
          </w:p>
        </w:tc>
        <w:tc>
          <w:tcPr>
            <w:tcW w:w="0" w:type="auto"/>
            <w:hideMark/>
          </w:tcPr>
          <w:p w14:paraId="112D03FD"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2.93–3.29</w:t>
            </w:r>
          </w:p>
        </w:tc>
        <w:tc>
          <w:tcPr>
            <w:tcW w:w="0" w:type="auto"/>
            <w:hideMark/>
          </w:tcPr>
          <w:p w14:paraId="06FECB2B"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102.2 ± 5.19</w:t>
            </w:r>
          </w:p>
        </w:tc>
        <w:tc>
          <w:tcPr>
            <w:tcW w:w="0" w:type="auto"/>
            <w:hideMark/>
          </w:tcPr>
          <w:p w14:paraId="77C4E452"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70–120</w:t>
            </w:r>
          </w:p>
        </w:tc>
        <w:tc>
          <w:tcPr>
            <w:tcW w:w="0" w:type="auto"/>
            <w:hideMark/>
          </w:tcPr>
          <w:p w14:paraId="5778045D"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2.41 ± 0.31</w:t>
            </w:r>
          </w:p>
        </w:tc>
        <w:tc>
          <w:tcPr>
            <w:tcW w:w="0" w:type="auto"/>
            <w:hideMark/>
          </w:tcPr>
          <w:p w14:paraId="324C5740"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&gt;2</w:t>
            </w:r>
          </w:p>
        </w:tc>
      </w:tr>
      <w:tr w:rsidR="00372CE0" w:rsidRPr="00372CE0" w14:paraId="59115E63" w14:textId="77777777" w:rsidTr="00372CE0">
        <w:tc>
          <w:tcPr>
            <w:cnfStyle w:val="001000000000" w:firstRow="0" w:lastRow="0" w:firstColumn="1" w:lastColumn="0" w:oddVBand="0" w:evenVBand="0" w:oddHBand="0" w:evenHBand="0" w:firstRowFirstColumn="0" w:firstRowLastColumn="0" w:lastRowFirstColumn="0" w:lastRowLastColumn="0"/>
            <w:tcW w:w="0" w:type="auto"/>
            <w:hideMark/>
          </w:tcPr>
          <w:p w14:paraId="09A1861C" w14:textId="77777777" w:rsidR="00372CE0" w:rsidRPr="00372CE0" w:rsidRDefault="00372CE0">
            <w:pPr>
              <w:rPr>
                <w:rFonts w:asciiTheme="minorBidi" w:hAnsiTheme="minorBidi"/>
                <w:sz w:val="20"/>
                <w:szCs w:val="20"/>
              </w:rPr>
            </w:pPr>
            <w:r w:rsidRPr="00372CE0">
              <w:rPr>
                <w:rStyle w:val="Strong"/>
                <w:rFonts w:asciiTheme="minorBidi" w:hAnsiTheme="minorBidi"/>
                <w:sz w:val="20"/>
                <w:szCs w:val="20"/>
              </w:rPr>
              <w:t>T-III</w:t>
            </w:r>
          </w:p>
        </w:tc>
        <w:tc>
          <w:tcPr>
            <w:tcW w:w="0" w:type="auto"/>
            <w:hideMark/>
          </w:tcPr>
          <w:p w14:paraId="14A29513"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0.34 ± 0.03</w:t>
            </w:r>
          </w:p>
        </w:tc>
        <w:tc>
          <w:tcPr>
            <w:tcW w:w="0" w:type="auto"/>
            <w:hideMark/>
          </w:tcPr>
          <w:p w14:paraId="3C3DB685"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0.33–0.35</w:t>
            </w:r>
          </w:p>
        </w:tc>
        <w:tc>
          <w:tcPr>
            <w:tcW w:w="0" w:type="auto"/>
            <w:hideMark/>
          </w:tcPr>
          <w:p w14:paraId="268FE422"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3.17 ± 0.39</w:t>
            </w:r>
          </w:p>
        </w:tc>
        <w:tc>
          <w:tcPr>
            <w:tcW w:w="0" w:type="auto"/>
            <w:hideMark/>
          </w:tcPr>
          <w:p w14:paraId="792FC1B1"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3.03–3.31</w:t>
            </w:r>
          </w:p>
        </w:tc>
        <w:tc>
          <w:tcPr>
            <w:tcW w:w="0" w:type="auto"/>
            <w:hideMark/>
          </w:tcPr>
          <w:p w14:paraId="38269F3C"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78.1 ± 7.65</w:t>
            </w:r>
          </w:p>
        </w:tc>
        <w:tc>
          <w:tcPr>
            <w:tcW w:w="0" w:type="auto"/>
            <w:hideMark/>
          </w:tcPr>
          <w:p w14:paraId="3CB7850F"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70–120</w:t>
            </w:r>
          </w:p>
        </w:tc>
        <w:tc>
          <w:tcPr>
            <w:tcW w:w="0" w:type="auto"/>
            <w:hideMark/>
          </w:tcPr>
          <w:p w14:paraId="67785621"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2.71 ± 0.15</w:t>
            </w:r>
          </w:p>
        </w:tc>
        <w:tc>
          <w:tcPr>
            <w:tcW w:w="0" w:type="auto"/>
            <w:hideMark/>
          </w:tcPr>
          <w:p w14:paraId="0E8D2D59" w14:textId="77777777" w:rsidR="00372CE0" w:rsidRPr="00372CE0" w:rsidRDefault="00372CE0">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&gt;2</w:t>
            </w:r>
          </w:p>
        </w:tc>
      </w:tr>
      <w:tr w:rsidR="00372CE0" w:rsidRPr="00372CE0" w14:paraId="7BB68B87" w14:textId="77777777" w:rsidTr="00372C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A5ED881" w14:textId="77777777" w:rsidR="00372CE0" w:rsidRPr="00372CE0" w:rsidRDefault="00372CE0">
            <w:pPr>
              <w:rPr>
                <w:rFonts w:asciiTheme="minorBidi" w:hAnsiTheme="minorBidi"/>
                <w:sz w:val="20"/>
                <w:szCs w:val="20"/>
              </w:rPr>
            </w:pPr>
            <w:r w:rsidRPr="00372CE0">
              <w:rPr>
                <w:rStyle w:val="Strong"/>
                <w:rFonts w:asciiTheme="minorBidi" w:hAnsiTheme="minorBidi"/>
                <w:sz w:val="20"/>
                <w:szCs w:val="20"/>
              </w:rPr>
              <w:t>T-IV</w:t>
            </w:r>
          </w:p>
        </w:tc>
        <w:tc>
          <w:tcPr>
            <w:tcW w:w="0" w:type="auto"/>
            <w:hideMark/>
          </w:tcPr>
          <w:p w14:paraId="73A48CD9"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0.25 ± 0.01</w:t>
            </w:r>
          </w:p>
        </w:tc>
        <w:tc>
          <w:tcPr>
            <w:tcW w:w="0" w:type="auto"/>
            <w:hideMark/>
          </w:tcPr>
          <w:p w14:paraId="0ABC65AF"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0.25–0.25</w:t>
            </w:r>
          </w:p>
        </w:tc>
        <w:tc>
          <w:tcPr>
            <w:tcW w:w="0" w:type="auto"/>
            <w:hideMark/>
          </w:tcPr>
          <w:p w14:paraId="78959FFF"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4.31 ± 0.15</w:t>
            </w:r>
          </w:p>
        </w:tc>
        <w:tc>
          <w:tcPr>
            <w:tcW w:w="0" w:type="auto"/>
            <w:hideMark/>
          </w:tcPr>
          <w:p w14:paraId="1F27E709"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4.25–4.37</w:t>
            </w:r>
          </w:p>
        </w:tc>
        <w:tc>
          <w:tcPr>
            <w:tcW w:w="0" w:type="auto"/>
            <w:hideMark/>
          </w:tcPr>
          <w:p w14:paraId="58D6FF3D"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51.3 ± 5.75</w:t>
            </w:r>
          </w:p>
        </w:tc>
        <w:tc>
          <w:tcPr>
            <w:tcW w:w="0" w:type="auto"/>
            <w:hideMark/>
          </w:tcPr>
          <w:p w14:paraId="4B0A9F20"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&lt;70</w:t>
            </w:r>
          </w:p>
        </w:tc>
        <w:tc>
          <w:tcPr>
            <w:tcW w:w="0" w:type="auto"/>
            <w:hideMark/>
          </w:tcPr>
          <w:p w14:paraId="718771E7"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2.94 ± 0.11</w:t>
            </w:r>
          </w:p>
        </w:tc>
        <w:tc>
          <w:tcPr>
            <w:tcW w:w="0" w:type="auto"/>
            <w:hideMark/>
          </w:tcPr>
          <w:p w14:paraId="74299E9B" w14:textId="77777777" w:rsidR="00372CE0" w:rsidRPr="00372CE0" w:rsidRDefault="00372CE0">
            <w:pPr>
              <w:cnfStyle w:val="000000100000" w:firstRow="0" w:lastRow="0" w:firstColumn="0" w:lastColumn="0" w:oddVBand="0" w:evenVBand="0" w:oddHBand="1" w:evenHBand="0" w:firstRowFirstColumn="0" w:firstRowLastColumn="0" w:lastRowFirstColumn="0" w:lastRowLastColumn="0"/>
              <w:rPr>
                <w:rFonts w:asciiTheme="minorBidi" w:hAnsiTheme="minorBidi"/>
                <w:sz w:val="20"/>
                <w:szCs w:val="20"/>
              </w:rPr>
            </w:pPr>
            <w:r w:rsidRPr="00372CE0">
              <w:rPr>
                <w:rFonts w:asciiTheme="minorBidi" w:hAnsiTheme="minorBidi"/>
                <w:sz w:val="20"/>
                <w:szCs w:val="20"/>
              </w:rPr>
              <w:t>&gt;2</w:t>
            </w:r>
          </w:p>
        </w:tc>
      </w:tr>
    </w:tbl>
    <w:p w14:paraId="06A384F5" w14:textId="77777777" w:rsidR="006A1D73" w:rsidRPr="001240C1" w:rsidRDefault="006A1D73" w:rsidP="006A1D73">
      <w:pPr>
        <w:spacing w:after="0" w:line="360" w:lineRule="auto"/>
        <w:rPr>
          <w:rFonts w:ascii="Times New Roman" w:hAnsi="Times New Roman" w:cs="Times New Roman"/>
          <w:b/>
          <w:sz w:val="24"/>
          <w:szCs w:val="24"/>
        </w:rPr>
      </w:pPr>
    </w:p>
    <w:p w14:paraId="69748DDC" w14:textId="3773146D" w:rsidR="00372CE0" w:rsidRDefault="00372CE0" w:rsidP="00372CE0">
      <w:pPr>
        <w:jc w:val="both"/>
      </w:pPr>
      <w:r>
        <w:t>Notes: Values are mean ± SD from summary tables. 95% CIs for hair biomarkers computed using hair-specific sample sizes (Controls n=96; T</w:t>
      </w:r>
      <w:r>
        <w:rPr>
          <w:rFonts w:ascii="Cambria Math" w:hAnsi="Cambria Math" w:cs="Cambria Math"/>
        </w:rPr>
        <w:t>‑</w:t>
      </w:r>
      <w:r>
        <w:t>I n=12; T</w:t>
      </w:r>
      <w:r>
        <w:rPr>
          <w:rFonts w:ascii="Cambria Math" w:hAnsi="Cambria Math" w:cs="Cambria Math"/>
        </w:rPr>
        <w:t>‑</w:t>
      </w:r>
      <w:r>
        <w:t>II n=11; T</w:t>
      </w:r>
      <w:r>
        <w:rPr>
          <w:rFonts w:ascii="Cambria Math" w:hAnsi="Cambria Math" w:cs="Cambria Math"/>
        </w:rPr>
        <w:t>‑</w:t>
      </w:r>
      <w:r>
        <w:t>III n=30; T</w:t>
      </w:r>
      <w:r>
        <w:rPr>
          <w:rFonts w:ascii="Cambria Math" w:hAnsi="Cambria Math" w:cs="Cambria Math"/>
        </w:rPr>
        <w:t>‑</w:t>
      </w:r>
      <w:r>
        <w:t xml:space="preserve">IV n=21) from the provided statistics output. Blood selenium zones are shown for clinical translation (&lt;70 </w:t>
      </w:r>
      <w:r>
        <w:rPr>
          <w:rFonts w:ascii="Calibri" w:hAnsi="Calibri" w:cs="Calibri"/>
        </w:rPr>
        <w:t>µ</w:t>
      </w:r>
      <w:r>
        <w:t>g/L ~ GPx3 insufficiency; 70</w:t>
      </w:r>
      <w:r>
        <w:rPr>
          <w:rFonts w:ascii="Calibri" w:hAnsi="Calibri" w:cs="Calibri"/>
        </w:rPr>
        <w:t>–</w:t>
      </w:r>
      <w:r>
        <w:t xml:space="preserve">120 </w:t>
      </w:r>
      <w:r>
        <w:rPr>
          <w:rFonts w:ascii="Calibri" w:hAnsi="Calibri" w:cs="Calibri"/>
        </w:rPr>
        <w:t>µ</w:t>
      </w:r>
      <w:r>
        <w:t xml:space="preserve">g/L ~ SELENOP saturation range; &gt;120 </w:t>
      </w:r>
      <w:r>
        <w:rPr>
          <w:rFonts w:ascii="Calibri" w:hAnsi="Calibri" w:cs="Calibri"/>
        </w:rPr>
        <w:t>µ</w:t>
      </w:r>
      <w:r>
        <w:t>g/L above saturation). Hair mercury flag indicates whether mean exceeds ~2 µg/g population guidance.</w:t>
      </w:r>
    </w:p>
    <w:p w14:paraId="3ECD4D86" w14:textId="77777777" w:rsidR="006A1D73" w:rsidRPr="001240C1" w:rsidRDefault="006A1D73" w:rsidP="006A1D73">
      <w:pPr>
        <w:spacing w:after="0" w:line="360" w:lineRule="auto"/>
        <w:rPr>
          <w:rFonts w:ascii="Times New Roman" w:hAnsi="Times New Roman" w:cs="Times New Roman"/>
          <w:b/>
          <w:sz w:val="24"/>
          <w:szCs w:val="24"/>
        </w:rPr>
      </w:pPr>
    </w:p>
    <w:p w14:paraId="6523F574" w14:textId="77777777" w:rsidR="006A1D73" w:rsidRPr="001240C1" w:rsidRDefault="006A1D73" w:rsidP="006A1D73">
      <w:pPr>
        <w:spacing w:after="0" w:line="360" w:lineRule="auto"/>
        <w:rPr>
          <w:rFonts w:ascii="Times New Roman" w:hAnsi="Times New Roman" w:cs="Times New Roman"/>
          <w:b/>
          <w:sz w:val="24"/>
          <w:szCs w:val="24"/>
        </w:rPr>
      </w:pPr>
    </w:p>
    <w:p w14:paraId="2F8C52EF" w14:textId="77777777" w:rsidR="006A1D73" w:rsidRPr="001240C1" w:rsidRDefault="006A1D73" w:rsidP="006A1D73">
      <w:pPr>
        <w:spacing w:after="0" w:line="360" w:lineRule="auto"/>
        <w:rPr>
          <w:rFonts w:ascii="Times New Roman" w:hAnsi="Times New Roman" w:cs="Times New Roman"/>
          <w:b/>
          <w:sz w:val="24"/>
          <w:szCs w:val="24"/>
        </w:rPr>
      </w:pPr>
    </w:p>
    <w:p w14:paraId="355674F7" w14:textId="77777777" w:rsidR="006A1D73" w:rsidRPr="001240C1" w:rsidRDefault="006A1D73" w:rsidP="006A1D73">
      <w:pPr>
        <w:spacing w:after="0" w:line="360" w:lineRule="auto"/>
        <w:rPr>
          <w:rFonts w:ascii="Times New Roman" w:hAnsi="Times New Roman" w:cs="Times New Roman"/>
          <w:b/>
          <w:sz w:val="24"/>
          <w:szCs w:val="24"/>
        </w:rPr>
      </w:pPr>
    </w:p>
    <w:p w14:paraId="50D1EEE9" w14:textId="77777777" w:rsidR="006A1D73" w:rsidRPr="001240C1" w:rsidRDefault="006A1D73" w:rsidP="006A1D73">
      <w:pPr>
        <w:spacing w:after="0" w:line="360" w:lineRule="auto"/>
        <w:rPr>
          <w:rFonts w:ascii="Times New Roman" w:hAnsi="Times New Roman" w:cs="Times New Roman"/>
          <w:b/>
          <w:sz w:val="24"/>
          <w:szCs w:val="24"/>
        </w:rPr>
      </w:pPr>
    </w:p>
    <w:p w14:paraId="20C74FEA" w14:textId="77777777" w:rsidR="006A1D73" w:rsidRPr="001240C1" w:rsidRDefault="006A1D73" w:rsidP="006A1D73">
      <w:pPr>
        <w:spacing w:after="0" w:line="360" w:lineRule="auto"/>
        <w:rPr>
          <w:rFonts w:ascii="Times New Roman" w:hAnsi="Times New Roman" w:cs="Times New Roman"/>
          <w:b/>
          <w:sz w:val="24"/>
          <w:szCs w:val="24"/>
        </w:rPr>
      </w:pPr>
    </w:p>
    <w:p w14:paraId="195193BC" w14:textId="77777777" w:rsidR="006A1D73" w:rsidRPr="001240C1" w:rsidRDefault="006A1D73" w:rsidP="006A1D73">
      <w:pPr>
        <w:spacing w:after="0" w:line="360" w:lineRule="auto"/>
        <w:rPr>
          <w:rFonts w:ascii="Times New Roman" w:hAnsi="Times New Roman" w:cs="Times New Roman"/>
          <w:b/>
          <w:sz w:val="24"/>
          <w:szCs w:val="24"/>
        </w:rPr>
      </w:pPr>
    </w:p>
    <w:p w14:paraId="699D50F6" w14:textId="77777777" w:rsidR="006A1D73" w:rsidRPr="001240C1" w:rsidRDefault="006A1D73" w:rsidP="006A1D73">
      <w:pPr>
        <w:spacing w:after="0" w:line="360" w:lineRule="auto"/>
        <w:rPr>
          <w:rFonts w:ascii="Times New Roman" w:hAnsi="Times New Roman" w:cs="Times New Roman"/>
          <w:b/>
          <w:sz w:val="24"/>
          <w:szCs w:val="24"/>
        </w:rPr>
      </w:pPr>
    </w:p>
    <w:p w14:paraId="5337DA03" w14:textId="77777777" w:rsidR="006A1D73" w:rsidRPr="001240C1" w:rsidRDefault="006A1D73" w:rsidP="006A1D73">
      <w:pPr>
        <w:spacing w:after="0" w:line="360" w:lineRule="auto"/>
        <w:rPr>
          <w:rFonts w:ascii="Times New Roman" w:hAnsi="Times New Roman" w:cs="Times New Roman"/>
          <w:b/>
          <w:sz w:val="24"/>
          <w:szCs w:val="24"/>
        </w:rPr>
      </w:pPr>
    </w:p>
    <w:p w14:paraId="20B38D78" w14:textId="77777777" w:rsidR="006A1D73" w:rsidRPr="001240C1" w:rsidRDefault="006A1D73" w:rsidP="006A1D73">
      <w:pPr>
        <w:spacing w:after="0" w:line="360" w:lineRule="auto"/>
        <w:rPr>
          <w:rFonts w:ascii="Times New Roman" w:hAnsi="Times New Roman" w:cs="Times New Roman"/>
          <w:b/>
          <w:sz w:val="24"/>
          <w:szCs w:val="24"/>
        </w:rPr>
      </w:pPr>
    </w:p>
    <w:p w14:paraId="2346E90C" w14:textId="77777777" w:rsidR="006A1D73" w:rsidRPr="001240C1" w:rsidRDefault="006A1D73" w:rsidP="006A1D73">
      <w:pPr>
        <w:spacing w:after="0" w:line="360" w:lineRule="auto"/>
        <w:rPr>
          <w:rFonts w:ascii="Times New Roman" w:hAnsi="Times New Roman" w:cs="Times New Roman"/>
          <w:b/>
          <w:sz w:val="24"/>
          <w:szCs w:val="24"/>
        </w:rPr>
      </w:pPr>
    </w:p>
    <w:p w14:paraId="72672A87" w14:textId="77777777" w:rsidR="006A1D73" w:rsidRPr="001240C1" w:rsidRDefault="006A1D73" w:rsidP="006A1D73">
      <w:pPr>
        <w:spacing w:after="0" w:line="360" w:lineRule="auto"/>
        <w:rPr>
          <w:rFonts w:ascii="Times New Roman" w:hAnsi="Times New Roman" w:cs="Times New Roman"/>
          <w:b/>
          <w:sz w:val="24"/>
          <w:szCs w:val="24"/>
        </w:rPr>
      </w:pPr>
    </w:p>
    <w:p w14:paraId="7AD76D95" w14:textId="77777777" w:rsidR="006A1D73" w:rsidRPr="001240C1" w:rsidRDefault="006A1D73" w:rsidP="006A1D73">
      <w:pPr>
        <w:spacing w:after="0" w:line="360" w:lineRule="auto"/>
        <w:rPr>
          <w:rFonts w:ascii="Times New Roman" w:hAnsi="Times New Roman" w:cs="Times New Roman"/>
          <w:b/>
          <w:sz w:val="24"/>
          <w:szCs w:val="24"/>
        </w:rPr>
      </w:pPr>
    </w:p>
    <w:p w14:paraId="3AB86DC4" w14:textId="77777777" w:rsidR="0034293F" w:rsidRPr="001240C1" w:rsidRDefault="0034293F" w:rsidP="006A1D73">
      <w:pPr>
        <w:spacing w:after="0" w:line="360" w:lineRule="auto"/>
        <w:rPr>
          <w:rFonts w:ascii="Times New Roman" w:hAnsi="Times New Roman" w:cs="Times New Roman"/>
          <w:b/>
          <w:sz w:val="24"/>
          <w:szCs w:val="24"/>
        </w:rPr>
      </w:pPr>
    </w:p>
    <w:p w14:paraId="54FC37D7" w14:textId="77777777" w:rsidR="0034293F" w:rsidRPr="001240C1" w:rsidRDefault="0034293F" w:rsidP="006A1D73">
      <w:pPr>
        <w:spacing w:after="0" w:line="360" w:lineRule="auto"/>
        <w:rPr>
          <w:rFonts w:ascii="Times New Roman" w:hAnsi="Times New Roman" w:cs="Times New Roman"/>
          <w:b/>
          <w:sz w:val="24"/>
          <w:szCs w:val="24"/>
        </w:rPr>
      </w:pPr>
    </w:p>
    <w:p w14:paraId="3593E6BD" w14:textId="5057D7BC" w:rsidR="002B639D" w:rsidRPr="001240C1" w:rsidRDefault="006A1D73" w:rsidP="006A1D73">
      <w:pPr>
        <w:spacing w:after="0" w:line="360" w:lineRule="auto"/>
        <w:rPr>
          <w:rFonts w:ascii="Times New Roman" w:hAnsi="Times New Roman" w:cs="Times New Roman"/>
          <w:b/>
          <w:sz w:val="24"/>
          <w:szCs w:val="24"/>
        </w:rPr>
      </w:pPr>
      <w:r w:rsidRPr="001240C1">
        <w:rPr>
          <w:rFonts w:ascii="Times New Roman" w:hAnsi="Times New Roman" w:cs="Times New Roman"/>
          <w:b/>
          <w:sz w:val="24"/>
          <w:szCs w:val="24"/>
        </w:rPr>
        <w:t>Supplementary Table S</w:t>
      </w:r>
      <w:r w:rsidR="00430F4F" w:rsidRPr="001240C1">
        <w:rPr>
          <w:rFonts w:ascii="Times New Roman" w:hAnsi="Times New Roman" w:cs="Times New Roman"/>
          <w:b/>
          <w:sz w:val="24"/>
          <w:szCs w:val="24"/>
        </w:rPr>
        <w:t>3</w:t>
      </w:r>
      <w:r w:rsidRPr="001240C1">
        <w:rPr>
          <w:rFonts w:ascii="Times New Roman" w:hAnsi="Times New Roman" w:cs="Times New Roman"/>
          <w:b/>
          <w:sz w:val="24"/>
          <w:szCs w:val="24"/>
        </w:rPr>
        <w:t xml:space="preserve">: Clinical and biochemical characteristics of referents and patients with different types of </w:t>
      </w:r>
      <w:r w:rsidR="00F608A8" w:rsidRPr="001240C1">
        <w:rPr>
          <w:rFonts w:ascii="Times New Roman" w:hAnsi="Times New Roman" w:cs="Times New Roman"/>
          <w:b/>
          <w:sz w:val="24"/>
          <w:szCs w:val="24"/>
        </w:rPr>
        <w:t>breast cancer</w:t>
      </w:r>
    </w:p>
    <w:tbl>
      <w:tblPr>
        <w:tblStyle w:val="PlainTable21"/>
        <w:tblW w:w="10045" w:type="dxa"/>
        <w:tblLook w:val="04A0" w:firstRow="1" w:lastRow="0" w:firstColumn="1" w:lastColumn="0" w:noHBand="0" w:noVBand="1"/>
      </w:tblPr>
      <w:tblGrid>
        <w:gridCol w:w="1793"/>
        <w:gridCol w:w="1285"/>
        <w:gridCol w:w="1440"/>
        <w:gridCol w:w="1440"/>
        <w:gridCol w:w="1350"/>
        <w:gridCol w:w="1350"/>
        <w:gridCol w:w="1387"/>
      </w:tblGrid>
      <w:tr w:rsidR="006A1D73" w:rsidRPr="001240C1" w14:paraId="21DBD02C" w14:textId="77777777" w:rsidTr="00356DB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Merge w:val="restart"/>
          </w:tcPr>
          <w:p w14:paraId="0607B303" w14:textId="77777777" w:rsidR="006A1D73" w:rsidRPr="001240C1" w:rsidRDefault="006A1D73" w:rsidP="00356DB1">
            <w:pPr>
              <w:spacing w:line="360" w:lineRule="auto"/>
              <w:rPr>
                <w:rFonts w:ascii="Times New Roman" w:hAnsi="Times New Roman" w:cs="Times New Roman"/>
                <w:b w:val="0"/>
                <w:sz w:val="24"/>
                <w:szCs w:val="24"/>
              </w:rPr>
            </w:pPr>
            <w:r w:rsidRPr="001240C1">
              <w:rPr>
                <w:rFonts w:ascii="Times New Roman" w:hAnsi="Times New Roman" w:cs="Times New Roman"/>
                <w:sz w:val="24"/>
                <w:szCs w:val="24"/>
              </w:rPr>
              <w:t>Parameters</w:t>
            </w:r>
          </w:p>
        </w:tc>
        <w:tc>
          <w:tcPr>
            <w:tcW w:w="1285" w:type="dxa"/>
            <w:vMerge w:val="restart"/>
          </w:tcPr>
          <w:p w14:paraId="706B1F1A" w14:textId="77777777" w:rsidR="006A1D73" w:rsidRPr="001240C1" w:rsidRDefault="006A1D73" w:rsidP="00356DB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240C1">
              <w:rPr>
                <w:rFonts w:ascii="Times New Roman" w:hAnsi="Times New Roman" w:cs="Times New Roman"/>
                <w:sz w:val="24"/>
                <w:szCs w:val="24"/>
              </w:rPr>
              <w:t>Normal range</w:t>
            </w:r>
          </w:p>
        </w:tc>
        <w:tc>
          <w:tcPr>
            <w:tcW w:w="1440" w:type="dxa"/>
            <w:vMerge w:val="restart"/>
          </w:tcPr>
          <w:p w14:paraId="58951E4E" w14:textId="77777777" w:rsidR="006A1D73" w:rsidRPr="001240C1" w:rsidRDefault="006A1D73" w:rsidP="00356DB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240C1">
              <w:rPr>
                <w:rFonts w:ascii="Times New Roman" w:hAnsi="Times New Roman" w:cs="Times New Roman"/>
                <w:sz w:val="24"/>
                <w:szCs w:val="24"/>
              </w:rPr>
              <w:t>Referents</w:t>
            </w:r>
          </w:p>
        </w:tc>
        <w:tc>
          <w:tcPr>
            <w:tcW w:w="5527" w:type="dxa"/>
            <w:gridSpan w:val="4"/>
          </w:tcPr>
          <w:p w14:paraId="6BB88BE5" w14:textId="77777777" w:rsidR="006A1D73" w:rsidRPr="001240C1" w:rsidRDefault="006A1D73" w:rsidP="00356DB1">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240C1">
              <w:rPr>
                <w:rFonts w:ascii="Times New Roman" w:hAnsi="Times New Roman" w:cs="Times New Roman"/>
                <w:sz w:val="24"/>
                <w:szCs w:val="24"/>
              </w:rPr>
              <w:t>Types of Breast Cancer patients</w:t>
            </w:r>
          </w:p>
        </w:tc>
      </w:tr>
      <w:tr w:rsidR="006A1D73" w:rsidRPr="001240C1" w14:paraId="16245A8E" w14:textId="77777777" w:rsidTr="00356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vMerge/>
          </w:tcPr>
          <w:p w14:paraId="08CDE4C1" w14:textId="77777777" w:rsidR="006A1D73" w:rsidRPr="001240C1" w:rsidRDefault="006A1D73" w:rsidP="00356DB1">
            <w:pPr>
              <w:spacing w:line="360" w:lineRule="auto"/>
              <w:rPr>
                <w:rFonts w:ascii="Times New Roman" w:hAnsi="Times New Roman" w:cs="Times New Roman"/>
                <w:b w:val="0"/>
                <w:sz w:val="24"/>
                <w:szCs w:val="24"/>
              </w:rPr>
            </w:pPr>
          </w:p>
        </w:tc>
        <w:tc>
          <w:tcPr>
            <w:tcW w:w="1285" w:type="dxa"/>
            <w:vMerge/>
          </w:tcPr>
          <w:p w14:paraId="5DCD7F80"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440" w:type="dxa"/>
            <w:vMerge/>
          </w:tcPr>
          <w:p w14:paraId="2FA144F7"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
        </w:tc>
        <w:tc>
          <w:tcPr>
            <w:tcW w:w="1440" w:type="dxa"/>
          </w:tcPr>
          <w:p w14:paraId="58DF8E0C"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240C1">
              <w:rPr>
                <w:rFonts w:ascii="Times New Roman" w:hAnsi="Times New Roman" w:cs="Times New Roman"/>
                <w:b/>
                <w:sz w:val="24"/>
                <w:szCs w:val="24"/>
              </w:rPr>
              <w:t>I</w:t>
            </w:r>
          </w:p>
        </w:tc>
        <w:tc>
          <w:tcPr>
            <w:tcW w:w="1350" w:type="dxa"/>
          </w:tcPr>
          <w:p w14:paraId="135945CB"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240C1">
              <w:rPr>
                <w:rFonts w:ascii="Times New Roman" w:hAnsi="Times New Roman" w:cs="Times New Roman"/>
                <w:b/>
                <w:sz w:val="24"/>
                <w:szCs w:val="24"/>
              </w:rPr>
              <w:t>II</w:t>
            </w:r>
          </w:p>
        </w:tc>
        <w:tc>
          <w:tcPr>
            <w:tcW w:w="1350" w:type="dxa"/>
          </w:tcPr>
          <w:p w14:paraId="62D731A5"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240C1">
              <w:rPr>
                <w:rFonts w:ascii="Times New Roman" w:hAnsi="Times New Roman" w:cs="Times New Roman"/>
                <w:b/>
                <w:sz w:val="24"/>
                <w:szCs w:val="24"/>
              </w:rPr>
              <w:t>III</w:t>
            </w:r>
          </w:p>
        </w:tc>
        <w:tc>
          <w:tcPr>
            <w:tcW w:w="1387" w:type="dxa"/>
          </w:tcPr>
          <w:p w14:paraId="749869EB"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240C1">
              <w:rPr>
                <w:rFonts w:ascii="Times New Roman" w:hAnsi="Times New Roman" w:cs="Times New Roman"/>
                <w:b/>
                <w:sz w:val="24"/>
                <w:szCs w:val="24"/>
              </w:rPr>
              <w:t>IV</w:t>
            </w:r>
          </w:p>
        </w:tc>
      </w:tr>
      <w:tr w:rsidR="006A1D73" w:rsidRPr="001240C1" w14:paraId="7353C854" w14:textId="77777777" w:rsidTr="00356DB1">
        <w:tc>
          <w:tcPr>
            <w:cnfStyle w:val="001000000000" w:firstRow="0" w:lastRow="0" w:firstColumn="1" w:lastColumn="0" w:oddVBand="0" w:evenVBand="0" w:oddHBand="0" w:evenHBand="0" w:firstRowFirstColumn="0" w:firstRowLastColumn="0" w:lastRowFirstColumn="0" w:lastRowLastColumn="0"/>
            <w:tcW w:w="1793" w:type="dxa"/>
          </w:tcPr>
          <w:p w14:paraId="0BB2A892"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Hb (mg/dl)</w:t>
            </w:r>
          </w:p>
        </w:tc>
        <w:tc>
          <w:tcPr>
            <w:tcW w:w="1285" w:type="dxa"/>
          </w:tcPr>
          <w:p w14:paraId="5FF9983E"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11–14.5</w:t>
            </w:r>
          </w:p>
        </w:tc>
        <w:tc>
          <w:tcPr>
            <w:tcW w:w="1440" w:type="dxa"/>
          </w:tcPr>
          <w:p w14:paraId="05526D00"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12.7 ±1.21</w:t>
            </w:r>
          </w:p>
        </w:tc>
        <w:tc>
          <w:tcPr>
            <w:tcW w:w="1440" w:type="dxa"/>
          </w:tcPr>
          <w:p w14:paraId="462C50BF"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9.30 ±0.22</w:t>
            </w:r>
          </w:p>
        </w:tc>
        <w:tc>
          <w:tcPr>
            <w:tcW w:w="1350" w:type="dxa"/>
          </w:tcPr>
          <w:p w14:paraId="2D228E9F"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8.03 ± 0.35</w:t>
            </w:r>
          </w:p>
        </w:tc>
        <w:tc>
          <w:tcPr>
            <w:tcW w:w="1350" w:type="dxa"/>
          </w:tcPr>
          <w:p w14:paraId="21C63E6F"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7.10 ± 0.29</w:t>
            </w:r>
          </w:p>
        </w:tc>
        <w:tc>
          <w:tcPr>
            <w:tcW w:w="1387" w:type="dxa"/>
          </w:tcPr>
          <w:p w14:paraId="4D55E58A"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5.62 ±0.38</w:t>
            </w:r>
          </w:p>
        </w:tc>
      </w:tr>
      <w:tr w:rsidR="006A1D73" w:rsidRPr="001240C1" w14:paraId="553438A3" w14:textId="77777777" w:rsidTr="00356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tcPr>
          <w:p w14:paraId="70393F9D"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RBC (×10</w:t>
            </w:r>
            <w:r w:rsidRPr="001240C1">
              <w:rPr>
                <w:rFonts w:ascii="Times New Roman" w:hAnsi="Times New Roman" w:cs="Times New Roman"/>
                <w:sz w:val="24"/>
                <w:szCs w:val="24"/>
                <w:vertAlign w:val="superscript"/>
              </w:rPr>
              <w:t>12</w:t>
            </w:r>
            <w:r w:rsidRPr="001240C1">
              <w:rPr>
                <w:rFonts w:ascii="Times New Roman" w:hAnsi="Times New Roman" w:cs="Times New Roman"/>
                <w:sz w:val="24"/>
                <w:szCs w:val="24"/>
              </w:rPr>
              <w:t>/l)</w:t>
            </w:r>
          </w:p>
        </w:tc>
        <w:tc>
          <w:tcPr>
            <w:tcW w:w="1285" w:type="dxa"/>
          </w:tcPr>
          <w:p w14:paraId="5F4A6909"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3.5–4.5</w:t>
            </w:r>
          </w:p>
        </w:tc>
        <w:tc>
          <w:tcPr>
            <w:tcW w:w="1440" w:type="dxa"/>
          </w:tcPr>
          <w:p w14:paraId="44AC79FA"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4.02± 0.30</w:t>
            </w:r>
          </w:p>
        </w:tc>
        <w:tc>
          <w:tcPr>
            <w:tcW w:w="1440" w:type="dxa"/>
          </w:tcPr>
          <w:p w14:paraId="27D04164"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2.79 ± 0.15</w:t>
            </w:r>
          </w:p>
        </w:tc>
        <w:tc>
          <w:tcPr>
            <w:tcW w:w="1350" w:type="dxa"/>
          </w:tcPr>
          <w:p w14:paraId="7B695D6F"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2.25 ± 0.18</w:t>
            </w:r>
          </w:p>
        </w:tc>
        <w:tc>
          <w:tcPr>
            <w:tcW w:w="1350" w:type="dxa"/>
          </w:tcPr>
          <w:p w14:paraId="14326FCD"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1.83 ± 0.10</w:t>
            </w:r>
          </w:p>
        </w:tc>
        <w:tc>
          <w:tcPr>
            <w:tcW w:w="1387" w:type="dxa"/>
          </w:tcPr>
          <w:p w14:paraId="6DF7C457"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1.35 ± 0.17</w:t>
            </w:r>
          </w:p>
        </w:tc>
      </w:tr>
      <w:tr w:rsidR="006A1D73" w:rsidRPr="001240C1" w14:paraId="195F1F4C" w14:textId="77777777" w:rsidTr="00356DB1">
        <w:tc>
          <w:tcPr>
            <w:cnfStyle w:val="001000000000" w:firstRow="0" w:lastRow="0" w:firstColumn="1" w:lastColumn="0" w:oddVBand="0" w:evenVBand="0" w:oddHBand="0" w:evenHBand="0" w:firstRowFirstColumn="0" w:firstRowLastColumn="0" w:lastRowFirstColumn="0" w:lastRowLastColumn="0"/>
            <w:tcW w:w="1793" w:type="dxa"/>
          </w:tcPr>
          <w:p w14:paraId="4F6DA8F2"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Hct</w:t>
            </w:r>
          </w:p>
        </w:tc>
        <w:tc>
          <w:tcPr>
            <w:tcW w:w="1285" w:type="dxa"/>
          </w:tcPr>
          <w:p w14:paraId="3CF71CB0"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39–49</w:t>
            </w:r>
          </w:p>
        </w:tc>
        <w:tc>
          <w:tcPr>
            <w:tcW w:w="1440" w:type="dxa"/>
          </w:tcPr>
          <w:p w14:paraId="6F145E6E"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41.9 ± 1.05</w:t>
            </w:r>
          </w:p>
        </w:tc>
        <w:tc>
          <w:tcPr>
            <w:tcW w:w="1440" w:type="dxa"/>
          </w:tcPr>
          <w:p w14:paraId="7B77A1A3"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31.9 ± 1.22</w:t>
            </w:r>
          </w:p>
        </w:tc>
        <w:tc>
          <w:tcPr>
            <w:tcW w:w="1350" w:type="dxa"/>
          </w:tcPr>
          <w:p w14:paraId="3780D7D6"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25.9 ± 1.95</w:t>
            </w:r>
          </w:p>
        </w:tc>
        <w:tc>
          <w:tcPr>
            <w:tcW w:w="1350" w:type="dxa"/>
          </w:tcPr>
          <w:p w14:paraId="64E4FCB0"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21.5 ± 0.92</w:t>
            </w:r>
          </w:p>
        </w:tc>
        <w:tc>
          <w:tcPr>
            <w:tcW w:w="1387" w:type="dxa"/>
          </w:tcPr>
          <w:p w14:paraId="3FBEE4DF"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17.9 ± 1.26</w:t>
            </w:r>
          </w:p>
        </w:tc>
      </w:tr>
      <w:tr w:rsidR="006A1D73" w:rsidRPr="001240C1" w14:paraId="27CF6B74" w14:textId="77777777" w:rsidTr="00356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tcPr>
          <w:p w14:paraId="714069BE"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MCH (pg)</w:t>
            </w:r>
          </w:p>
        </w:tc>
        <w:tc>
          <w:tcPr>
            <w:tcW w:w="1285" w:type="dxa"/>
          </w:tcPr>
          <w:p w14:paraId="4F2594A2"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27–32</w:t>
            </w:r>
          </w:p>
        </w:tc>
        <w:tc>
          <w:tcPr>
            <w:tcW w:w="1440" w:type="dxa"/>
          </w:tcPr>
          <w:p w14:paraId="6FC3F95E"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30.7 ± 0.62</w:t>
            </w:r>
          </w:p>
        </w:tc>
        <w:tc>
          <w:tcPr>
            <w:tcW w:w="1440" w:type="dxa"/>
          </w:tcPr>
          <w:p w14:paraId="4C428847"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21.5 ± 1.44</w:t>
            </w:r>
          </w:p>
        </w:tc>
        <w:tc>
          <w:tcPr>
            <w:tcW w:w="1350" w:type="dxa"/>
          </w:tcPr>
          <w:p w14:paraId="2F72F2D2"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17.3 ± 1.06</w:t>
            </w:r>
          </w:p>
        </w:tc>
        <w:tc>
          <w:tcPr>
            <w:tcW w:w="1350" w:type="dxa"/>
          </w:tcPr>
          <w:p w14:paraId="67DA32C3"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15.7 ± 1.21</w:t>
            </w:r>
          </w:p>
        </w:tc>
        <w:tc>
          <w:tcPr>
            <w:tcW w:w="1387" w:type="dxa"/>
          </w:tcPr>
          <w:p w14:paraId="38DA3FD4"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11.9 ± 0.98</w:t>
            </w:r>
          </w:p>
        </w:tc>
      </w:tr>
      <w:tr w:rsidR="006A1D73" w:rsidRPr="001240C1" w14:paraId="42BED19B" w14:textId="77777777" w:rsidTr="00356DB1">
        <w:tc>
          <w:tcPr>
            <w:cnfStyle w:val="001000000000" w:firstRow="0" w:lastRow="0" w:firstColumn="1" w:lastColumn="0" w:oddVBand="0" w:evenVBand="0" w:oddHBand="0" w:evenHBand="0" w:firstRowFirstColumn="0" w:firstRowLastColumn="0" w:lastRowFirstColumn="0" w:lastRowLastColumn="0"/>
            <w:tcW w:w="1793" w:type="dxa"/>
          </w:tcPr>
          <w:p w14:paraId="5B5A06E6"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MCHC (g/dl)</w:t>
            </w:r>
          </w:p>
        </w:tc>
        <w:tc>
          <w:tcPr>
            <w:tcW w:w="1285" w:type="dxa"/>
          </w:tcPr>
          <w:p w14:paraId="27C78384"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32–36</w:t>
            </w:r>
          </w:p>
        </w:tc>
        <w:tc>
          <w:tcPr>
            <w:tcW w:w="1440" w:type="dxa"/>
          </w:tcPr>
          <w:p w14:paraId="2C0D3040"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34.8 ± 0.59</w:t>
            </w:r>
          </w:p>
        </w:tc>
        <w:tc>
          <w:tcPr>
            <w:tcW w:w="1440" w:type="dxa"/>
          </w:tcPr>
          <w:p w14:paraId="1100E42A"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25.6 ± 1.93</w:t>
            </w:r>
          </w:p>
        </w:tc>
        <w:tc>
          <w:tcPr>
            <w:tcW w:w="1350" w:type="dxa"/>
          </w:tcPr>
          <w:p w14:paraId="6A3DDBB9"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22.7 ± 1.79</w:t>
            </w:r>
          </w:p>
        </w:tc>
        <w:tc>
          <w:tcPr>
            <w:tcW w:w="1350" w:type="dxa"/>
          </w:tcPr>
          <w:p w14:paraId="62233873"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19.2 ± 1.05</w:t>
            </w:r>
          </w:p>
        </w:tc>
        <w:tc>
          <w:tcPr>
            <w:tcW w:w="1387" w:type="dxa"/>
          </w:tcPr>
          <w:p w14:paraId="7C39715C"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16.5 ± 1.51</w:t>
            </w:r>
          </w:p>
        </w:tc>
      </w:tr>
      <w:tr w:rsidR="006A1D73" w:rsidRPr="001240C1" w14:paraId="0A769A99" w14:textId="77777777" w:rsidTr="00356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tcPr>
          <w:p w14:paraId="2D7BF277"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MCV (fl)</w:t>
            </w:r>
          </w:p>
        </w:tc>
        <w:tc>
          <w:tcPr>
            <w:tcW w:w="1285" w:type="dxa"/>
          </w:tcPr>
          <w:p w14:paraId="071179D4"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92.6–95.0</w:t>
            </w:r>
          </w:p>
        </w:tc>
        <w:tc>
          <w:tcPr>
            <w:tcW w:w="1440" w:type="dxa"/>
          </w:tcPr>
          <w:p w14:paraId="447B6F24"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93.6 ± 1.45</w:t>
            </w:r>
          </w:p>
        </w:tc>
        <w:tc>
          <w:tcPr>
            <w:tcW w:w="1440" w:type="dxa"/>
          </w:tcPr>
          <w:p w14:paraId="4E638999"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72.5 ± 2.98</w:t>
            </w:r>
          </w:p>
        </w:tc>
        <w:tc>
          <w:tcPr>
            <w:tcW w:w="1350" w:type="dxa"/>
          </w:tcPr>
          <w:p w14:paraId="5BA2A466"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67.0 ± 1.79</w:t>
            </w:r>
          </w:p>
        </w:tc>
        <w:tc>
          <w:tcPr>
            <w:tcW w:w="1350" w:type="dxa"/>
          </w:tcPr>
          <w:p w14:paraId="0989B387"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62.7 ± 2.07</w:t>
            </w:r>
          </w:p>
        </w:tc>
        <w:tc>
          <w:tcPr>
            <w:tcW w:w="1387" w:type="dxa"/>
          </w:tcPr>
          <w:p w14:paraId="02B8E6B0"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58.5± 1.99</w:t>
            </w:r>
          </w:p>
        </w:tc>
      </w:tr>
      <w:tr w:rsidR="006A1D73" w:rsidRPr="001240C1" w14:paraId="03E24117" w14:textId="77777777" w:rsidTr="00356DB1">
        <w:tc>
          <w:tcPr>
            <w:cnfStyle w:val="001000000000" w:firstRow="0" w:lastRow="0" w:firstColumn="1" w:lastColumn="0" w:oddVBand="0" w:evenVBand="0" w:oddHBand="0" w:evenHBand="0" w:firstRowFirstColumn="0" w:firstRowLastColumn="0" w:lastRowFirstColumn="0" w:lastRowLastColumn="0"/>
            <w:tcW w:w="1793" w:type="dxa"/>
          </w:tcPr>
          <w:p w14:paraId="03159CF4"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Serum ferritin (ng/ml</w:t>
            </w:r>
          </w:p>
        </w:tc>
        <w:tc>
          <w:tcPr>
            <w:tcW w:w="1285" w:type="dxa"/>
          </w:tcPr>
          <w:p w14:paraId="6F32FE0B"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28–80</w:t>
            </w:r>
          </w:p>
        </w:tc>
        <w:tc>
          <w:tcPr>
            <w:tcW w:w="1440" w:type="dxa"/>
          </w:tcPr>
          <w:p w14:paraId="1248CC8A"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53.9 ± 5.15</w:t>
            </w:r>
          </w:p>
        </w:tc>
        <w:tc>
          <w:tcPr>
            <w:tcW w:w="1440" w:type="dxa"/>
          </w:tcPr>
          <w:p w14:paraId="0DDB73DF"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112 ± 4.98</w:t>
            </w:r>
          </w:p>
        </w:tc>
        <w:tc>
          <w:tcPr>
            <w:tcW w:w="1350" w:type="dxa"/>
          </w:tcPr>
          <w:p w14:paraId="36F8EC28"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129 ± 3.95</w:t>
            </w:r>
          </w:p>
        </w:tc>
        <w:tc>
          <w:tcPr>
            <w:tcW w:w="1350" w:type="dxa"/>
          </w:tcPr>
          <w:p w14:paraId="06889293"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147 ± 5.10</w:t>
            </w:r>
          </w:p>
        </w:tc>
        <w:tc>
          <w:tcPr>
            <w:tcW w:w="1387" w:type="dxa"/>
          </w:tcPr>
          <w:p w14:paraId="406BD54A" w14:textId="77777777" w:rsidR="006A1D73" w:rsidRPr="001240C1" w:rsidRDefault="006A1D73" w:rsidP="00356DB1">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165 ± 7.41</w:t>
            </w:r>
          </w:p>
        </w:tc>
      </w:tr>
      <w:tr w:rsidR="006A1D73" w:rsidRPr="001240C1" w14:paraId="1157A965" w14:textId="77777777" w:rsidTr="00356DB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3" w:type="dxa"/>
          </w:tcPr>
          <w:p w14:paraId="19E7D498" w14:textId="77777777" w:rsidR="006A1D73" w:rsidRPr="001240C1" w:rsidRDefault="006A1D73" w:rsidP="00356DB1">
            <w:pPr>
              <w:spacing w:line="360" w:lineRule="auto"/>
              <w:rPr>
                <w:rFonts w:ascii="Times New Roman" w:hAnsi="Times New Roman" w:cs="Times New Roman"/>
                <w:sz w:val="24"/>
                <w:szCs w:val="24"/>
              </w:rPr>
            </w:pPr>
            <w:r w:rsidRPr="001240C1">
              <w:rPr>
                <w:rFonts w:ascii="Times New Roman" w:hAnsi="Times New Roman" w:cs="Times New Roman"/>
                <w:sz w:val="24"/>
                <w:szCs w:val="24"/>
              </w:rPr>
              <w:t>TIBC (μg/100 ml)</w:t>
            </w:r>
          </w:p>
        </w:tc>
        <w:tc>
          <w:tcPr>
            <w:tcW w:w="1285" w:type="dxa"/>
          </w:tcPr>
          <w:p w14:paraId="6DD37866"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280–400</w:t>
            </w:r>
          </w:p>
        </w:tc>
        <w:tc>
          <w:tcPr>
            <w:tcW w:w="1440" w:type="dxa"/>
          </w:tcPr>
          <w:p w14:paraId="64BECF33"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293 ± 9.52</w:t>
            </w:r>
          </w:p>
        </w:tc>
        <w:tc>
          <w:tcPr>
            <w:tcW w:w="1440" w:type="dxa"/>
          </w:tcPr>
          <w:p w14:paraId="071FB1F8"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472± 25.9</w:t>
            </w:r>
          </w:p>
        </w:tc>
        <w:tc>
          <w:tcPr>
            <w:tcW w:w="1350" w:type="dxa"/>
          </w:tcPr>
          <w:p w14:paraId="65FB33C9"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528 ± 21.9</w:t>
            </w:r>
          </w:p>
        </w:tc>
        <w:tc>
          <w:tcPr>
            <w:tcW w:w="1350" w:type="dxa"/>
          </w:tcPr>
          <w:p w14:paraId="70FE84CD"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593 ± 32.9</w:t>
            </w:r>
          </w:p>
        </w:tc>
        <w:tc>
          <w:tcPr>
            <w:tcW w:w="1387" w:type="dxa"/>
          </w:tcPr>
          <w:p w14:paraId="6F39A40E" w14:textId="77777777" w:rsidR="006A1D73" w:rsidRPr="001240C1" w:rsidRDefault="006A1D73" w:rsidP="00356DB1">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240C1">
              <w:rPr>
                <w:rFonts w:ascii="Times New Roman" w:hAnsi="Times New Roman" w:cs="Times New Roman"/>
                <w:sz w:val="24"/>
                <w:szCs w:val="24"/>
              </w:rPr>
              <w:t>685± 26.9</w:t>
            </w:r>
          </w:p>
        </w:tc>
      </w:tr>
    </w:tbl>
    <w:p w14:paraId="6B0A485A" w14:textId="542926B9" w:rsidR="006A1D73" w:rsidRPr="001240C1" w:rsidRDefault="0034293F" w:rsidP="006A1D73">
      <w:pPr>
        <w:spacing w:after="0" w:line="360" w:lineRule="auto"/>
        <w:rPr>
          <w:rFonts w:ascii="Times New Roman" w:hAnsi="Times New Roman" w:cs="Times New Roman"/>
          <w:sz w:val="24"/>
          <w:szCs w:val="24"/>
        </w:rPr>
      </w:pPr>
      <w:r w:rsidRPr="001240C1">
        <w:rPr>
          <w:rFonts w:ascii="Times New Roman" w:hAnsi="Times New Roman" w:cs="Times New Roman"/>
          <w:b/>
          <w:bCs/>
          <w:sz w:val="24"/>
          <w:szCs w:val="24"/>
        </w:rPr>
        <w:t>Abbreviations: -</w:t>
      </w:r>
      <w:r w:rsidR="006A1D73" w:rsidRPr="001240C1">
        <w:rPr>
          <w:rFonts w:ascii="Times New Roman" w:hAnsi="Times New Roman" w:cs="Times New Roman"/>
          <w:sz w:val="24"/>
          <w:szCs w:val="24"/>
        </w:rPr>
        <w:t>Hb= heamoglobin,  RBC= red blood cells; HCT= hematocrit; MCV= mean corpuscular volume; MCH= mean corpuscular heamoglobin; MCHC= mean corpuscular hemoglobin concentration; TIBC= Total iron binding capacity</w:t>
      </w:r>
    </w:p>
    <w:p w14:paraId="04869B89" w14:textId="77777777" w:rsidR="006A1D73" w:rsidRPr="001240C1" w:rsidRDefault="006A1D73"/>
    <w:p w14:paraId="3B098D8B" w14:textId="77777777" w:rsidR="006A1D73" w:rsidRPr="001240C1" w:rsidRDefault="006A1D73"/>
    <w:p w14:paraId="7887DEDD" w14:textId="77777777" w:rsidR="006A1D73" w:rsidRPr="001240C1" w:rsidRDefault="006A1D73"/>
    <w:p w14:paraId="0F7DCE88" w14:textId="77777777" w:rsidR="006A1D73" w:rsidRPr="001240C1" w:rsidRDefault="006A1D73"/>
    <w:p w14:paraId="6868EFD3" w14:textId="77777777" w:rsidR="006A1D73" w:rsidRPr="001240C1" w:rsidRDefault="006A1D73"/>
    <w:p w14:paraId="1CC5693E" w14:textId="77777777" w:rsidR="006A1D73" w:rsidRPr="001240C1" w:rsidRDefault="006A1D73" w:rsidP="002B639D">
      <w:pPr>
        <w:spacing w:after="0" w:line="360" w:lineRule="auto"/>
      </w:pPr>
      <w:bookmarkStart w:id="0" w:name="_Hlk173747779"/>
    </w:p>
    <w:p w14:paraId="5C631F1A" w14:textId="77777777" w:rsidR="006A1D73" w:rsidRPr="001240C1" w:rsidRDefault="006A1D73" w:rsidP="002B639D">
      <w:pPr>
        <w:spacing w:after="0" w:line="360" w:lineRule="auto"/>
        <w:rPr>
          <w:rFonts w:ascii="Times New Roman" w:hAnsi="Times New Roman" w:cs="Times New Roman"/>
          <w:b/>
          <w:sz w:val="24"/>
          <w:szCs w:val="24"/>
        </w:rPr>
      </w:pPr>
    </w:p>
    <w:p w14:paraId="61AD0F65" w14:textId="11EF449B" w:rsidR="002B639D" w:rsidRPr="001240C1" w:rsidRDefault="00EB71D4" w:rsidP="002B639D">
      <w:pPr>
        <w:spacing w:after="0" w:line="360" w:lineRule="auto"/>
        <w:rPr>
          <w:rFonts w:ascii="Times New Roman" w:hAnsi="Times New Roman" w:cs="Times New Roman"/>
          <w:sz w:val="24"/>
          <w:szCs w:val="24"/>
        </w:rPr>
      </w:pPr>
      <w:r w:rsidRPr="001240C1">
        <w:rPr>
          <w:rFonts w:ascii="Times New Roman" w:hAnsi="Times New Roman" w:cs="Times New Roman"/>
          <w:b/>
          <w:sz w:val="24"/>
          <w:szCs w:val="24"/>
        </w:rPr>
        <w:t>Supplementary</w:t>
      </w:r>
      <w:r w:rsidR="0045037D" w:rsidRPr="001240C1">
        <w:rPr>
          <w:rFonts w:ascii="Times New Roman" w:hAnsi="Times New Roman" w:cs="Times New Roman"/>
          <w:b/>
          <w:sz w:val="24"/>
          <w:szCs w:val="24"/>
        </w:rPr>
        <w:t xml:space="preserve"> </w:t>
      </w:r>
      <w:r w:rsidR="002B639D" w:rsidRPr="001240C1">
        <w:rPr>
          <w:rFonts w:ascii="Times New Roman" w:hAnsi="Times New Roman" w:cs="Times New Roman"/>
          <w:b/>
          <w:sz w:val="24"/>
          <w:szCs w:val="24"/>
        </w:rPr>
        <w:t>Table</w:t>
      </w:r>
      <w:r w:rsidR="0045037D" w:rsidRPr="001240C1">
        <w:rPr>
          <w:rFonts w:ascii="Times New Roman" w:hAnsi="Times New Roman" w:cs="Times New Roman"/>
          <w:b/>
          <w:sz w:val="24"/>
          <w:szCs w:val="24"/>
        </w:rPr>
        <w:t xml:space="preserve"> </w:t>
      </w:r>
      <w:r w:rsidR="00F93DE0" w:rsidRPr="001240C1">
        <w:rPr>
          <w:rFonts w:ascii="Times New Roman" w:hAnsi="Times New Roman" w:cs="Times New Roman"/>
          <w:b/>
          <w:sz w:val="24"/>
          <w:szCs w:val="24"/>
        </w:rPr>
        <w:t>S</w:t>
      </w:r>
      <w:r w:rsidR="00430F4F" w:rsidRPr="001240C1">
        <w:rPr>
          <w:rFonts w:ascii="Times New Roman" w:hAnsi="Times New Roman" w:cs="Times New Roman"/>
          <w:b/>
          <w:sz w:val="24"/>
          <w:szCs w:val="24"/>
        </w:rPr>
        <w:t>4</w:t>
      </w:r>
      <w:r w:rsidR="002B639D" w:rsidRPr="001240C1">
        <w:rPr>
          <w:rFonts w:ascii="Times New Roman" w:hAnsi="Times New Roman" w:cs="Times New Roman"/>
          <w:b/>
          <w:sz w:val="24"/>
          <w:szCs w:val="24"/>
        </w:rPr>
        <w:t xml:space="preserve">: </w:t>
      </w:r>
      <w:bookmarkStart w:id="1" w:name="_Hlk157617520"/>
      <w:r w:rsidR="002B639D" w:rsidRPr="001240C1">
        <w:rPr>
          <w:rFonts w:ascii="Times New Roman" w:hAnsi="Times New Roman" w:cs="Times New Roman"/>
          <w:b/>
          <w:sz w:val="24"/>
          <w:szCs w:val="24"/>
        </w:rPr>
        <w:t>Frequency and Extent of Axillary Lymph Node Metastases Based on pathologic evaluation in female breast cancer patients.</w:t>
      </w:r>
      <w:bookmarkEnd w:id="1"/>
    </w:p>
    <w:tbl>
      <w:tblPr>
        <w:tblStyle w:val="GridTable5Dark-Accent61"/>
        <w:tblW w:w="9085" w:type="dxa"/>
        <w:tblLook w:val="04A0" w:firstRow="1" w:lastRow="0" w:firstColumn="1" w:lastColumn="0" w:noHBand="0" w:noVBand="1"/>
      </w:tblPr>
      <w:tblGrid>
        <w:gridCol w:w="1842"/>
        <w:gridCol w:w="7243"/>
      </w:tblGrid>
      <w:tr w:rsidR="002B639D" w:rsidRPr="001240C1" w14:paraId="77AD2282" w14:textId="77777777" w:rsidTr="003F7E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4734858F" w14:textId="77777777" w:rsidR="002B639D" w:rsidRPr="001240C1" w:rsidRDefault="002B639D" w:rsidP="003F7E50">
            <w:pPr>
              <w:rPr>
                <w:rFonts w:ascii="Times New Roman" w:hAnsi="Times New Roman" w:cs="Times New Roman"/>
                <w:b w:val="0"/>
                <w:color w:val="auto"/>
                <w:sz w:val="20"/>
                <w:szCs w:val="20"/>
              </w:rPr>
            </w:pPr>
            <w:bookmarkStart w:id="2" w:name="_Hlk157617528"/>
            <w:bookmarkEnd w:id="0"/>
            <w:r w:rsidRPr="001240C1">
              <w:rPr>
                <w:rFonts w:ascii="Times New Roman" w:hAnsi="Times New Roman" w:cs="Times New Roman"/>
                <w:color w:val="auto"/>
                <w:sz w:val="20"/>
                <w:szCs w:val="20"/>
              </w:rPr>
              <w:t>Parameters</w:t>
            </w:r>
          </w:p>
        </w:tc>
        <w:tc>
          <w:tcPr>
            <w:tcW w:w="7243" w:type="dxa"/>
            <w:vAlign w:val="center"/>
          </w:tcPr>
          <w:p w14:paraId="44F4A00E" w14:textId="77777777" w:rsidR="002B639D" w:rsidRPr="001240C1" w:rsidRDefault="002B639D" w:rsidP="003F7E5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1240C1">
              <w:rPr>
                <w:rFonts w:ascii="Times New Roman" w:hAnsi="Times New Roman" w:cs="Times New Roman"/>
                <w:color w:val="auto"/>
                <w:sz w:val="20"/>
                <w:szCs w:val="20"/>
              </w:rPr>
              <w:t>Clinical Features</w:t>
            </w:r>
          </w:p>
        </w:tc>
      </w:tr>
      <w:tr w:rsidR="002B639D" w:rsidRPr="001240C1" w14:paraId="714E4CF1" w14:textId="77777777" w:rsidTr="003F7E50">
        <w:trPr>
          <w:cnfStyle w:val="000000100000" w:firstRow="0" w:lastRow="0" w:firstColumn="0" w:lastColumn="0" w:oddVBand="0" w:evenVBand="0" w:oddHBand="1" w:evenHBand="0" w:firstRowFirstColumn="0" w:firstRowLastColumn="0" w:lastRowFirstColumn="0" w:lastRowLastColumn="0"/>
          <w:trHeight w:val="2078"/>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4811C4DF"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t>Bilateral Mammography</w:t>
            </w:r>
          </w:p>
        </w:tc>
        <w:tc>
          <w:tcPr>
            <w:tcW w:w="7243" w:type="dxa"/>
            <w:vAlign w:val="center"/>
          </w:tcPr>
          <w:p w14:paraId="6CBA6B5C"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b/>
                <w:sz w:val="20"/>
                <w:szCs w:val="20"/>
              </w:rPr>
              <w:t>Image description:</w:t>
            </w:r>
            <w:r w:rsidRPr="001240C1">
              <w:rPr>
                <w:rFonts w:ascii="Times New Roman" w:hAnsi="Times New Roman" w:cs="Times New Roman"/>
                <w:sz w:val="20"/>
                <w:szCs w:val="20"/>
              </w:rPr>
              <w:t xml:space="preserve"> both breasts show normal fatty and glandular parenchyma.</w:t>
            </w:r>
          </w:p>
          <w:p w14:paraId="46B5AC25"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There is a soft tissue density lesion with margin noted upper outer quadrant of right breast. No definite evidence of speculated mass or architectural distortion noted in left breast.</w:t>
            </w:r>
          </w:p>
          <w:p w14:paraId="4299EDDE"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No suspicious micro calcification, skin or nipple change is noted in left breast.</w:t>
            </w:r>
          </w:p>
          <w:p w14:paraId="2647431A"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 xml:space="preserve">Bilateral Axillary lymph nodes are enlarged. </w:t>
            </w:r>
          </w:p>
          <w:p w14:paraId="16E6140A"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240C1">
              <w:rPr>
                <w:rFonts w:ascii="Times New Roman" w:hAnsi="Times New Roman" w:cs="Times New Roman"/>
                <w:b/>
                <w:sz w:val="20"/>
                <w:szCs w:val="20"/>
              </w:rPr>
              <w:t>Impression: Appearance in the Right breast is suspicious of malignancy.</w:t>
            </w:r>
          </w:p>
          <w:p w14:paraId="139B8413"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240C1">
              <w:rPr>
                <w:rFonts w:ascii="Times New Roman" w:hAnsi="Times New Roman" w:cs="Times New Roman"/>
                <w:b/>
                <w:sz w:val="20"/>
                <w:szCs w:val="20"/>
              </w:rPr>
              <w:t>BIRAD 4: Suspicious of malignancy.</w:t>
            </w:r>
          </w:p>
          <w:p w14:paraId="50268878"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240C1">
              <w:rPr>
                <w:rFonts w:ascii="Times New Roman" w:hAnsi="Times New Roman" w:cs="Times New Roman"/>
                <w:b/>
                <w:sz w:val="20"/>
                <w:szCs w:val="20"/>
              </w:rPr>
              <w:t xml:space="preserve">Would Recommended True cut biopsy for further evolution.   </w:t>
            </w:r>
          </w:p>
        </w:tc>
      </w:tr>
      <w:tr w:rsidR="002B639D" w:rsidRPr="001240C1" w14:paraId="2EDE9F8A" w14:textId="77777777" w:rsidTr="003F7E50">
        <w:trPr>
          <w:trHeight w:val="1160"/>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63EAA239"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t xml:space="preserve">Surgical pathology Report (Biopsy) </w:t>
            </w:r>
          </w:p>
        </w:tc>
        <w:tc>
          <w:tcPr>
            <w:tcW w:w="7243" w:type="dxa"/>
            <w:vAlign w:val="center"/>
          </w:tcPr>
          <w:p w14:paraId="3B5E5B78"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Microscopic examination: histological examination of the section from submitted true cut biopsy taken from the Right breast lump, reveals breast tissue with morphological evidence of an infiltrating ductal cell carcinoma.</w:t>
            </w:r>
          </w:p>
          <w:p w14:paraId="2DE7E09D"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The tumor tissue shows minimal tubular formation (score 3/3), marked pleomorphism (score 3/3), and many mitosis (3/3).</w:t>
            </w:r>
          </w:p>
          <w:p w14:paraId="33A0AE98"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The tumor consists of masses and nests of poorly differentiated tumor cells.</w:t>
            </w:r>
          </w:p>
          <w:p w14:paraId="3656C29A"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Lymphocytic infiltration, fibrosis and desmoplastic storma are evident.</w:t>
            </w:r>
          </w:p>
          <w:p w14:paraId="39746F6E"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Final conclusion: True cut biopsy Right breast lump:</w:t>
            </w:r>
          </w:p>
          <w:p w14:paraId="42E38E80"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1240C1">
              <w:rPr>
                <w:rFonts w:ascii="Times New Roman" w:hAnsi="Times New Roman" w:cs="Times New Roman"/>
                <w:sz w:val="20"/>
                <w:szCs w:val="20"/>
              </w:rPr>
              <w:t>Infiltrating duct cell carcinoma grade, I-IV on scale of Right breast according to Nottingham modification of the bloom Richardson’s grading system of Breast carcinoma.</w:t>
            </w:r>
          </w:p>
        </w:tc>
      </w:tr>
      <w:tr w:rsidR="002B639D" w:rsidRPr="001240C1" w14:paraId="68B91128" w14:textId="77777777" w:rsidTr="003F7E50">
        <w:trPr>
          <w:cnfStyle w:val="000000100000" w:firstRow="0" w:lastRow="0" w:firstColumn="0" w:lastColumn="0" w:oddVBand="0" w:evenVBand="0" w:oddHBand="1" w:evenHBand="0" w:firstRowFirstColumn="0" w:firstRowLastColumn="0" w:lastRowFirstColumn="0" w:lastRowLastColumn="0"/>
          <w:trHeight w:val="2213"/>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2D9B3F36"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lastRenderedPageBreak/>
              <w:t>Tumor size CT Scan</w:t>
            </w:r>
          </w:p>
          <w:p w14:paraId="37D4B86F"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t xml:space="preserve">For staging  </w:t>
            </w:r>
          </w:p>
        </w:tc>
        <w:tc>
          <w:tcPr>
            <w:tcW w:w="7243" w:type="dxa"/>
            <w:vAlign w:val="center"/>
          </w:tcPr>
          <w:p w14:paraId="76B44E8A"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1. There is heterogeneously enhancing soft tissue density with speculated margiinns seen in the Right breast parenchyma with mild surrounding fat stranding causing architectural distortion. It is approximately 2.3cm deep to the skin. It measures 1.3*1.5cm. Furthermore, there is skin thickening noted measures 1.2cm along with retracting of nipple.</w:t>
            </w:r>
          </w:p>
          <w:p w14:paraId="7E360AA0"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 xml:space="preserve">Few rounded enlarged lymph nodes seen in Right axillary region. The largest one measure about 1.4cm with loss of hilum.   </w:t>
            </w:r>
          </w:p>
          <w:p w14:paraId="7A429E1F"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 xml:space="preserve">2. Above-described findings are suggestive of biopsy proven case of carcinoma of Right breast with metastasis Right axillary lymphadenopathy as detailed. </w:t>
            </w:r>
          </w:p>
        </w:tc>
      </w:tr>
      <w:tr w:rsidR="002B639D" w:rsidRPr="001240C1" w14:paraId="606FCC18" w14:textId="77777777" w:rsidTr="003F7E50">
        <w:tc>
          <w:tcPr>
            <w:cnfStyle w:val="001000000000" w:firstRow="0" w:lastRow="0" w:firstColumn="1" w:lastColumn="0" w:oddVBand="0" w:evenVBand="0" w:oddHBand="0" w:evenHBand="0" w:firstRowFirstColumn="0" w:firstRowLastColumn="0" w:lastRowFirstColumn="0" w:lastRowLastColumn="0"/>
            <w:tcW w:w="1842" w:type="dxa"/>
            <w:vAlign w:val="center"/>
          </w:tcPr>
          <w:p w14:paraId="1ED41C27"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t xml:space="preserve">Ultrasound </w:t>
            </w:r>
          </w:p>
        </w:tc>
        <w:tc>
          <w:tcPr>
            <w:tcW w:w="7243" w:type="dxa"/>
            <w:vAlign w:val="center"/>
          </w:tcPr>
          <w:p w14:paraId="4A48B7DE"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There is a huge complex lesion 13.0*12.7cm in size with irregular outlines in umbilical and hypogastric region non moveable with probe pressure mostly suggestive of mesenteric mass.</w:t>
            </w:r>
          </w:p>
          <w:p w14:paraId="62C2A639" w14:textId="77777777" w:rsidR="002B639D" w:rsidRPr="001240C1" w:rsidRDefault="002B639D" w:rsidP="003F7E5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 xml:space="preserve">Confirmed (Positive) </w:t>
            </w:r>
          </w:p>
        </w:tc>
      </w:tr>
      <w:tr w:rsidR="002B639D" w:rsidRPr="0056251B" w14:paraId="1EE97973" w14:textId="77777777" w:rsidTr="003F7E50">
        <w:trPr>
          <w:cnfStyle w:val="000000100000" w:firstRow="0" w:lastRow="0" w:firstColumn="0" w:lastColumn="0" w:oddVBand="0" w:evenVBand="0" w:oddHBand="1" w:evenHBand="0" w:firstRowFirstColumn="0" w:firstRowLastColumn="0" w:lastRowFirstColumn="0" w:lastRowLastColumn="0"/>
          <w:trHeight w:val="1853"/>
        </w:trPr>
        <w:tc>
          <w:tcPr>
            <w:cnfStyle w:val="001000000000" w:firstRow="0" w:lastRow="0" w:firstColumn="1" w:lastColumn="0" w:oddVBand="0" w:evenVBand="0" w:oddHBand="0" w:evenHBand="0" w:firstRowFirstColumn="0" w:firstRowLastColumn="0" w:lastRowFirstColumn="0" w:lastRowLastColumn="0"/>
            <w:tcW w:w="1842" w:type="dxa"/>
            <w:vAlign w:val="center"/>
          </w:tcPr>
          <w:p w14:paraId="3BF5AA6F" w14:textId="77777777" w:rsidR="002B639D" w:rsidRPr="001240C1" w:rsidRDefault="002B639D" w:rsidP="003F7E50">
            <w:pPr>
              <w:rPr>
                <w:rFonts w:ascii="Times New Roman" w:hAnsi="Times New Roman" w:cs="Times New Roman"/>
                <w:b w:val="0"/>
                <w:color w:val="auto"/>
                <w:sz w:val="20"/>
                <w:szCs w:val="20"/>
              </w:rPr>
            </w:pPr>
            <w:r w:rsidRPr="001240C1">
              <w:rPr>
                <w:rFonts w:ascii="Times New Roman" w:hAnsi="Times New Roman" w:cs="Times New Roman"/>
                <w:color w:val="auto"/>
                <w:sz w:val="20"/>
                <w:szCs w:val="20"/>
              </w:rPr>
              <w:t xml:space="preserve">Skeletal Scintigraphy </w:t>
            </w:r>
          </w:p>
          <w:p w14:paraId="5A982583" w14:textId="77777777" w:rsidR="002B639D" w:rsidRPr="001240C1" w:rsidRDefault="002B639D" w:rsidP="003F7E50">
            <w:pPr>
              <w:rPr>
                <w:rFonts w:ascii="Times New Roman" w:hAnsi="Times New Roman" w:cs="Times New Roman"/>
                <w:b w:val="0"/>
                <w:color w:val="auto"/>
                <w:sz w:val="20"/>
                <w:szCs w:val="20"/>
              </w:rPr>
            </w:pPr>
          </w:p>
          <w:p w14:paraId="19E3ED7B" w14:textId="77777777" w:rsidR="002B639D" w:rsidRPr="001240C1" w:rsidRDefault="002B639D" w:rsidP="003F7E50">
            <w:pPr>
              <w:rPr>
                <w:rFonts w:ascii="Times New Roman" w:hAnsi="Times New Roman" w:cs="Times New Roman"/>
                <w:b w:val="0"/>
                <w:color w:val="auto"/>
                <w:sz w:val="20"/>
                <w:szCs w:val="20"/>
              </w:rPr>
            </w:pPr>
          </w:p>
          <w:p w14:paraId="581A47D2" w14:textId="77777777" w:rsidR="002B639D" w:rsidRPr="001240C1" w:rsidRDefault="002B639D" w:rsidP="003F7E50">
            <w:pPr>
              <w:rPr>
                <w:rFonts w:ascii="Times New Roman" w:hAnsi="Times New Roman" w:cs="Times New Roman"/>
                <w:b w:val="0"/>
                <w:color w:val="auto"/>
                <w:sz w:val="20"/>
                <w:szCs w:val="20"/>
              </w:rPr>
            </w:pPr>
          </w:p>
          <w:p w14:paraId="03422FB7" w14:textId="77777777" w:rsidR="002B639D" w:rsidRPr="001240C1" w:rsidRDefault="002B639D" w:rsidP="003F7E50">
            <w:pPr>
              <w:rPr>
                <w:rFonts w:ascii="Times New Roman" w:hAnsi="Times New Roman" w:cs="Times New Roman"/>
                <w:b w:val="0"/>
                <w:color w:val="auto"/>
                <w:sz w:val="20"/>
                <w:szCs w:val="20"/>
              </w:rPr>
            </w:pPr>
          </w:p>
        </w:tc>
        <w:tc>
          <w:tcPr>
            <w:tcW w:w="7243" w:type="dxa"/>
            <w:vAlign w:val="center"/>
          </w:tcPr>
          <w:p w14:paraId="1D2D2C97"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Bone scan was performed with Tc-99 MDP 10mci of the radio tracer was injected intravenously and whole-body static image were acquired 3 hours P.I un anterior and posterior projection.</w:t>
            </w:r>
          </w:p>
          <w:p w14:paraId="69145DAB" w14:textId="77777777" w:rsidR="002B639D" w:rsidRPr="001240C1"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Skeletal scintigraphy is suggestive of FOCAL bone pathology (suspicious) involving skull (middle) needs radiological correlation.</w:t>
            </w:r>
          </w:p>
          <w:p w14:paraId="4D5A5E89" w14:textId="77777777" w:rsidR="002B639D" w:rsidRPr="0056251B" w:rsidRDefault="002B639D" w:rsidP="003F7E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1240C1">
              <w:rPr>
                <w:rFonts w:ascii="Times New Roman" w:hAnsi="Times New Roman" w:cs="Times New Roman"/>
                <w:sz w:val="20"/>
                <w:szCs w:val="20"/>
              </w:rPr>
              <w:t>The pattern of radio tracer distribution over rest of dosolumber vertebrate is consistent with degenerative changes. However, the pattern of radiotracer distribution over both shoulder and knee joints is consistent with arthritis.</w:t>
            </w:r>
            <w:r w:rsidRPr="0056251B">
              <w:rPr>
                <w:rFonts w:ascii="Times New Roman" w:hAnsi="Times New Roman" w:cs="Times New Roman"/>
                <w:sz w:val="20"/>
                <w:szCs w:val="20"/>
              </w:rPr>
              <w:t xml:space="preserve"> </w:t>
            </w:r>
          </w:p>
        </w:tc>
      </w:tr>
      <w:bookmarkEnd w:id="2"/>
    </w:tbl>
    <w:p w14:paraId="3A0AC393" w14:textId="77777777" w:rsidR="001B04C8" w:rsidRDefault="001B04C8" w:rsidP="00430F4F"/>
    <w:p w14:paraId="57297899" w14:textId="77777777" w:rsidR="00DC70DA" w:rsidRDefault="00DC70DA" w:rsidP="00430F4F"/>
    <w:p w14:paraId="024F1EAB" w14:textId="77777777" w:rsidR="00DC70DA" w:rsidRDefault="00DC70DA" w:rsidP="00DC70DA"/>
    <w:p w14:paraId="0FE9DEB1" w14:textId="77777777" w:rsidR="00DC70DA" w:rsidRDefault="00DC70DA" w:rsidP="00DC70DA"/>
    <w:sectPr w:rsidR="00DC70DA" w:rsidSect="00632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775CF"/>
    <w:multiLevelType w:val="multilevel"/>
    <w:tmpl w:val="8A0ED778"/>
    <w:lvl w:ilvl="0">
      <w:start w:val="1"/>
      <w:numFmt w:val="decimal"/>
      <w:pStyle w:val="H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7067097"/>
    <w:multiLevelType w:val="multilevel"/>
    <w:tmpl w:val="01CEB40A"/>
    <w:styleLink w:val="Style2"/>
    <w:lvl w:ilvl="0">
      <w:start w:val="1"/>
      <w:numFmt w:val="decimal"/>
      <w:lvlText w:val="Chapter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1F55094"/>
    <w:multiLevelType w:val="multilevel"/>
    <w:tmpl w:val="15AA67C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927"/>
        </w:tabs>
        <w:ind w:left="92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1479999943">
    <w:abstractNumId w:val="2"/>
  </w:num>
  <w:num w:numId="2" w16cid:durableId="212666293">
    <w:abstractNumId w:val="0"/>
  </w:num>
  <w:num w:numId="3" w16cid:durableId="15606752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76"/>
    <w:rsid w:val="0003257C"/>
    <w:rsid w:val="00057B29"/>
    <w:rsid w:val="000C7164"/>
    <w:rsid w:val="001240C1"/>
    <w:rsid w:val="001573D5"/>
    <w:rsid w:val="001B04C8"/>
    <w:rsid w:val="002B639D"/>
    <w:rsid w:val="002C3851"/>
    <w:rsid w:val="002E0C6C"/>
    <w:rsid w:val="0034293F"/>
    <w:rsid w:val="00372CE0"/>
    <w:rsid w:val="00404021"/>
    <w:rsid w:val="00430F4F"/>
    <w:rsid w:val="0045037D"/>
    <w:rsid w:val="006320F0"/>
    <w:rsid w:val="006A1D73"/>
    <w:rsid w:val="007E1E19"/>
    <w:rsid w:val="00896140"/>
    <w:rsid w:val="009A34F8"/>
    <w:rsid w:val="009C709E"/>
    <w:rsid w:val="00AA683E"/>
    <w:rsid w:val="00AD0D7A"/>
    <w:rsid w:val="00B66726"/>
    <w:rsid w:val="00C3210C"/>
    <w:rsid w:val="00CA203F"/>
    <w:rsid w:val="00CF7FDD"/>
    <w:rsid w:val="00DA0980"/>
    <w:rsid w:val="00DC70DA"/>
    <w:rsid w:val="00E368D8"/>
    <w:rsid w:val="00EB71D4"/>
    <w:rsid w:val="00EF2A7B"/>
    <w:rsid w:val="00F11376"/>
    <w:rsid w:val="00F4750B"/>
    <w:rsid w:val="00F608A8"/>
    <w:rsid w:val="00F6337E"/>
    <w:rsid w:val="00F93DE0"/>
    <w:rsid w:val="00FC65D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F976D"/>
  <w15:docId w15:val="{7EE2DE69-EDA4-4659-AE1B-742C1491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376"/>
    <w:pPr>
      <w:spacing w:after="200" w:line="276" w:lineRule="auto"/>
    </w:pPr>
    <w:rPr>
      <w:rFonts w:eastAsiaTheme="minorHAnsi"/>
      <w:kern w:val="0"/>
      <w:lang w:eastAsia="en-US"/>
    </w:rPr>
  </w:style>
  <w:style w:type="paragraph" w:styleId="Heading1">
    <w:name w:val="heading 1"/>
    <w:basedOn w:val="Normal"/>
    <w:next w:val="Normal"/>
    <w:link w:val="Heading1Char"/>
    <w:uiPriority w:val="9"/>
    <w:qFormat/>
    <w:rsid w:val="009A34F8"/>
    <w:pPr>
      <w:keepNext/>
      <w:keepLines/>
      <w:spacing w:before="240" w:after="0" w:line="259" w:lineRule="auto"/>
      <w:outlineLvl w:val="0"/>
    </w:pPr>
    <w:rPr>
      <w:rFonts w:ascii="Times New Roman" w:eastAsiaTheme="majorEastAsia" w:hAnsi="Times New Roman" w:cstheme="majorBidi"/>
      <w:b/>
      <w:kern w:val="2"/>
      <w:sz w:val="32"/>
      <w:szCs w:val="32"/>
      <w:lang w:eastAsia="zh-CN"/>
    </w:rPr>
  </w:style>
  <w:style w:type="paragraph" w:styleId="Heading2">
    <w:name w:val="heading 2"/>
    <w:basedOn w:val="Normal"/>
    <w:next w:val="Normal"/>
    <w:link w:val="Heading2Char"/>
    <w:uiPriority w:val="9"/>
    <w:semiHidden/>
    <w:unhideWhenUsed/>
    <w:qFormat/>
    <w:rsid w:val="009A34F8"/>
    <w:pPr>
      <w:keepNext/>
      <w:keepLines/>
      <w:spacing w:before="40" w:after="0" w:line="259" w:lineRule="auto"/>
      <w:outlineLvl w:val="1"/>
    </w:pPr>
    <w:rPr>
      <w:rFonts w:ascii="Times New Roman" w:eastAsiaTheme="majorEastAsia" w:hAnsi="Times New Roman" w:cstheme="majorBidi"/>
      <w:b/>
      <w:kern w:val="2"/>
      <w:sz w:val="28"/>
      <w:szCs w:val="26"/>
      <w:lang w:eastAsia="zh-CN"/>
    </w:rPr>
  </w:style>
  <w:style w:type="paragraph" w:styleId="Heading3">
    <w:name w:val="heading 3"/>
    <w:basedOn w:val="Normal"/>
    <w:next w:val="Normal"/>
    <w:link w:val="Heading3Char"/>
    <w:uiPriority w:val="9"/>
    <w:semiHidden/>
    <w:unhideWhenUsed/>
    <w:qFormat/>
    <w:rsid w:val="00372CE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2">
    <w:name w:val="H2"/>
    <w:basedOn w:val="Normal"/>
    <w:link w:val="H2Char"/>
    <w:autoRedefine/>
    <w:rsid w:val="00CA203F"/>
    <w:pPr>
      <w:numPr>
        <w:numId w:val="2"/>
      </w:numPr>
      <w:tabs>
        <w:tab w:val="num" w:pos="567"/>
      </w:tabs>
      <w:spacing w:before="120" w:after="0" w:line="360" w:lineRule="auto"/>
      <w:ind w:left="567" w:hanging="567"/>
    </w:pPr>
    <w:rPr>
      <w:rFonts w:ascii="Times New Roman" w:eastAsia="SimSun" w:hAnsi="Times New Roman" w:cs="Times New Roman"/>
      <w:b/>
      <w:sz w:val="28"/>
      <w:szCs w:val="24"/>
    </w:rPr>
  </w:style>
  <w:style w:type="character" w:customStyle="1" w:styleId="H2Char">
    <w:name w:val="H2 Char"/>
    <w:link w:val="H2"/>
    <w:rsid w:val="00CA203F"/>
    <w:rPr>
      <w:rFonts w:ascii="Times New Roman" w:eastAsia="SimSun" w:hAnsi="Times New Roman" w:cs="Times New Roman"/>
      <w:b/>
      <w:sz w:val="28"/>
      <w:szCs w:val="24"/>
    </w:rPr>
  </w:style>
  <w:style w:type="numbering" w:customStyle="1" w:styleId="Style2">
    <w:name w:val="Style2"/>
    <w:uiPriority w:val="99"/>
    <w:rsid w:val="00404021"/>
    <w:pPr>
      <w:numPr>
        <w:numId w:val="3"/>
      </w:numPr>
    </w:pPr>
  </w:style>
  <w:style w:type="character" w:customStyle="1" w:styleId="Heading1Char">
    <w:name w:val="Heading 1 Char"/>
    <w:basedOn w:val="DefaultParagraphFont"/>
    <w:link w:val="Heading1"/>
    <w:uiPriority w:val="9"/>
    <w:rsid w:val="009A34F8"/>
    <w:rPr>
      <w:rFonts w:ascii="Times New Roman" w:eastAsiaTheme="majorEastAsia" w:hAnsi="Times New Roman" w:cstheme="majorBidi"/>
      <w:b/>
      <w:sz w:val="32"/>
      <w:szCs w:val="32"/>
    </w:rPr>
  </w:style>
  <w:style w:type="paragraph" w:styleId="Subtitle">
    <w:name w:val="Subtitle"/>
    <w:aliases w:val="H3"/>
    <w:basedOn w:val="Normal"/>
    <w:next w:val="Normal"/>
    <w:link w:val="SubtitleChar"/>
    <w:uiPriority w:val="11"/>
    <w:qFormat/>
    <w:rsid w:val="009A34F8"/>
    <w:pPr>
      <w:numPr>
        <w:ilvl w:val="1"/>
      </w:numPr>
      <w:spacing w:after="160" w:line="259" w:lineRule="auto"/>
    </w:pPr>
    <w:rPr>
      <w:rFonts w:ascii="Times New Roman" w:eastAsiaTheme="minorEastAsia" w:hAnsi="Times New Roman"/>
      <w:b/>
      <w:color w:val="5A5A5A" w:themeColor="text1" w:themeTint="A5"/>
      <w:spacing w:val="15"/>
      <w:kern w:val="2"/>
      <w:sz w:val="26"/>
      <w:lang w:eastAsia="zh-CN"/>
    </w:rPr>
  </w:style>
  <w:style w:type="character" w:customStyle="1" w:styleId="SubtitleChar">
    <w:name w:val="Subtitle Char"/>
    <w:aliases w:val="H3 Char"/>
    <w:basedOn w:val="DefaultParagraphFont"/>
    <w:link w:val="Subtitle"/>
    <w:uiPriority w:val="11"/>
    <w:rsid w:val="009A34F8"/>
    <w:rPr>
      <w:rFonts w:ascii="Times New Roman" w:hAnsi="Times New Roman"/>
      <w:b/>
      <w:color w:val="5A5A5A" w:themeColor="text1" w:themeTint="A5"/>
      <w:spacing w:val="15"/>
      <w:sz w:val="26"/>
    </w:rPr>
  </w:style>
  <w:style w:type="character" w:customStyle="1" w:styleId="Heading2Char">
    <w:name w:val="Heading 2 Char"/>
    <w:basedOn w:val="DefaultParagraphFont"/>
    <w:link w:val="Heading2"/>
    <w:uiPriority w:val="9"/>
    <w:semiHidden/>
    <w:rsid w:val="009A34F8"/>
    <w:rPr>
      <w:rFonts w:ascii="Times New Roman" w:eastAsiaTheme="majorEastAsia" w:hAnsi="Times New Roman" w:cstheme="majorBidi"/>
      <w:b/>
      <w:sz w:val="28"/>
      <w:szCs w:val="26"/>
    </w:rPr>
  </w:style>
  <w:style w:type="table" w:customStyle="1" w:styleId="PlainTable21">
    <w:name w:val="Plain Table 21"/>
    <w:basedOn w:val="TableNormal"/>
    <w:uiPriority w:val="42"/>
    <w:rsid w:val="00F11376"/>
    <w:pPr>
      <w:spacing w:after="0" w:line="240" w:lineRule="auto"/>
    </w:pPr>
    <w:rPr>
      <w:rFonts w:eastAsiaTheme="minorHAnsi"/>
      <w:kern w:val="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2B639D"/>
    <w:pPr>
      <w:spacing w:after="0" w:line="240" w:lineRule="auto"/>
    </w:pPr>
    <w:rPr>
      <w:rFonts w:eastAsiaTheme="minorHAnsi"/>
      <w:kern w:val="0"/>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5Dark-Accent61">
    <w:name w:val="Grid Table 5 Dark - Accent 61"/>
    <w:basedOn w:val="TableNormal"/>
    <w:uiPriority w:val="50"/>
    <w:rsid w:val="002B639D"/>
    <w:pPr>
      <w:spacing w:after="0" w:line="240" w:lineRule="auto"/>
    </w:pPr>
    <w:rPr>
      <w:rFonts w:eastAsiaTheme="minorHAnsi"/>
      <w:kern w:val="0"/>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PlainTable2">
    <w:name w:val="Plain Table 2"/>
    <w:basedOn w:val="TableNormal"/>
    <w:uiPriority w:val="42"/>
    <w:rsid w:val="0045037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DC70DA"/>
    <w:pPr>
      <w:spacing w:after="0" w:line="240" w:lineRule="auto"/>
    </w:pPr>
    <w:rPr>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72CE0"/>
    <w:rPr>
      <w:rFonts w:asciiTheme="majorHAnsi" w:eastAsiaTheme="majorEastAsia" w:hAnsiTheme="majorHAnsi" w:cstheme="majorBidi"/>
      <w:color w:val="1F3763" w:themeColor="accent1" w:themeShade="7F"/>
      <w:kern w:val="0"/>
      <w:sz w:val="24"/>
      <w:szCs w:val="24"/>
      <w:lang w:eastAsia="en-US"/>
    </w:rPr>
  </w:style>
  <w:style w:type="character" w:styleId="Strong">
    <w:name w:val="Strong"/>
    <w:basedOn w:val="DefaultParagraphFont"/>
    <w:uiPriority w:val="22"/>
    <w:qFormat/>
    <w:rsid w:val="00372CE0"/>
    <w:rPr>
      <w:b/>
      <w:bCs/>
    </w:rPr>
  </w:style>
  <w:style w:type="table" w:styleId="GridTable4-Accent6">
    <w:name w:val="Grid Table 4 Accent 6"/>
    <w:basedOn w:val="TableNormal"/>
    <w:uiPriority w:val="49"/>
    <w:rsid w:val="00372CE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3">
    <w:name w:val="Grid Table 5 Dark Accent 3"/>
    <w:basedOn w:val="TableNormal"/>
    <w:uiPriority w:val="50"/>
    <w:rsid w:val="00372C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6Colorful-Accent2">
    <w:name w:val="List Table 6 Colorful Accent 2"/>
    <w:basedOn w:val="TableNormal"/>
    <w:uiPriority w:val="51"/>
    <w:rsid w:val="00372CE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892</Words>
  <Characters>5089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Ahsanullah Unar</dc:creator>
  <cp:keywords/>
  <dc:description/>
  <cp:lastModifiedBy>Ahsanullah Unar</cp:lastModifiedBy>
  <cp:revision>5</cp:revision>
  <dcterms:created xsi:type="dcterms:W3CDTF">2025-07-22T13:03:00Z</dcterms:created>
  <dcterms:modified xsi:type="dcterms:W3CDTF">2025-10-06T14:11:00Z</dcterms:modified>
</cp:coreProperties>
</file>