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415E128">
      <w:pPr>
        <w:pStyle w:val="2"/>
        <w:keepNext w:val="0"/>
        <w:keepLines w:val="0"/>
        <w:widowControl/>
        <w:suppressLineNumbers w:val="0"/>
        <w:shd w:val="clear" w:fill="FFFFFF"/>
        <w:spacing w:before="183" w:beforeAutospacing="0" w:after="137" w:afterAutospacing="0" w:line="15" w:lineRule="atLeast"/>
        <w:ind w:left="0" w:right="0" w:firstLine="0"/>
        <w:rPr>
          <w:rFonts w:hint="default" w:ascii="Times New Roman" w:hAnsi="Times New Roman" w:eastAsia="Segoe UI" w:cs="Times New Roman"/>
          <w:b/>
          <w:bCs/>
          <w:i w:val="0"/>
          <w:iCs w:val="0"/>
          <w:caps w:val="0"/>
          <w:color w:val="auto"/>
          <w:spacing w:val="0"/>
          <w:sz w:val="21"/>
          <w:szCs w:val="21"/>
        </w:rPr>
      </w:pPr>
      <w:bookmarkStart w:id="0" w:name="_GoBack"/>
      <w:r>
        <w:rPr>
          <w:rFonts w:hint="default" w:ascii="Times New Roman" w:hAnsi="Times New Roman" w:eastAsia="Segoe UI" w:cs="Times New Roman"/>
          <w:b/>
          <w:bCs/>
          <w:i w:val="0"/>
          <w:iCs w:val="0"/>
          <w:caps w:val="0"/>
          <w:color w:val="auto"/>
          <w:spacing w:val="0"/>
          <w:sz w:val="21"/>
          <w:szCs w:val="21"/>
          <w:shd w:val="clear" w:fill="FFFFFF"/>
        </w:rPr>
        <w:t>Supplementary Table 1. Competing Risk Analysis of LDL-C Levels and Ischemic Events Stratified by Heart Failure Etiology</w:t>
      </w:r>
    </w:p>
    <w:bookmarkEnd w:id="0"/>
    <w:p w14:paraId="7DEA784C"/>
    <w:tbl>
      <w:tblPr>
        <w:tblStyle w:val="4"/>
        <w:tblW w:w="5000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FFFFFF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083"/>
        <w:gridCol w:w="2283"/>
        <w:gridCol w:w="878"/>
        <w:gridCol w:w="2284"/>
        <w:gridCol w:w="878"/>
      </w:tblGrid>
      <w:tr w14:paraId="1670E1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Header/>
        </w:trPr>
        <w:tc>
          <w:tcPr>
            <w:tcW w:w="1239" w:type="pct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100" w:type="dxa"/>
            </w:tcMar>
            <w:vAlign w:val="center"/>
          </w:tcPr>
          <w:p w14:paraId="276B4D77">
            <w:pPr>
              <w:keepNext w:val="0"/>
              <w:keepLines w:val="0"/>
              <w:widowControl/>
              <w:suppressLineNumbers w:val="0"/>
              <w:spacing w:line="17" w:lineRule="atLeast"/>
              <w:jc w:val="left"/>
              <w:rPr>
                <w:rFonts w:hint="default" w:ascii="Times New Roman" w:hAnsi="Times New Roman" w:eastAsia="Segoe UI" w:cs="Times New Roman"/>
                <w:b/>
                <w:bCs/>
                <w:i w:val="0"/>
                <w:iCs w:val="0"/>
                <w:caps w:val="0"/>
                <w:color w:val="auto"/>
                <w:spacing w:val="0"/>
                <w:sz w:val="21"/>
                <w:szCs w:val="21"/>
              </w:rPr>
            </w:pPr>
            <w:r>
              <w:rPr>
                <w:rStyle w:val="6"/>
                <w:rFonts w:hint="default" w:ascii="Times New Roman" w:hAnsi="Times New Roman" w:eastAsia="Segoe UI" w:cs="Times New Roman"/>
                <w:b/>
                <w:bCs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Variable/Model</w:t>
            </w:r>
          </w:p>
        </w:tc>
        <w:tc>
          <w:tcPr>
            <w:tcW w:w="1358" w:type="pct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CB11CCC">
            <w:pPr>
              <w:keepNext w:val="0"/>
              <w:keepLines w:val="0"/>
              <w:widowControl/>
              <w:suppressLineNumbers w:val="0"/>
              <w:spacing w:line="17" w:lineRule="atLeast"/>
              <w:jc w:val="left"/>
              <w:rPr>
                <w:rFonts w:hint="default" w:ascii="Times New Roman" w:hAnsi="Times New Roman" w:eastAsia="Segoe UI" w:cs="Times New Roman"/>
                <w:b/>
                <w:bCs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Style w:val="6"/>
                <w:rFonts w:hint="default" w:ascii="Times New Roman" w:hAnsi="Times New Roman" w:eastAsia="Segoe UI" w:cs="Times New Roman"/>
                <w:b/>
                <w:bCs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Ischemic Etiology</w:t>
            </w:r>
            <w:r>
              <w:rPr>
                <w:rFonts w:hint="default" w:ascii="Times New Roman" w:hAnsi="Times New Roman" w:eastAsia="Segoe UI" w:cs="Times New Roman"/>
                <w:b/>
                <w:bCs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 </w:t>
            </w:r>
          </w:p>
          <w:p w14:paraId="50CCAD88">
            <w:pPr>
              <w:keepNext w:val="0"/>
              <w:keepLines w:val="0"/>
              <w:widowControl/>
              <w:suppressLineNumbers w:val="0"/>
              <w:spacing w:line="17" w:lineRule="atLeast"/>
              <w:jc w:val="left"/>
              <w:rPr>
                <w:rFonts w:hint="default" w:ascii="Times New Roman" w:hAnsi="Times New Roman" w:eastAsia="Segoe UI" w:cs="Times New Roman"/>
                <w:b/>
                <w:bCs/>
                <w:i w:val="0"/>
                <w:iCs w:val="0"/>
                <w:caps w:val="0"/>
                <w:color w:val="auto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  <w:t>Subdistribution HR (95% CI)</w:t>
            </w:r>
          </w:p>
        </w:tc>
        <w:tc>
          <w:tcPr>
            <w:tcW w:w="521" w:type="pct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FD001B2">
            <w:pPr>
              <w:keepNext w:val="0"/>
              <w:keepLines w:val="0"/>
              <w:widowControl/>
              <w:suppressLineNumbers w:val="0"/>
              <w:spacing w:line="17" w:lineRule="atLeast"/>
              <w:jc w:val="left"/>
              <w:rPr>
                <w:rFonts w:hint="default" w:ascii="Times New Roman" w:hAnsi="Times New Roman" w:eastAsia="Segoe UI" w:cs="Times New Roman"/>
                <w:b/>
                <w:bCs/>
                <w:i w:val="0"/>
                <w:iCs w:val="0"/>
                <w:caps w:val="0"/>
                <w:color w:val="auto"/>
                <w:spacing w:val="0"/>
                <w:sz w:val="21"/>
                <w:szCs w:val="21"/>
              </w:rPr>
            </w:pPr>
            <w:r>
              <w:rPr>
                <w:rStyle w:val="6"/>
                <w:rFonts w:hint="default" w:ascii="Times New Roman" w:hAnsi="Times New Roman" w:eastAsia="Segoe UI" w:cs="Times New Roman"/>
                <w:b/>
                <w:bCs/>
                <w:i/>
                <w:i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P</w:t>
            </w:r>
            <w:r>
              <w:rPr>
                <w:rStyle w:val="6"/>
                <w:rFonts w:hint="default" w:ascii="Times New Roman" w:hAnsi="Times New Roman" w:eastAsia="Segoe UI" w:cs="Times New Roman"/>
                <w:b/>
                <w:bCs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-value</w:t>
            </w:r>
          </w:p>
        </w:tc>
        <w:tc>
          <w:tcPr>
            <w:tcW w:w="1358" w:type="pct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D099DBE">
            <w:pPr>
              <w:keepNext w:val="0"/>
              <w:keepLines w:val="0"/>
              <w:widowControl/>
              <w:suppressLineNumbers w:val="0"/>
              <w:spacing w:line="17" w:lineRule="atLeast"/>
              <w:jc w:val="left"/>
              <w:rPr>
                <w:rFonts w:hint="default" w:ascii="Times New Roman" w:hAnsi="Times New Roman" w:eastAsia="Segoe UI" w:cs="Times New Roman"/>
                <w:b/>
                <w:bCs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Style w:val="6"/>
                <w:rFonts w:hint="default" w:ascii="Times New Roman" w:hAnsi="Times New Roman" w:eastAsia="Segoe UI" w:cs="Times New Roman"/>
                <w:b/>
                <w:bCs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Non-Ischemic Etiology</w:t>
            </w:r>
            <w:r>
              <w:rPr>
                <w:rFonts w:hint="default" w:ascii="Times New Roman" w:hAnsi="Times New Roman" w:eastAsia="Segoe UI" w:cs="Times New Roman"/>
                <w:b/>
                <w:bCs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 </w:t>
            </w:r>
          </w:p>
          <w:p w14:paraId="26E8722F">
            <w:pPr>
              <w:keepNext w:val="0"/>
              <w:keepLines w:val="0"/>
              <w:widowControl/>
              <w:suppressLineNumbers w:val="0"/>
              <w:spacing w:line="17" w:lineRule="atLeast"/>
              <w:jc w:val="left"/>
              <w:rPr>
                <w:rFonts w:hint="default" w:ascii="Times New Roman" w:hAnsi="Times New Roman" w:eastAsia="Segoe UI" w:cs="Times New Roman"/>
                <w:b/>
                <w:bCs/>
                <w:i w:val="0"/>
                <w:iCs w:val="0"/>
                <w:caps w:val="0"/>
                <w:color w:val="auto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1"/>
                <w:szCs w:val="21"/>
                <w:lang w:val="en-US" w:eastAsia="zh-CN" w:bidi="ar"/>
              </w:rPr>
              <w:t>Subdistribution HR (95% CI)</w:t>
            </w:r>
          </w:p>
        </w:tc>
        <w:tc>
          <w:tcPr>
            <w:tcW w:w="521" w:type="pct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23F528F">
            <w:pPr>
              <w:keepNext w:val="0"/>
              <w:keepLines w:val="0"/>
              <w:widowControl/>
              <w:suppressLineNumbers w:val="0"/>
              <w:spacing w:line="17" w:lineRule="atLeast"/>
              <w:jc w:val="left"/>
              <w:rPr>
                <w:rFonts w:hint="default" w:ascii="Times New Roman" w:hAnsi="Times New Roman" w:eastAsia="Segoe UI" w:cs="Times New Roman"/>
                <w:b/>
                <w:bCs/>
                <w:i w:val="0"/>
                <w:iCs w:val="0"/>
                <w:caps w:val="0"/>
                <w:color w:val="auto"/>
                <w:spacing w:val="0"/>
                <w:sz w:val="21"/>
                <w:szCs w:val="21"/>
              </w:rPr>
            </w:pPr>
            <w:r>
              <w:rPr>
                <w:rStyle w:val="6"/>
                <w:rFonts w:hint="default" w:ascii="Times New Roman" w:hAnsi="Times New Roman" w:eastAsia="Segoe UI" w:cs="Times New Roman"/>
                <w:b/>
                <w:bCs/>
                <w:i/>
                <w:iCs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P</w:t>
            </w:r>
            <w:r>
              <w:rPr>
                <w:rStyle w:val="6"/>
                <w:rFonts w:hint="default" w:ascii="Times New Roman" w:hAnsi="Times New Roman" w:eastAsia="Segoe UI" w:cs="Times New Roman"/>
                <w:b/>
                <w:bCs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-value</w:t>
            </w:r>
          </w:p>
        </w:tc>
      </w:tr>
      <w:tr w14:paraId="0AD56E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083" w:type="dxa"/>
            <w:tcBorders>
              <w:top w:val="single" w:color="000000" w:themeColor="text1" w:sz="4" w:space="0"/>
              <w:left w:val="nil"/>
              <w:bottom w:val="nil"/>
              <w:right w:val="nil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100" w:type="dxa"/>
            </w:tcMar>
            <w:vAlign w:val="center"/>
          </w:tcPr>
          <w:p w14:paraId="199E6E8D">
            <w:pPr>
              <w:keepNext w:val="0"/>
              <w:keepLines w:val="0"/>
              <w:widowControl/>
              <w:suppressLineNumbers w:val="0"/>
              <w:spacing w:line="17" w:lineRule="atLeast"/>
              <w:jc w:val="left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</w:rPr>
            </w:pPr>
            <w:r>
              <w:rPr>
                <w:rStyle w:val="6"/>
                <w:rFonts w:hint="default" w:ascii="Times New Roman" w:hAnsi="Times New Roman" w:eastAsia="Segoe UI" w:cs="Times New Roman"/>
                <w:b/>
                <w:bCs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LDL</w:t>
            </w:r>
            <w:r>
              <w:rPr>
                <w:rStyle w:val="6"/>
                <w:rFonts w:hint="eastAsia" w:ascii="Times New Roman" w:hAnsi="Times New Roman" w:eastAsia="Segoe UI" w:cs="Times New Roman"/>
                <w:b/>
                <w:bCs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-</w:t>
            </w:r>
            <w:r>
              <w:rPr>
                <w:rStyle w:val="6"/>
                <w:rFonts w:hint="default" w:ascii="Times New Roman" w:hAnsi="Times New Roman" w:eastAsia="Segoe UI" w:cs="Times New Roman"/>
                <w:b/>
                <w:bCs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C &lt;100 mg/dL vs. ≥100 mg/dL</w:t>
            </w:r>
          </w:p>
        </w:tc>
        <w:tc>
          <w:tcPr>
            <w:tcW w:w="1358" w:type="pct"/>
            <w:tcBorders>
              <w:top w:val="single" w:color="000000" w:themeColor="text1" w:sz="4" w:space="0"/>
              <w:left w:val="nil"/>
              <w:bottom w:val="nil"/>
              <w:right w:val="nil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2173170">
            <w:pP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</w:rPr>
            </w:pPr>
          </w:p>
        </w:tc>
        <w:tc>
          <w:tcPr>
            <w:tcW w:w="521" w:type="pct"/>
            <w:tcBorders>
              <w:top w:val="single" w:color="000000" w:themeColor="text1" w:sz="4" w:space="0"/>
              <w:left w:val="nil"/>
              <w:bottom w:val="nil"/>
              <w:right w:val="nil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E86DBAE">
            <w:pP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</w:rPr>
            </w:pPr>
          </w:p>
        </w:tc>
        <w:tc>
          <w:tcPr>
            <w:tcW w:w="1358" w:type="pct"/>
            <w:tcBorders>
              <w:top w:val="single" w:color="000000" w:themeColor="text1" w:sz="4" w:space="0"/>
              <w:left w:val="nil"/>
              <w:bottom w:val="nil"/>
              <w:right w:val="nil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E32D146">
            <w:pP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</w:rPr>
            </w:pPr>
          </w:p>
        </w:tc>
        <w:tc>
          <w:tcPr>
            <w:tcW w:w="521" w:type="pct"/>
            <w:tcBorders>
              <w:top w:val="single" w:color="000000" w:themeColor="text1" w:sz="4" w:space="0"/>
              <w:left w:val="nil"/>
              <w:bottom w:val="nil"/>
              <w:right w:val="nil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2D2DBB5">
            <w:pP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</w:rPr>
            </w:pPr>
          </w:p>
        </w:tc>
      </w:tr>
      <w:tr w14:paraId="33B39C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0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100" w:type="dxa"/>
            </w:tcMar>
            <w:vAlign w:val="center"/>
          </w:tcPr>
          <w:p w14:paraId="44C9B468">
            <w:pPr>
              <w:keepNext w:val="0"/>
              <w:keepLines w:val="0"/>
              <w:widowControl/>
              <w:suppressLineNumbers w:val="0"/>
              <w:spacing w:line="17" w:lineRule="atLeast"/>
              <w:ind w:left="210" w:leftChars="100"/>
              <w:jc w:val="left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Unadjusted</w:t>
            </w:r>
          </w:p>
        </w:tc>
        <w:tc>
          <w:tcPr>
            <w:tcW w:w="13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7B68770">
            <w:pPr>
              <w:keepNext w:val="0"/>
              <w:keepLines w:val="0"/>
              <w:widowControl/>
              <w:suppressLineNumbers w:val="0"/>
              <w:spacing w:line="17" w:lineRule="atLeast"/>
              <w:jc w:val="left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0.85 (0.59-1.23)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81F1F0A">
            <w:pPr>
              <w:keepNext w:val="0"/>
              <w:keepLines w:val="0"/>
              <w:widowControl/>
              <w:suppressLineNumbers w:val="0"/>
              <w:spacing w:line="17" w:lineRule="atLeast"/>
              <w:jc w:val="left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0.390</w:t>
            </w:r>
          </w:p>
        </w:tc>
        <w:tc>
          <w:tcPr>
            <w:tcW w:w="13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9131421">
            <w:pPr>
              <w:keepNext w:val="0"/>
              <w:keepLines w:val="0"/>
              <w:widowControl/>
              <w:suppressLineNumbers w:val="0"/>
              <w:spacing w:line="17" w:lineRule="atLeast"/>
              <w:jc w:val="left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1.01 (0.60-1.70)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12D94DB">
            <w:pPr>
              <w:keepNext w:val="0"/>
              <w:keepLines w:val="0"/>
              <w:widowControl/>
              <w:suppressLineNumbers w:val="0"/>
              <w:spacing w:line="17" w:lineRule="atLeast"/>
              <w:jc w:val="left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0.980</w:t>
            </w:r>
          </w:p>
        </w:tc>
      </w:tr>
      <w:tr w14:paraId="27D8D5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0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100" w:type="dxa"/>
            </w:tcMar>
            <w:vAlign w:val="center"/>
          </w:tcPr>
          <w:p w14:paraId="366B5FAC">
            <w:pPr>
              <w:keepNext w:val="0"/>
              <w:keepLines w:val="0"/>
              <w:widowControl/>
              <w:suppressLineNumbers w:val="0"/>
              <w:spacing w:line="17" w:lineRule="atLeast"/>
              <w:ind w:left="210" w:leftChars="100"/>
              <w:jc w:val="left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Model1*</w:t>
            </w:r>
          </w:p>
        </w:tc>
        <w:tc>
          <w:tcPr>
            <w:tcW w:w="13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0F7A803">
            <w:pPr>
              <w:keepNext w:val="0"/>
              <w:keepLines w:val="0"/>
              <w:widowControl/>
              <w:suppressLineNumbers w:val="0"/>
              <w:spacing w:line="17" w:lineRule="atLeast"/>
              <w:jc w:val="left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0.86 (0.59-1.23)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6D56421">
            <w:pPr>
              <w:keepNext w:val="0"/>
              <w:keepLines w:val="0"/>
              <w:widowControl/>
              <w:suppressLineNumbers w:val="0"/>
              <w:spacing w:line="17" w:lineRule="atLeast"/>
              <w:jc w:val="left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0.400</w:t>
            </w:r>
          </w:p>
        </w:tc>
        <w:tc>
          <w:tcPr>
            <w:tcW w:w="13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33BD4B0">
            <w:pPr>
              <w:keepNext w:val="0"/>
              <w:keepLines w:val="0"/>
              <w:widowControl/>
              <w:suppressLineNumbers w:val="0"/>
              <w:spacing w:line="17" w:lineRule="atLeast"/>
              <w:jc w:val="left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0.92 (0.54-1.56)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94452E4">
            <w:pPr>
              <w:keepNext w:val="0"/>
              <w:keepLines w:val="0"/>
              <w:widowControl/>
              <w:suppressLineNumbers w:val="0"/>
              <w:spacing w:line="17" w:lineRule="atLeast"/>
              <w:jc w:val="left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0.750</w:t>
            </w:r>
          </w:p>
        </w:tc>
      </w:tr>
      <w:tr w14:paraId="7C921E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0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100" w:type="dxa"/>
            </w:tcMar>
            <w:vAlign w:val="center"/>
          </w:tcPr>
          <w:p w14:paraId="2AA78E93">
            <w:pPr>
              <w:keepNext w:val="0"/>
              <w:keepLines w:val="0"/>
              <w:widowControl/>
              <w:suppressLineNumbers w:val="0"/>
              <w:spacing w:line="17" w:lineRule="atLeast"/>
              <w:ind w:left="210" w:leftChars="100"/>
              <w:jc w:val="left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Model2†</w:t>
            </w:r>
          </w:p>
        </w:tc>
        <w:tc>
          <w:tcPr>
            <w:tcW w:w="13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1BD2AF3">
            <w:pPr>
              <w:keepNext w:val="0"/>
              <w:keepLines w:val="0"/>
              <w:widowControl/>
              <w:suppressLineNumbers w:val="0"/>
              <w:spacing w:line="17" w:lineRule="atLeast"/>
              <w:jc w:val="left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0.93 (0.64-1.36)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6558406">
            <w:pPr>
              <w:keepNext w:val="0"/>
              <w:keepLines w:val="0"/>
              <w:widowControl/>
              <w:suppressLineNumbers w:val="0"/>
              <w:spacing w:line="17" w:lineRule="atLeast"/>
              <w:jc w:val="left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0.710</w:t>
            </w:r>
          </w:p>
        </w:tc>
        <w:tc>
          <w:tcPr>
            <w:tcW w:w="13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BE83A62">
            <w:pPr>
              <w:keepNext w:val="0"/>
              <w:keepLines w:val="0"/>
              <w:widowControl/>
              <w:suppressLineNumbers w:val="0"/>
              <w:spacing w:line="17" w:lineRule="atLeast"/>
              <w:jc w:val="left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0.84 (0.49-1.44)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276EC3C">
            <w:pPr>
              <w:keepNext w:val="0"/>
              <w:keepLines w:val="0"/>
              <w:widowControl/>
              <w:suppressLineNumbers w:val="0"/>
              <w:spacing w:line="17" w:lineRule="atLeast"/>
              <w:jc w:val="left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0.530</w:t>
            </w:r>
          </w:p>
        </w:tc>
      </w:tr>
      <w:tr w14:paraId="688852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0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100" w:type="dxa"/>
            </w:tcMar>
            <w:vAlign w:val="center"/>
          </w:tcPr>
          <w:p w14:paraId="396237CF">
            <w:pPr>
              <w:keepNext w:val="0"/>
              <w:keepLines w:val="0"/>
              <w:widowControl/>
              <w:suppressLineNumbers w:val="0"/>
              <w:spacing w:line="17" w:lineRule="atLeast"/>
              <w:ind w:left="210" w:leftChars="100"/>
              <w:jc w:val="left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Model3‡</w:t>
            </w:r>
          </w:p>
        </w:tc>
        <w:tc>
          <w:tcPr>
            <w:tcW w:w="13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77D348C">
            <w:pPr>
              <w:keepNext w:val="0"/>
              <w:keepLines w:val="0"/>
              <w:widowControl/>
              <w:suppressLineNumbers w:val="0"/>
              <w:spacing w:line="17" w:lineRule="atLeast"/>
              <w:jc w:val="left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0.92 (0.62-1.34)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98484B2">
            <w:pPr>
              <w:keepNext w:val="0"/>
              <w:keepLines w:val="0"/>
              <w:widowControl/>
              <w:suppressLineNumbers w:val="0"/>
              <w:spacing w:line="17" w:lineRule="atLeast"/>
              <w:jc w:val="left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0.650</w:t>
            </w:r>
          </w:p>
        </w:tc>
        <w:tc>
          <w:tcPr>
            <w:tcW w:w="13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F19575B">
            <w:pPr>
              <w:keepNext w:val="0"/>
              <w:keepLines w:val="0"/>
              <w:widowControl/>
              <w:suppressLineNumbers w:val="0"/>
              <w:spacing w:line="17" w:lineRule="atLeast"/>
              <w:jc w:val="left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0.85 (0.49-1.47)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B2DFAAB">
            <w:pPr>
              <w:keepNext w:val="0"/>
              <w:keepLines w:val="0"/>
              <w:widowControl/>
              <w:suppressLineNumbers w:val="0"/>
              <w:spacing w:line="17" w:lineRule="atLeast"/>
              <w:jc w:val="left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0.560</w:t>
            </w:r>
          </w:p>
        </w:tc>
      </w:tr>
      <w:tr w14:paraId="30376D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0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100" w:type="dxa"/>
            </w:tcMar>
            <w:vAlign w:val="center"/>
          </w:tcPr>
          <w:p w14:paraId="665C6E14">
            <w:pPr>
              <w:keepNext w:val="0"/>
              <w:keepLines w:val="0"/>
              <w:widowControl/>
              <w:suppressLineNumbers w:val="0"/>
              <w:spacing w:line="17" w:lineRule="atLeast"/>
              <w:jc w:val="left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</w:rPr>
            </w:pPr>
            <w:r>
              <w:rPr>
                <w:rStyle w:val="6"/>
                <w:rFonts w:hint="default" w:ascii="Times New Roman" w:hAnsi="Times New Roman" w:eastAsia="Segoe UI" w:cs="Times New Roman"/>
                <w:b/>
                <w:bCs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Per 1-SD</w:t>
            </w:r>
            <w:r>
              <w:rPr>
                <w:rStyle w:val="6"/>
                <w:rFonts w:hint="eastAsia" w:ascii="Times New Roman" w:hAnsi="Times New Roman" w:eastAsia="Segoe UI" w:cs="Times New Roman"/>
                <w:b/>
                <w:bCs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 xml:space="preserve"> (42.5 mg/dL)</w:t>
            </w:r>
            <w:r>
              <w:rPr>
                <w:rStyle w:val="6"/>
                <w:rFonts w:hint="default" w:ascii="Times New Roman" w:hAnsi="Times New Roman" w:eastAsia="Segoe UI" w:cs="Times New Roman"/>
                <w:b/>
                <w:bCs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 xml:space="preserve"> Decrease in LDL-C</w:t>
            </w:r>
          </w:p>
        </w:tc>
        <w:tc>
          <w:tcPr>
            <w:tcW w:w="13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CF02963">
            <w:pP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</w:rPr>
            </w:pP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90EC5A8">
            <w:pP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</w:rPr>
            </w:pPr>
          </w:p>
        </w:tc>
        <w:tc>
          <w:tcPr>
            <w:tcW w:w="13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CDAAAF9">
            <w:pP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</w:rPr>
            </w:pP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F97FC66">
            <w:pP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</w:rPr>
            </w:pPr>
          </w:p>
        </w:tc>
      </w:tr>
      <w:tr w14:paraId="2F2201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0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100" w:type="dxa"/>
            </w:tcMar>
            <w:vAlign w:val="center"/>
          </w:tcPr>
          <w:p w14:paraId="183D4D7D">
            <w:pPr>
              <w:keepNext w:val="0"/>
              <w:keepLines w:val="0"/>
              <w:widowControl/>
              <w:suppressLineNumbers w:val="0"/>
              <w:spacing w:line="17" w:lineRule="atLeast"/>
              <w:ind w:left="210" w:leftChars="100"/>
              <w:jc w:val="left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Unadjusted</w:t>
            </w:r>
          </w:p>
        </w:tc>
        <w:tc>
          <w:tcPr>
            <w:tcW w:w="13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7DD8A4A">
            <w:pPr>
              <w:keepNext w:val="0"/>
              <w:keepLines w:val="0"/>
              <w:widowControl/>
              <w:suppressLineNumbers w:val="0"/>
              <w:spacing w:line="17" w:lineRule="atLeast"/>
              <w:jc w:val="left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0.94 (0.86-1.03)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AB01ACE">
            <w:pPr>
              <w:keepNext w:val="0"/>
              <w:keepLines w:val="0"/>
              <w:widowControl/>
              <w:suppressLineNumbers w:val="0"/>
              <w:spacing w:line="17" w:lineRule="atLeast"/>
              <w:jc w:val="left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0.200</w:t>
            </w:r>
          </w:p>
        </w:tc>
        <w:tc>
          <w:tcPr>
            <w:tcW w:w="13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73C2BD7">
            <w:pPr>
              <w:keepNext w:val="0"/>
              <w:keepLines w:val="0"/>
              <w:widowControl/>
              <w:suppressLineNumbers w:val="0"/>
              <w:spacing w:line="17" w:lineRule="atLeast"/>
              <w:jc w:val="left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1.04 (0.77-1.39)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6EA368B">
            <w:pPr>
              <w:keepNext w:val="0"/>
              <w:keepLines w:val="0"/>
              <w:widowControl/>
              <w:suppressLineNumbers w:val="0"/>
              <w:spacing w:line="17" w:lineRule="atLeast"/>
              <w:jc w:val="left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0.810</w:t>
            </w:r>
          </w:p>
        </w:tc>
      </w:tr>
      <w:tr w14:paraId="1D9FA4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0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100" w:type="dxa"/>
            </w:tcMar>
            <w:vAlign w:val="center"/>
          </w:tcPr>
          <w:p w14:paraId="4D8AF444">
            <w:pPr>
              <w:keepNext w:val="0"/>
              <w:keepLines w:val="0"/>
              <w:widowControl/>
              <w:suppressLineNumbers w:val="0"/>
              <w:spacing w:line="17" w:lineRule="atLeast"/>
              <w:ind w:left="210" w:leftChars="100"/>
              <w:jc w:val="left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Model1*</w:t>
            </w:r>
          </w:p>
        </w:tc>
        <w:tc>
          <w:tcPr>
            <w:tcW w:w="13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661AFAE">
            <w:pPr>
              <w:keepNext w:val="0"/>
              <w:keepLines w:val="0"/>
              <w:widowControl/>
              <w:suppressLineNumbers w:val="0"/>
              <w:spacing w:line="17" w:lineRule="atLeast"/>
              <w:jc w:val="left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0.94 (0.86-1.03)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BB68C1D">
            <w:pPr>
              <w:keepNext w:val="0"/>
              <w:keepLines w:val="0"/>
              <w:widowControl/>
              <w:suppressLineNumbers w:val="0"/>
              <w:spacing w:line="17" w:lineRule="atLeast"/>
              <w:jc w:val="left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0.170</w:t>
            </w:r>
          </w:p>
        </w:tc>
        <w:tc>
          <w:tcPr>
            <w:tcW w:w="13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A064E8C">
            <w:pPr>
              <w:keepNext w:val="0"/>
              <w:keepLines w:val="0"/>
              <w:widowControl/>
              <w:suppressLineNumbers w:val="0"/>
              <w:spacing w:line="17" w:lineRule="atLeast"/>
              <w:jc w:val="left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0.99 (0.74-1.31)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16DB9B9">
            <w:pPr>
              <w:keepNext w:val="0"/>
              <w:keepLines w:val="0"/>
              <w:widowControl/>
              <w:suppressLineNumbers w:val="0"/>
              <w:spacing w:line="17" w:lineRule="atLeast"/>
              <w:jc w:val="left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0.930</w:t>
            </w:r>
          </w:p>
        </w:tc>
      </w:tr>
      <w:tr w14:paraId="4C5F0C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0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100" w:type="dxa"/>
            </w:tcMar>
            <w:vAlign w:val="center"/>
          </w:tcPr>
          <w:p w14:paraId="36E89E12">
            <w:pPr>
              <w:keepNext w:val="0"/>
              <w:keepLines w:val="0"/>
              <w:widowControl/>
              <w:suppressLineNumbers w:val="0"/>
              <w:spacing w:line="17" w:lineRule="atLeast"/>
              <w:ind w:left="210" w:leftChars="100"/>
              <w:jc w:val="left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Model2†</w:t>
            </w:r>
          </w:p>
        </w:tc>
        <w:tc>
          <w:tcPr>
            <w:tcW w:w="13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D2DE925">
            <w:pPr>
              <w:keepNext w:val="0"/>
              <w:keepLines w:val="0"/>
              <w:widowControl/>
              <w:suppressLineNumbers w:val="0"/>
              <w:spacing w:line="17" w:lineRule="atLeast"/>
              <w:jc w:val="left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0.95 (0.86-1.04)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28C49FD">
            <w:pPr>
              <w:keepNext w:val="0"/>
              <w:keepLines w:val="0"/>
              <w:widowControl/>
              <w:suppressLineNumbers w:val="0"/>
              <w:spacing w:line="17" w:lineRule="atLeast"/>
              <w:jc w:val="left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0.240</w:t>
            </w:r>
          </w:p>
        </w:tc>
        <w:tc>
          <w:tcPr>
            <w:tcW w:w="13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DCEC421">
            <w:pPr>
              <w:keepNext w:val="0"/>
              <w:keepLines w:val="0"/>
              <w:widowControl/>
              <w:suppressLineNumbers w:val="0"/>
              <w:spacing w:line="17" w:lineRule="atLeast"/>
              <w:jc w:val="left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0.95 (0.72-1.27)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BB724CD">
            <w:pPr>
              <w:keepNext w:val="0"/>
              <w:keepLines w:val="0"/>
              <w:widowControl/>
              <w:suppressLineNumbers w:val="0"/>
              <w:spacing w:line="17" w:lineRule="atLeast"/>
              <w:jc w:val="left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0.740</w:t>
            </w:r>
          </w:p>
        </w:tc>
      </w:tr>
      <w:tr w14:paraId="335C24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083" w:type="dxa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100" w:type="dxa"/>
            </w:tcMar>
            <w:vAlign w:val="center"/>
          </w:tcPr>
          <w:p w14:paraId="4BF70D19">
            <w:pPr>
              <w:keepNext w:val="0"/>
              <w:keepLines w:val="0"/>
              <w:widowControl/>
              <w:suppressLineNumbers w:val="0"/>
              <w:spacing w:line="17" w:lineRule="atLeast"/>
              <w:ind w:left="210" w:leftChars="100"/>
              <w:jc w:val="left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Model3‡</w:t>
            </w:r>
          </w:p>
        </w:tc>
        <w:tc>
          <w:tcPr>
            <w:tcW w:w="1358" w:type="pct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0A38483">
            <w:pPr>
              <w:keepNext w:val="0"/>
              <w:keepLines w:val="0"/>
              <w:widowControl/>
              <w:suppressLineNumbers w:val="0"/>
              <w:spacing w:line="17" w:lineRule="atLeast"/>
              <w:jc w:val="left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0.94 (0.85-1.03)</w:t>
            </w:r>
          </w:p>
        </w:tc>
        <w:tc>
          <w:tcPr>
            <w:tcW w:w="521" w:type="pct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0771C6D">
            <w:pPr>
              <w:keepNext w:val="0"/>
              <w:keepLines w:val="0"/>
              <w:widowControl/>
              <w:suppressLineNumbers w:val="0"/>
              <w:spacing w:line="17" w:lineRule="atLeast"/>
              <w:jc w:val="left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0.190</w:t>
            </w:r>
          </w:p>
        </w:tc>
        <w:tc>
          <w:tcPr>
            <w:tcW w:w="1358" w:type="pct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E144412">
            <w:pPr>
              <w:keepNext w:val="0"/>
              <w:keepLines w:val="0"/>
              <w:widowControl/>
              <w:suppressLineNumbers w:val="0"/>
              <w:spacing w:line="17" w:lineRule="atLeast"/>
              <w:jc w:val="left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0.95 (0.71-1.29)</w:t>
            </w:r>
          </w:p>
        </w:tc>
        <w:tc>
          <w:tcPr>
            <w:tcW w:w="521" w:type="pct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231919D">
            <w:pPr>
              <w:keepNext w:val="0"/>
              <w:keepLines w:val="0"/>
              <w:widowControl/>
              <w:suppressLineNumbers w:val="0"/>
              <w:spacing w:line="17" w:lineRule="atLeast"/>
              <w:jc w:val="left"/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lang w:val="en-US" w:eastAsia="zh-CN" w:bidi="ar"/>
              </w:rPr>
              <w:t>0.760</w:t>
            </w:r>
          </w:p>
        </w:tc>
      </w:tr>
    </w:tbl>
    <w:p w14:paraId="60C53142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wordWrap w:val="0"/>
        <w:spacing w:before="0" w:beforeAutospacing="0" w:after="0" w:afterAutospacing="0" w:line="12" w:lineRule="atLeast"/>
        <w:ind w:left="0" w:right="0" w:firstLine="0"/>
        <w:jc w:val="both"/>
        <w:rPr>
          <w:rFonts w:hint="default" w:ascii="Times New Roman" w:hAnsi="Times New Roman"/>
          <w:color w:val="auto"/>
          <w:sz w:val="21"/>
          <w:szCs w:val="21"/>
          <w:vertAlign w:val="baseline"/>
          <w:lang w:val="en-US" w:eastAsia="zh-CN"/>
        </w:rPr>
      </w:pPr>
      <w:r>
        <w:rPr>
          <w:rFonts w:hint="eastAsia" w:ascii="Times New Roman" w:hAnsi="Times New Roman" w:cs="Times New Roman"/>
          <w:i/>
          <w:iCs/>
          <w:caps w:val="0"/>
          <w:color w:val="auto"/>
          <w:spacing w:val="0"/>
          <w:sz w:val="21"/>
          <w:szCs w:val="21"/>
          <w:shd w:val="clear" w:fill="FFFFFF"/>
          <w:lang w:val="en-US" w:eastAsia="zh-CN"/>
        </w:rPr>
        <w:t>Note:</w:t>
      </w:r>
      <w:r>
        <w:rPr>
          <w:rFonts w:hint="eastAsia" w:ascii="Times New Roman" w:hAnsi="Times New Roman" w:cs="Times New Roman"/>
          <w:i w:val="0"/>
          <w:iCs w:val="0"/>
          <w:caps w:val="0"/>
          <w:color w:val="auto"/>
          <w:spacing w:val="0"/>
          <w:sz w:val="21"/>
          <w:szCs w:val="21"/>
          <w:shd w:val="clear" w:fill="FFFFFF"/>
          <w:vertAlign w:val="baseline"/>
          <w:lang w:val="en-US" w:eastAsia="zh-CN"/>
        </w:rPr>
        <w:t xml:space="preserve"> 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auto"/>
          <w:spacing w:val="0"/>
          <w:kern w:val="0"/>
          <w:sz w:val="21"/>
          <w:szCs w:val="21"/>
          <w:vertAlign w:val="baseline"/>
          <w:lang w:val="en-US" w:eastAsia="zh-CN" w:bidi="ar"/>
        </w:rPr>
        <w:t>*</w:t>
      </w:r>
      <w:r>
        <w:rPr>
          <w:rFonts w:hint="eastAsia" w:ascii="Times New Roman" w:hAnsi="Times New Roman" w:cs="Times New Roman"/>
          <w:i w:val="0"/>
          <w:iCs w:val="0"/>
          <w:caps w:val="0"/>
          <w:color w:val="auto"/>
          <w:spacing w:val="0"/>
          <w:sz w:val="21"/>
          <w:szCs w:val="21"/>
          <w:shd w:val="clear" w:fill="FFFFFF"/>
          <w:lang w:val="en-US" w:eastAsia="zh-CN"/>
        </w:rPr>
        <w:t xml:space="preserve">Model1: </w:t>
      </w:r>
      <w:r>
        <w:rPr>
          <w:rFonts w:hint="eastAsia" w:ascii="Times New Roman" w:hAnsi="Times New Roman" w:cs="Times New Roman"/>
          <w:b w:val="0"/>
          <w:bCs w:val="0"/>
          <w:color w:val="auto"/>
          <w:sz w:val="21"/>
          <w:szCs w:val="21"/>
          <w:vertAlign w:val="baseline"/>
          <w:lang w:val="en-US" w:eastAsia="zh-CN"/>
        </w:rPr>
        <w:t xml:space="preserve">Adjusted for </w:t>
      </w:r>
      <w:r>
        <w:rPr>
          <w:rFonts w:hint="default" w:ascii="Times New Roman" w:hAnsi="Times New Roman"/>
          <w:color w:val="auto"/>
          <w:sz w:val="21"/>
          <w:szCs w:val="21"/>
          <w:vertAlign w:val="baseline"/>
          <w:lang w:val="en-US" w:eastAsia="zh-CN"/>
        </w:rPr>
        <w:t xml:space="preserve">treatment </w:t>
      </w:r>
      <w:r>
        <w:rPr>
          <w:rFonts w:hint="eastAsia" w:ascii="Times New Roman" w:hAnsi="Times New Roman"/>
          <w:color w:val="auto"/>
          <w:sz w:val="21"/>
          <w:szCs w:val="21"/>
          <w:vertAlign w:val="baseline"/>
          <w:lang w:val="en-US" w:eastAsia="zh-CN"/>
        </w:rPr>
        <w:t>arm</w:t>
      </w:r>
      <w:r>
        <w:rPr>
          <w:rFonts w:hint="default" w:ascii="Times New Roman" w:hAnsi="Times New Roman"/>
          <w:color w:val="auto"/>
          <w:sz w:val="21"/>
          <w:szCs w:val="21"/>
          <w:vertAlign w:val="baseline"/>
          <w:lang w:val="en-US" w:eastAsia="zh-CN"/>
        </w:rPr>
        <w:t>, duration of cardiopulmonary exercise test, leftventricular ejection fraction, Beck</w:t>
      </w:r>
      <w:r>
        <w:rPr>
          <w:rFonts w:hint="eastAsia" w:ascii="Times New Roman" w:hAnsi="Times New Roman"/>
          <w:color w:val="auto"/>
          <w:sz w:val="21"/>
          <w:szCs w:val="21"/>
          <w:vertAlign w:val="baseline"/>
          <w:lang w:val="en-US" w:eastAsia="zh-CN"/>
        </w:rPr>
        <w:t xml:space="preserve"> </w:t>
      </w:r>
      <w:r>
        <w:rPr>
          <w:rFonts w:hint="default" w:ascii="Times New Roman" w:hAnsi="Times New Roman"/>
          <w:color w:val="auto"/>
          <w:sz w:val="21"/>
          <w:szCs w:val="21"/>
          <w:vertAlign w:val="baseline"/>
          <w:lang w:val="en-US" w:eastAsia="zh-CN"/>
        </w:rPr>
        <w:t xml:space="preserve">Depression Inventory II score, and history of atrial </w:t>
      </w:r>
    </w:p>
    <w:p w14:paraId="7B780AC6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wordWrap w:val="0"/>
        <w:spacing w:before="0" w:beforeAutospacing="0" w:after="0" w:afterAutospacing="0" w:line="12" w:lineRule="atLeast"/>
        <w:ind w:left="0" w:right="0" w:firstLine="0"/>
        <w:jc w:val="both"/>
        <w:rPr>
          <w:rFonts w:hint="default" w:ascii="Times New Roman" w:hAnsi="Times New Roman" w:eastAsia="Lucida Console" w:cs="Times New Roman"/>
          <w:i w:val="0"/>
          <w:iCs w:val="0"/>
          <w:caps w:val="0"/>
          <w:color w:val="auto"/>
          <w:spacing w:val="0"/>
          <w:sz w:val="21"/>
          <w:szCs w:val="21"/>
          <w:shd w:val="clear" w:fill="FFFFFF"/>
        </w:rPr>
      </w:pPr>
      <w:r>
        <w:rPr>
          <w:rFonts w:hint="default" w:ascii="Times New Roman" w:hAnsi="Times New Roman"/>
          <w:color w:val="auto"/>
          <w:sz w:val="21"/>
          <w:szCs w:val="21"/>
          <w:vertAlign w:val="baseline"/>
          <w:lang w:val="en-US" w:eastAsia="zh-CN"/>
        </w:rPr>
        <w:t>fibrillation or flutter.</w:t>
      </w:r>
      <w:r>
        <w:rPr>
          <w:rFonts w:hint="default" w:ascii="Times New Roman" w:hAnsi="Times New Roman" w:eastAsia="Lucida Console" w:cs="Times New Roman"/>
          <w:i w:val="0"/>
          <w:iCs w:val="0"/>
          <w:caps w:val="0"/>
          <w:color w:val="auto"/>
          <w:spacing w:val="0"/>
          <w:sz w:val="21"/>
          <w:szCs w:val="21"/>
          <w:shd w:val="clear" w:fill="FFFFFF"/>
        </w:rPr>
        <w:t xml:space="preserve"> </w:t>
      </w:r>
    </w:p>
    <w:p w14:paraId="06933AA8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wordWrap w:val="0"/>
        <w:spacing w:before="0" w:beforeAutospacing="0" w:after="0" w:afterAutospacing="0" w:line="12" w:lineRule="atLeast"/>
        <w:ind w:left="0" w:right="0" w:firstLine="0"/>
        <w:jc w:val="both"/>
        <w:rPr>
          <w:rFonts w:hint="eastAsia" w:ascii="Times New Roman" w:hAnsi="Times New Roman"/>
          <w:color w:val="auto"/>
          <w:sz w:val="21"/>
          <w:szCs w:val="21"/>
          <w:vertAlign w:val="baseline"/>
          <w:lang w:val="en-US" w:eastAsia="zh-CN"/>
        </w:rPr>
      </w:pPr>
      <w:r>
        <w:rPr>
          <w:rFonts w:hint="default" w:ascii="Times New Roman" w:hAnsi="Times New Roman" w:eastAsia="Segoe UI" w:cs="Times New Roman"/>
          <w:i w:val="0"/>
          <w:iCs w:val="0"/>
          <w:caps w:val="0"/>
          <w:color w:val="auto"/>
          <w:spacing w:val="0"/>
          <w:kern w:val="0"/>
          <w:sz w:val="21"/>
          <w:szCs w:val="21"/>
          <w:vertAlign w:val="baseline"/>
          <w:lang w:val="en-US" w:eastAsia="zh-CN" w:bidi="ar"/>
        </w:rPr>
        <w:t>†</w:t>
      </w:r>
      <w:r>
        <w:rPr>
          <w:rFonts w:hint="eastAsia" w:ascii="Times New Roman" w:hAnsi="Times New Roman" w:cs="Times New Roman"/>
          <w:i w:val="0"/>
          <w:iCs w:val="0"/>
          <w:caps w:val="0"/>
          <w:color w:val="auto"/>
          <w:spacing w:val="0"/>
          <w:sz w:val="21"/>
          <w:szCs w:val="21"/>
          <w:shd w:val="clear" w:fill="FFFFFF"/>
          <w:lang w:val="en-US" w:eastAsia="zh-CN"/>
        </w:rPr>
        <w:t xml:space="preserve">Model2: Additionally adjusted for </w:t>
      </w:r>
      <w:r>
        <w:rPr>
          <w:rFonts w:hint="default" w:ascii="Times New Roman" w:hAnsi="Times New Roman"/>
          <w:color w:val="auto"/>
          <w:sz w:val="21"/>
          <w:szCs w:val="21"/>
          <w:vertAlign w:val="baseline"/>
          <w:lang w:val="en-US" w:eastAsia="zh-CN"/>
        </w:rPr>
        <w:t xml:space="preserve">age, sex, </w:t>
      </w:r>
      <w:r>
        <w:rPr>
          <w:rFonts w:hint="eastAsia" w:ascii="Times New Roman" w:hAnsi="Times New Roman"/>
          <w:color w:val="auto"/>
          <w:sz w:val="21"/>
          <w:szCs w:val="21"/>
          <w:vertAlign w:val="baseline"/>
          <w:lang w:val="en-US" w:eastAsia="zh-CN"/>
        </w:rPr>
        <w:t xml:space="preserve">and </w:t>
      </w:r>
      <w:r>
        <w:rPr>
          <w:rFonts w:hint="default" w:ascii="Times New Roman" w:hAnsi="Times New Roman"/>
          <w:color w:val="auto"/>
          <w:sz w:val="21"/>
          <w:szCs w:val="21"/>
          <w:vertAlign w:val="baseline"/>
          <w:lang w:val="en-US" w:eastAsia="zh-CN"/>
        </w:rPr>
        <w:t>race</w:t>
      </w:r>
      <w:r>
        <w:rPr>
          <w:rFonts w:hint="eastAsia" w:ascii="Times New Roman" w:hAnsi="Times New Roman"/>
          <w:color w:val="auto"/>
          <w:sz w:val="21"/>
          <w:szCs w:val="21"/>
          <w:vertAlign w:val="baseline"/>
          <w:lang w:val="en-US" w:eastAsia="zh-CN"/>
        </w:rPr>
        <w:t xml:space="preserve">. </w:t>
      </w:r>
    </w:p>
    <w:p w14:paraId="61F875FC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wordWrap w:val="0"/>
        <w:spacing w:before="0" w:beforeAutospacing="0" w:after="0" w:afterAutospacing="0" w:line="12" w:lineRule="atLeast"/>
        <w:ind w:left="0" w:right="0" w:firstLine="0"/>
        <w:jc w:val="both"/>
        <w:rPr>
          <w:rFonts w:hint="default" w:ascii="Times New Roman" w:hAnsi="Times New Roman" w:cs="Times New Roman"/>
          <w:color w:val="auto"/>
          <w:sz w:val="21"/>
          <w:szCs w:val="21"/>
        </w:rPr>
      </w:pPr>
      <w:r>
        <w:rPr>
          <w:rFonts w:hint="default" w:ascii="Times New Roman" w:hAnsi="Times New Roman" w:eastAsia="Segoe UI" w:cs="Times New Roman"/>
          <w:i w:val="0"/>
          <w:iCs w:val="0"/>
          <w:caps w:val="0"/>
          <w:color w:val="auto"/>
          <w:spacing w:val="0"/>
          <w:kern w:val="0"/>
          <w:sz w:val="21"/>
          <w:szCs w:val="21"/>
          <w:vertAlign w:val="baseline"/>
          <w:lang w:val="en-US" w:eastAsia="zh-CN" w:bidi="ar"/>
        </w:rPr>
        <w:t>‡</w:t>
      </w:r>
      <w:r>
        <w:rPr>
          <w:rFonts w:hint="eastAsia" w:ascii="Times New Roman" w:hAnsi="Times New Roman" w:cs="Times New Roman"/>
          <w:i w:val="0"/>
          <w:iCs w:val="0"/>
          <w:caps w:val="0"/>
          <w:color w:val="auto"/>
          <w:spacing w:val="0"/>
          <w:sz w:val="21"/>
          <w:szCs w:val="21"/>
          <w:shd w:val="clear" w:fill="FFFFFF"/>
          <w:lang w:val="en-US" w:eastAsia="zh-CN"/>
        </w:rPr>
        <w:t xml:space="preserve">Model3: </w:t>
      </w:r>
      <w:r>
        <w:rPr>
          <w:rFonts w:hint="default" w:ascii="Times New Roman" w:hAnsi="Times New Roman" w:cs="Times New Roman"/>
          <w:color w:val="auto"/>
          <w:sz w:val="21"/>
          <w:szCs w:val="21"/>
        </w:rPr>
        <w:t xml:space="preserve">Additionally adjusted for aspirin and HMG-CoA reductase inhibitor use at </w:t>
      </w:r>
    </w:p>
    <w:p w14:paraId="5184995E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wordWrap w:val="0"/>
        <w:spacing w:before="0" w:beforeAutospacing="0" w:after="0" w:afterAutospacing="0" w:line="12" w:lineRule="atLeast"/>
        <w:ind w:left="0" w:right="0" w:firstLine="0"/>
        <w:jc w:val="both"/>
        <w:rPr>
          <w:rFonts w:hint="default" w:ascii="Times New Roman" w:hAnsi="Times New Roman" w:cs="Times New Roman"/>
          <w:color w:val="auto"/>
        </w:rPr>
      </w:pPr>
      <w:r>
        <w:rPr>
          <w:rFonts w:hint="default" w:ascii="Times New Roman" w:hAnsi="Times New Roman" w:cs="Times New Roman"/>
          <w:color w:val="auto"/>
          <w:sz w:val="21"/>
          <w:szCs w:val="21"/>
        </w:rPr>
        <w:t>baseline.</w:t>
      </w:r>
    </w:p>
    <w:p w14:paraId="157D5119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Lucida Console">
    <w:panose1 w:val="020B0609040504020204"/>
    <w:charset w:val="00"/>
    <w:family w:val="auto"/>
    <w:pitch w:val="default"/>
    <w:sig w:usb0="8000028F" w:usb1="00001800" w:usb2="00000000" w:usb3="00000000" w:csb0="0000001F" w:csb1="D7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41E4D48"/>
    <w:rsid w:val="00D16FEA"/>
    <w:rsid w:val="02935984"/>
    <w:rsid w:val="0310414D"/>
    <w:rsid w:val="08660B7E"/>
    <w:rsid w:val="08AC7DC6"/>
    <w:rsid w:val="0BE359AE"/>
    <w:rsid w:val="144D3964"/>
    <w:rsid w:val="146D0298"/>
    <w:rsid w:val="1607606C"/>
    <w:rsid w:val="161A30CF"/>
    <w:rsid w:val="175F4F7B"/>
    <w:rsid w:val="180259C5"/>
    <w:rsid w:val="1A1B5DEF"/>
    <w:rsid w:val="1A4009BA"/>
    <w:rsid w:val="1AC0417D"/>
    <w:rsid w:val="20BE4333"/>
    <w:rsid w:val="23866B5E"/>
    <w:rsid w:val="25F31FAA"/>
    <w:rsid w:val="268A6428"/>
    <w:rsid w:val="26D8550F"/>
    <w:rsid w:val="292B1457"/>
    <w:rsid w:val="2A685EFA"/>
    <w:rsid w:val="32D57170"/>
    <w:rsid w:val="33F66D73"/>
    <w:rsid w:val="380C13BD"/>
    <w:rsid w:val="3DE438FC"/>
    <w:rsid w:val="3E3C3F84"/>
    <w:rsid w:val="3F5F68E2"/>
    <w:rsid w:val="43857C0E"/>
    <w:rsid w:val="465D3034"/>
    <w:rsid w:val="4A3537EB"/>
    <w:rsid w:val="4BEA6D10"/>
    <w:rsid w:val="4C0049AD"/>
    <w:rsid w:val="4CA84625"/>
    <w:rsid w:val="4D116D53"/>
    <w:rsid w:val="4D7C7968"/>
    <w:rsid w:val="51696702"/>
    <w:rsid w:val="55611A2A"/>
    <w:rsid w:val="573A1DDB"/>
    <w:rsid w:val="57773D24"/>
    <w:rsid w:val="57A37640"/>
    <w:rsid w:val="62A51D97"/>
    <w:rsid w:val="62F95473"/>
    <w:rsid w:val="665D4C7D"/>
    <w:rsid w:val="6B685AB8"/>
    <w:rsid w:val="6F895056"/>
    <w:rsid w:val="741E4D48"/>
    <w:rsid w:val="7469779F"/>
    <w:rsid w:val="778664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2025-10-08T14:40:00Z</dcterms:created>
  <dc:creator>Qi Wang</dc:creator>
  <cp:lastModifiedBy>Qi Wang</cp:lastModifiedBy>
  <dcterms:modified xsi:type="dcterms:W3CDTF">2025-10-08T14:41:03Z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C452775A837A41119053D882963479A2_11</vt:lpwstr>
  </property>
  <property fmtid="{D5CDD505-2E9C-101B-9397-08002B2CF9AE}" pid="4" name="KSOTemplateDocerSaveRecord">
    <vt:lpwstr>eyJoZGlkIjoiY2ZlN2UxZTIyMWFmYzQwZjgzNzczMDFlMGFlZGU0ZjciLCJ1c2VySWQiOiIzMDgyMjAxNzEifQ==</vt:lpwstr>
  </property>
</Properties>
</file>