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F6F" w:rsidRPr="005B137C" w:rsidRDefault="00361F6F" w:rsidP="00361F6F">
      <w:pPr>
        <w:spacing w:after="0" w:line="360" w:lineRule="auto"/>
        <w:rPr>
          <w:rFonts w:ascii="Times New Roman" w:eastAsia="宋体" w:hAnsi="Times New Roman" w:cs="Times New Roman"/>
          <w:b/>
          <w:bCs/>
          <w:kern w:val="0"/>
          <w:sz w:val="24"/>
          <w:lang w:bidi="ar"/>
        </w:rPr>
      </w:pPr>
      <w:r w:rsidRPr="005B137C">
        <w:rPr>
          <w:rFonts w:ascii="Times New Roman" w:eastAsia="宋体" w:hAnsi="Times New Roman" w:cs="Times New Roman"/>
          <w:b/>
          <w:bCs/>
          <w:kern w:val="0"/>
          <w:sz w:val="24"/>
          <w:lang w:bidi="ar"/>
        </w:rPr>
        <w:t xml:space="preserve">Supplementary Figure S1. Correlation analysis between LINC01615 expression and clinicopathological parameters in GC tissues. </w:t>
      </w:r>
      <w:r w:rsidRPr="005B137C">
        <w:rPr>
          <w:rFonts w:ascii="Times New Roman" w:eastAsia="宋体" w:hAnsi="Times New Roman" w:cs="Times New Roman"/>
          <w:kern w:val="0"/>
          <w:sz w:val="24"/>
          <w:lang w:bidi="ar"/>
        </w:rPr>
        <w:t xml:space="preserve">(A–F) Association of LINC01615 RNA levels with age (A), gender (B), differentiation (C), </w:t>
      </w:r>
      <w:proofErr w:type="spellStart"/>
      <w:r w:rsidRPr="005B137C">
        <w:rPr>
          <w:rFonts w:ascii="Times New Roman" w:eastAsia="宋体" w:hAnsi="Times New Roman" w:cs="Times New Roman"/>
          <w:kern w:val="0"/>
          <w:sz w:val="24"/>
          <w:lang w:bidi="ar"/>
        </w:rPr>
        <w:t>lymphovascular</w:t>
      </w:r>
      <w:proofErr w:type="spellEnd"/>
      <w:r w:rsidRPr="005B137C">
        <w:rPr>
          <w:rFonts w:ascii="Times New Roman" w:eastAsia="宋体" w:hAnsi="Times New Roman" w:cs="Times New Roman"/>
          <w:kern w:val="0"/>
          <w:sz w:val="24"/>
          <w:lang w:bidi="ar"/>
        </w:rPr>
        <w:t xml:space="preserve"> invasion (D), nerve invasion (E), and Hp infection (F) in GC patients.</w:t>
      </w:r>
    </w:p>
    <w:p w:rsidR="00361F6F" w:rsidRPr="005B137C" w:rsidRDefault="00361F6F" w:rsidP="00361F6F">
      <w:pPr>
        <w:pStyle w:val="af0"/>
        <w:spacing w:before="0" w:beforeAutospacing="0" w:after="0" w:afterAutospacing="0" w:line="360" w:lineRule="auto"/>
        <w:jc w:val="both"/>
        <w:rPr>
          <w:rStyle w:val="af1"/>
          <w:rFonts w:ascii="Times New Roman" w:hAnsi="Times New Roman" w:cs="Times New Roman"/>
        </w:rPr>
      </w:pPr>
      <w:r w:rsidRPr="005B137C">
        <w:rPr>
          <w:rStyle w:val="af1"/>
          <w:rFonts w:ascii="Times New Roman" w:hAnsi="Times New Roman" w:cs="Times New Roman"/>
        </w:rPr>
        <w:t xml:space="preserve">Supplementary Figure S2. LINC01615 regulates proliferation, migration, and invasion in MKN45 GC cells. </w:t>
      </w:r>
      <w:r w:rsidRPr="005B137C">
        <w:rPr>
          <w:rStyle w:val="af1"/>
          <w:rFonts w:ascii="Times New Roman" w:hAnsi="Times New Roman" w:cs="Times New Roman"/>
          <w:b w:val="0"/>
        </w:rPr>
        <w:t xml:space="preserve">(A) </w:t>
      </w:r>
      <w:proofErr w:type="spellStart"/>
      <w:r w:rsidRPr="005B137C">
        <w:rPr>
          <w:rStyle w:val="af1"/>
          <w:rFonts w:ascii="Times New Roman" w:hAnsi="Times New Roman" w:cs="Times New Roman"/>
          <w:b w:val="0"/>
        </w:rPr>
        <w:t>qRT</w:t>
      </w:r>
      <w:proofErr w:type="spellEnd"/>
      <w:r w:rsidRPr="005B137C">
        <w:rPr>
          <w:rStyle w:val="af1"/>
          <w:rFonts w:ascii="Times New Roman" w:hAnsi="Times New Roman" w:cs="Times New Roman"/>
          <w:b w:val="0"/>
        </w:rPr>
        <w:t>-PCR showing reduced LINC01615 expression in MKN45 cells after shRNA-mediated knockdown (sh01615#1, sh01615#2) compared with control (</w:t>
      </w:r>
      <w:proofErr w:type="spellStart"/>
      <w:r w:rsidRPr="005B137C">
        <w:rPr>
          <w:rStyle w:val="af1"/>
          <w:rFonts w:ascii="Times New Roman" w:hAnsi="Times New Roman" w:cs="Times New Roman"/>
          <w:b w:val="0"/>
        </w:rPr>
        <w:t>shControl</w:t>
      </w:r>
      <w:proofErr w:type="spellEnd"/>
      <w:r w:rsidRPr="005B137C">
        <w:rPr>
          <w:rStyle w:val="af1"/>
          <w:rFonts w:ascii="Times New Roman" w:hAnsi="Times New Roman" w:cs="Times New Roman"/>
          <w:b w:val="0"/>
        </w:rPr>
        <w:t xml:space="preserve">). (B–D) CCK-8 (B), colony formation (C), and </w:t>
      </w:r>
      <w:proofErr w:type="spellStart"/>
      <w:r w:rsidRPr="005B137C">
        <w:rPr>
          <w:rStyle w:val="af1"/>
          <w:rFonts w:ascii="Times New Roman" w:hAnsi="Times New Roman" w:cs="Times New Roman"/>
          <w:b w:val="0"/>
        </w:rPr>
        <w:t>EdU</w:t>
      </w:r>
      <w:proofErr w:type="spellEnd"/>
      <w:r w:rsidRPr="005B137C">
        <w:rPr>
          <w:rStyle w:val="af1"/>
          <w:rFonts w:ascii="Times New Roman" w:hAnsi="Times New Roman" w:cs="Times New Roman"/>
          <w:b w:val="0"/>
        </w:rPr>
        <w:t xml:space="preserve"> incorporation assays (D) showing suppressed proliferation of LINC01615-silenced MKN45 cells. (E–F) Wound healing (E) and </w:t>
      </w:r>
      <w:proofErr w:type="spellStart"/>
      <w:r w:rsidRPr="005B137C">
        <w:rPr>
          <w:rStyle w:val="af1"/>
          <w:rFonts w:ascii="Times New Roman" w:hAnsi="Times New Roman" w:cs="Times New Roman"/>
          <w:b w:val="0"/>
        </w:rPr>
        <w:t>Transwell</w:t>
      </w:r>
      <w:proofErr w:type="spellEnd"/>
      <w:r w:rsidRPr="005B137C">
        <w:rPr>
          <w:rStyle w:val="af1"/>
          <w:rFonts w:ascii="Times New Roman" w:hAnsi="Times New Roman" w:cs="Times New Roman"/>
          <w:b w:val="0"/>
        </w:rPr>
        <w:t xml:space="preserve"> (F) assays showing reduced migration and invasion after LINC01615 knockdown. (G) Western blot showing increased p53 and p21, decreased EMT markers (Vimentin, N-cadherin), and increased E-cadherin upon LINC01615 knockdown. (H) </w:t>
      </w:r>
      <w:proofErr w:type="spellStart"/>
      <w:r w:rsidRPr="005B137C">
        <w:rPr>
          <w:rStyle w:val="af1"/>
          <w:rFonts w:ascii="Times New Roman" w:hAnsi="Times New Roman" w:cs="Times New Roman"/>
          <w:b w:val="0"/>
        </w:rPr>
        <w:t>qRT</w:t>
      </w:r>
      <w:proofErr w:type="spellEnd"/>
      <w:r w:rsidRPr="005B137C">
        <w:rPr>
          <w:rStyle w:val="af1"/>
          <w:rFonts w:ascii="Times New Roman" w:hAnsi="Times New Roman" w:cs="Times New Roman"/>
          <w:b w:val="0"/>
        </w:rPr>
        <w:t xml:space="preserve">-PCR confirming LINC01615 overexpression in MKN45 cells transfected with PCDH-LINC01615. (I–K) CCK-8 (I), colony formation (J), and </w:t>
      </w:r>
      <w:proofErr w:type="spellStart"/>
      <w:r w:rsidRPr="005B137C">
        <w:rPr>
          <w:rStyle w:val="af1"/>
          <w:rFonts w:ascii="Times New Roman" w:hAnsi="Times New Roman" w:cs="Times New Roman"/>
          <w:b w:val="0"/>
        </w:rPr>
        <w:t>EdU</w:t>
      </w:r>
      <w:proofErr w:type="spellEnd"/>
      <w:r w:rsidRPr="005B137C">
        <w:rPr>
          <w:rStyle w:val="af1"/>
          <w:rFonts w:ascii="Times New Roman" w:hAnsi="Times New Roman" w:cs="Times New Roman"/>
          <w:b w:val="0"/>
        </w:rPr>
        <w:t xml:space="preserve"> incorporation assays (K) showing enhanced proliferation after LINC01615 overexpression. (L–M) Wound healing (L) and </w:t>
      </w:r>
      <w:proofErr w:type="spellStart"/>
      <w:r w:rsidRPr="005B137C">
        <w:rPr>
          <w:rStyle w:val="af1"/>
          <w:rFonts w:ascii="Times New Roman" w:hAnsi="Times New Roman" w:cs="Times New Roman"/>
          <w:b w:val="0"/>
        </w:rPr>
        <w:t>Transwell</w:t>
      </w:r>
      <w:proofErr w:type="spellEnd"/>
      <w:r w:rsidRPr="005B137C">
        <w:rPr>
          <w:rStyle w:val="af1"/>
          <w:rFonts w:ascii="Times New Roman" w:hAnsi="Times New Roman" w:cs="Times New Roman"/>
          <w:b w:val="0"/>
        </w:rPr>
        <w:t xml:space="preserve"> (M) assays showing promoted migration and invasion upon LINC01615 overexpression. (N) Western blot showing decreased p53 and p21, increased Vimentin and N-cadherin, and decreased E-cadherin after LINC01615 overexpression. ns = not significant; *P &lt; 0.05; **P &lt; 0.01; ***P &lt; 0.001; ****P &lt; 0.0001.</w:t>
      </w:r>
    </w:p>
    <w:p w:rsidR="00361F6F" w:rsidRPr="005B137C" w:rsidRDefault="00361F6F" w:rsidP="00361F6F">
      <w:pPr>
        <w:pStyle w:val="af0"/>
        <w:spacing w:before="0" w:beforeAutospacing="0" w:after="0" w:afterAutospacing="0" w:line="360" w:lineRule="auto"/>
        <w:jc w:val="both"/>
        <w:rPr>
          <w:rStyle w:val="af1"/>
          <w:rFonts w:ascii="Times New Roman" w:hAnsi="Times New Roman" w:cs="Times New Roman"/>
        </w:rPr>
      </w:pPr>
      <w:r w:rsidRPr="005B137C">
        <w:rPr>
          <w:rStyle w:val="af1"/>
          <w:rFonts w:ascii="Times New Roman" w:hAnsi="Times New Roman" w:cs="Times New Roman"/>
        </w:rPr>
        <w:t xml:space="preserve">Supplementary Figure S3. Regulatory role of LINC01615 in key molecular markers in xenograft tumor tissues. </w:t>
      </w:r>
      <w:r w:rsidRPr="005B137C">
        <w:rPr>
          <w:rStyle w:val="af1"/>
          <w:rFonts w:ascii="Times New Roman" w:hAnsi="Times New Roman" w:cs="Times New Roman"/>
          <w:b w:val="0"/>
        </w:rPr>
        <w:t>(A) Western blot of xenograft tumor tissues showing that LINC01615 knockdown increases p53, p21, and E-cadherin, while reducing Vimentin and N-cadherin. Conversely, LINC01615 overexpression produces the opposite effects. (B) RNA-ISH showing LINC01615 RNA expression, and IHC showing Ki67 and Vimentin expression in xenograft tumors. LINC01615 knockdown reduces Ki67 and Vimentin expression, whereas overexpression increases their levels.</w:t>
      </w:r>
    </w:p>
    <w:p w:rsidR="00361F6F" w:rsidRPr="005B137C" w:rsidRDefault="00361F6F" w:rsidP="00361F6F">
      <w:pPr>
        <w:pStyle w:val="af0"/>
        <w:spacing w:before="0" w:beforeAutospacing="0" w:after="0" w:afterAutospacing="0" w:line="360" w:lineRule="auto"/>
        <w:jc w:val="both"/>
        <w:rPr>
          <w:rFonts w:ascii="Times New Roman" w:hAnsi="Times New Roman" w:cs="Times New Roman"/>
        </w:rPr>
      </w:pPr>
      <w:r w:rsidRPr="005B137C">
        <w:rPr>
          <w:rStyle w:val="af1"/>
          <w:rFonts w:ascii="Times New Roman" w:hAnsi="Times New Roman" w:cs="Times New Roman"/>
        </w:rPr>
        <w:t xml:space="preserve">Supplementary Fig S4. LINC01615 overexpression upregulates WNT2 expression in MKN45 cells. </w:t>
      </w:r>
      <w:r w:rsidRPr="005B137C">
        <w:rPr>
          <w:rStyle w:val="af1"/>
          <w:rFonts w:ascii="Times New Roman" w:hAnsi="Times New Roman" w:cs="Times New Roman"/>
          <w:b w:val="0"/>
        </w:rPr>
        <w:t xml:space="preserve">(A) </w:t>
      </w:r>
      <w:proofErr w:type="spellStart"/>
      <w:r w:rsidRPr="005B137C">
        <w:rPr>
          <w:rStyle w:val="af1"/>
          <w:rFonts w:ascii="Times New Roman" w:hAnsi="Times New Roman" w:cs="Times New Roman"/>
          <w:b w:val="0"/>
        </w:rPr>
        <w:t>qRT</w:t>
      </w:r>
      <w:proofErr w:type="spellEnd"/>
      <w:r w:rsidRPr="005B137C">
        <w:rPr>
          <w:rStyle w:val="af1"/>
          <w:rFonts w:ascii="Times New Roman" w:hAnsi="Times New Roman" w:cs="Times New Roman"/>
          <w:b w:val="0"/>
        </w:rPr>
        <w:t xml:space="preserve">-PCR showing increased WNT2 mRNA levels in MKN45 </w:t>
      </w:r>
      <w:r w:rsidRPr="005B137C">
        <w:rPr>
          <w:rStyle w:val="af1"/>
          <w:rFonts w:ascii="Times New Roman" w:hAnsi="Times New Roman" w:cs="Times New Roman"/>
          <w:b w:val="0"/>
        </w:rPr>
        <w:lastRenderedPageBreak/>
        <w:t>cells after LINC01615 overexpression compared with control. (B) Western blot showing elevated WNT2 protein levels in MKN45 cells after LINC01615 overexpression. β-actin served as the loading control.</w:t>
      </w:r>
    </w:p>
    <w:p w:rsidR="00361F6F" w:rsidRPr="005B137C" w:rsidRDefault="00361F6F" w:rsidP="00361F6F">
      <w:pPr>
        <w:pStyle w:val="af0"/>
        <w:spacing w:before="0" w:beforeAutospacing="0" w:after="0" w:afterAutospacing="0" w:line="360" w:lineRule="auto"/>
        <w:jc w:val="both"/>
        <w:rPr>
          <w:rStyle w:val="af1"/>
          <w:rFonts w:ascii="Times New Roman" w:hAnsi="Times New Roman" w:cs="Times New Roman"/>
          <w:b w:val="0"/>
          <w:bCs/>
        </w:rPr>
      </w:pPr>
      <w:r w:rsidRPr="005B137C">
        <w:rPr>
          <w:rStyle w:val="af1"/>
          <w:rFonts w:ascii="Times New Roman" w:hAnsi="Times New Roman" w:cs="Times New Roman"/>
        </w:rPr>
        <w:t xml:space="preserve">Supplementary Figure S5. LINC01615 does not affect WNT2 pre-mRNA splicing or expression. </w:t>
      </w:r>
      <w:r w:rsidRPr="005B137C">
        <w:rPr>
          <w:rStyle w:val="af1"/>
          <w:rFonts w:ascii="Times New Roman" w:hAnsi="Times New Roman" w:cs="Times New Roman"/>
          <w:b w:val="0"/>
        </w:rPr>
        <w:t xml:space="preserve">(A) Schematic of WNT2 pre-mRNA splicing, showing removal of introns and joining of exons. The WNT2 gene on chromosome 7 contains five exons and four introns; the green arrow indicates the transcription direction. (B–C) </w:t>
      </w:r>
      <w:proofErr w:type="spellStart"/>
      <w:r w:rsidRPr="005B137C">
        <w:rPr>
          <w:rStyle w:val="af1"/>
          <w:rFonts w:ascii="Times New Roman" w:hAnsi="Times New Roman" w:cs="Times New Roman"/>
          <w:b w:val="0"/>
        </w:rPr>
        <w:t>qRT</w:t>
      </w:r>
      <w:proofErr w:type="spellEnd"/>
      <w:r w:rsidRPr="005B137C">
        <w:rPr>
          <w:rStyle w:val="af1"/>
          <w:rFonts w:ascii="Times New Roman" w:hAnsi="Times New Roman" w:cs="Times New Roman"/>
          <w:b w:val="0"/>
        </w:rPr>
        <w:t>-PCR analysis of WNT2 precursor mRNA in AGS (B) and MKN45 (C) cells showing no significant changes upon LINC01615 overexpression or knockdown.</w:t>
      </w:r>
    </w:p>
    <w:p w:rsidR="00361F6F" w:rsidRPr="005B137C" w:rsidRDefault="00361F6F" w:rsidP="00361F6F">
      <w:pPr>
        <w:spacing w:after="0" w:line="360" w:lineRule="auto"/>
        <w:rPr>
          <w:rStyle w:val="af1"/>
          <w:rFonts w:ascii="Times New Roman" w:hAnsi="Times New Roman" w:cs="Times New Roman"/>
          <w:b w:val="0"/>
          <w:bCs/>
          <w:sz w:val="24"/>
        </w:rPr>
      </w:pPr>
      <w:r w:rsidRPr="005B137C">
        <w:rPr>
          <w:rStyle w:val="af1"/>
          <w:rFonts w:ascii="Times New Roman" w:hAnsi="Times New Roman" w:cs="Times New Roman"/>
          <w:sz w:val="24"/>
        </w:rPr>
        <w:t xml:space="preserve">Supplementary Figure S6. DNA gel electrophoresis showing WNT2 mRNA stability in MKN45 cells after LINC01615 overexpression or knockdown. </w:t>
      </w:r>
      <w:r w:rsidRPr="005B137C">
        <w:rPr>
          <w:rStyle w:val="af1"/>
          <w:rFonts w:ascii="Times New Roman" w:hAnsi="Times New Roman" w:cs="Times New Roman"/>
          <w:b w:val="0"/>
          <w:sz w:val="24"/>
        </w:rPr>
        <w:t xml:space="preserve">(A–B) WNT2 mRNA levels in MKN45 cells treated with Actinomycin D (5 </w:t>
      </w:r>
      <w:proofErr w:type="spellStart"/>
      <w:r w:rsidRPr="005B137C">
        <w:rPr>
          <w:rStyle w:val="af1"/>
          <w:rFonts w:ascii="Times New Roman" w:hAnsi="Times New Roman" w:cs="Times New Roman"/>
          <w:b w:val="0"/>
          <w:sz w:val="24"/>
        </w:rPr>
        <w:t>μg</w:t>
      </w:r>
      <w:proofErr w:type="spellEnd"/>
      <w:r w:rsidRPr="005B137C">
        <w:rPr>
          <w:rStyle w:val="af1"/>
          <w:rFonts w:ascii="Times New Roman" w:hAnsi="Times New Roman" w:cs="Times New Roman"/>
          <w:b w:val="0"/>
          <w:sz w:val="24"/>
        </w:rPr>
        <w:t>/ml) following LINC01615 overexpression (A) or knockdown (B). GAPDH served as the loading control. Time points (0, 4, 8, 12 h) indicate the duration post-treatment. ns = not significant; *P &lt; 0.05; **P &lt; 0.01; ***P &lt; 0.001; ****P &lt; 0.0001.</w:t>
      </w:r>
    </w:p>
    <w:p w:rsidR="00361F6F" w:rsidRPr="005B137C" w:rsidRDefault="00361F6F" w:rsidP="00361F6F">
      <w:pPr>
        <w:spacing w:after="0" w:line="360" w:lineRule="auto"/>
        <w:rPr>
          <w:rStyle w:val="af1"/>
          <w:rFonts w:ascii="Times New Roman" w:hAnsi="Times New Roman" w:cs="Times New Roman"/>
          <w:b w:val="0"/>
          <w:bCs/>
          <w:sz w:val="24"/>
        </w:rPr>
      </w:pPr>
      <w:r w:rsidRPr="005B137C">
        <w:rPr>
          <w:rStyle w:val="af1"/>
          <w:rFonts w:ascii="Times New Roman" w:hAnsi="Times New Roman" w:cs="Times New Roman"/>
          <w:sz w:val="24"/>
        </w:rPr>
        <w:t xml:space="preserve">Supplementary Figure S7. LINC01615 enhances GC malignant behaviors via the WNT/β-catenin pathway under SKL2001 treatment. </w:t>
      </w:r>
      <w:r w:rsidRPr="005B137C">
        <w:rPr>
          <w:rStyle w:val="af1"/>
          <w:rFonts w:ascii="Times New Roman" w:hAnsi="Times New Roman" w:cs="Times New Roman"/>
          <w:b w:val="0"/>
          <w:sz w:val="24"/>
        </w:rPr>
        <w:t xml:space="preserve">(A) Western blot of WNT/β-catenin signaling proteins (β-catenin, p-β-catenin [Ser33/37/Thr41], GSK3β, p-GSK3β [Ser9]) in AGS cells with LINC01615 overexpression, treated with DMSO or SKL2001. β-actin served as the loading control. (B–C) CCK-8 (B) and colony formation (C) assays showing that SKL2001 further promotes cell proliferation and colony formation in LINC01615-overexpressing AGS cells. (D–E) </w:t>
      </w:r>
      <w:proofErr w:type="spellStart"/>
      <w:r w:rsidRPr="005B137C">
        <w:rPr>
          <w:rStyle w:val="af1"/>
          <w:rFonts w:ascii="Times New Roman" w:hAnsi="Times New Roman" w:cs="Times New Roman"/>
          <w:b w:val="0"/>
          <w:sz w:val="24"/>
        </w:rPr>
        <w:t>Transwell</w:t>
      </w:r>
      <w:proofErr w:type="spellEnd"/>
      <w:r w:rsidRPr="005B137C">
        <w:rPr>
          <w:rStyle w:val="af1"/>
          <w:rFonts w:ascii="Times New Roman" w:hAnsi="Times New Roman" w:cs="Times New Roman"/>
          <w:b w:val="0"/>
          <w:sz w:val="24"/>
        </w:rPr>
        <w:t xml:space="preserve"> (D) and wound healing (E) assays demonstrating enhanced migration and invasion with SKL2001 treatment in LINC01615-overexpressing AGS cells. (F) Western blot of EMT markers (E-cadherin, Vimentin, N-cadherin) and tumor suppressors (p53, p21) in AGS cells overexpressing LINC01615, with or without SKL2001 treatment. β-actin served as the loading control. ns = not significant; *P &lt; 0.05; **P &lt; 0.01; ***P &lt; 0.001; ****P &lt; 0.0001.</w:t>
      </w:r>
    </w:p>
    <w:p w:rsidR="00361F6F" w:rsidRPr="005B137C" w:rsidRDefault="00361F6F" w:rsidP="00361F6F">
      <w:pPr>
        <w:spacing w:after="0" w:line="360" w:lineRule="auto"/>
        <w:rPr>
          <w:rStyle w:val="af1"/>
          <w:rFonts w:ascii="Times New Roman" w:hAnsi="Times New Roman" w:cs="Times New Roman"/>
          <w:b w:val="0"/>
          <w:bCs/>
          <w:sz w:val="24"/>
        </w:rPr>
      </w:pPr>
      <w:r w:rsidRPr="005B137C">
        <w:rPr>
          <w:rStyle w:val="af1"/>
          <w:rFonts w:ascii="Times New Roman" w:hAnsi="Times New Roman" w:cs="Times New Roman"/>
          <w:sz w:val="24"/>
        </w:rPr>
        <w:t>Supplementary Figure S8. LINC01615 knockdown suppresses xenograft tumor growth, which is rescued by SKL2001 treatment</w:t>
      </w:r>
      <w:r w:rsidRPr="005B137C">
        <w:rPr>
          <w:rStyle w:val="af1"/>
          <w:rFonts w:ascii="Times New Roman" w:hAnsi="Times New Roman" w:cs="Times New Roman"/>
          <w:b w:val="0"/>
          <w:sz w:val="24"/>
        </w:rPr>
        <w:t xml:space="preserve">. (A) Representative xenograft </w:t>
      </w:r>
      <w:r w:rsidRPr="005B137C">
        <w:rPr>
          <w:rStyle w:val="af1"/>
          <w:rFonts w:ascii="Times New Roman" w:hAnsi="Times New Roman" w:cs="Times New Roman"/>
          <w:b w:val="0"/>
          <w:sz w:val="24"/>
        </w:rPr>
        <w:lastRenderedPageBreak/>
        <w:t>tumors derived from AGS cells with or without LINC01615 knockdown, treated with DMSO or SKL2001. (B) Tumor growth curves of xenografts over 24 days. (C–D) Tumor volume (C) and weight (D) at day 24. ns = not significant; *P &lt; 0.05; **P &lt; 0.01; ***P &lt; 0.001; ****P &lt; 0.0001.</w:t>
      </w:r>
    </w:p>
    <w:p w:rsidR="00361F6F" w:rsidRPr="005B137C" w:rsidRDefault="00361F6F" w:rsidP="00361F6F">
      <w:pPr>
        <w:spacing w:after="0" w:line="360" w:lineRule="auto"/>
        <w:rPr>
          <w:rStyle w:val="af1"/>
          <w:rFonts w:ascii="Times New Roman" w:hAnsi="Times New Roman" w:cs="Times New Roman"/>
          <w:b w:val="0"/>
          <w:bCs/>
          <w:sz w:val="24"/>
        </w:rPr>
      </w:pPr>
      <w:r w:rsidRPr="005B137C">
        <w:rPr>
          <w:rStyle w:val="af1"/>
          <w:rFonts w:ascii="Times New Roman" w:hAnsi="Times New Roman" w:cs="Times New Roman"/>
          <w:sz w:val="24"/>
        </w:rPr>
        <w:t>Supplementary Figure S9. Expression of LINC01615, YY1, and WNT2 in paired GC and adjacent normal tissues</w:t>
      </w:r>
      <w:r w:rsidRPr="005B137C">
        <w:rPr>
          <w:rStyle w:val="af1"/>
          <w:rFonts w:ascii="Times New Roman" w:hAnsi="Times New Roman" w:cs="Times New Roman"/>
          <w:b w:val="0"/>
          <w:sz w:val="24"/>
        </w:rPr>
        <w:t>. RT-PCR and Western blot analyses of LINC01615, YY1, and WNT2 expression in 10 paired GC tissues (T) and adjacent normal tissues (N). GAPDH and β-actin served as internal controls for RT-PCR and Western blot, respectively.</w:t>
      </w:r>
    </w:p>
    <w:p w:rsidR="00415496" w:rsidRPr="00361F6F" w:rsidRDefault="00415496"/>
    <w:sectPr w:rsidR="00415496" w:rsidRPr="00361F6F" w:rsidSect="00361F6F">
      <w:footerReference w:type="even" r:id="rId4"/>
      <w:footerReference w:type="default" r:id="rId5"/>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
    </w:sdtPr>
    <w:sdtContent>
      <w:p w:rsidR="00361F6F" w:rsidRDefault="00361F6F">
        <w:pPr>
          <w:pStyle w:val="ae"/>
          <w:framePr w:wrap="auto"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rPr>
          <w:t>1</w:t>
        </w:r>
        <w:r>
          <w:rPr>
            <w:rStyle w:val="af2"/>
          </w:rPr>
          <w:fldChar w:fldCharType="end"/>
        </w:r>
      </w:p>
    </w:sdtContent>
  </w:sdt>
  <w:p w:rsidR="00361F6F" w:rsidRDefault="00361F6F">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952965054"/>
    </w:sdtPr>
    <w:sdtContent>
      <w:p w:rsidR="00361F6F" w:rsidRDefault="00361F6F">
        <w:pPr>
          <w:pStyle w:val="ae"/>
          <w:framePr w:wrap="auto"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rPr>
          <w:t>1</w:t>
        </w:r>
        <w:r>
          <w:rPr>
            <w:rStyle w:val="af2"/>
          </w:rPr>
          <w:fldChar w:fldCharType="end"/>
        </w:r>
      </w:p>
    </w:sdtContent>
  </w:sdt>
  <w:p w:rsidR="00361F6F" w:rsidRDefault="00361F6F">
    <w:pPr>
      <w:pStyle w:val="a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6F"/>
    <w:rsid w:val="0007616F"/>
    <w:rsid w:val="000B3824"/>
    <w:rsid w:val="001957E7"/>
    <w:rsid w:val="001A5A27"/>
    <w:rsid w:val="001C1D0B"/>
    <w:rsid w:val="001D7602"/>
    <w:rsid w:val="002344B0"/>
    <w:rsid w:val="00247E0A"/>
    <w:rsid w:val="00323C9C"/>
    <w:rsid w:val="00361F6F"/>
    <w:rsid w:val="00371F30"/>
    <w:rsid w:val="00391CA0"/>
    <w:rsid w:val="003A0AC8"/>
    <w:rsid w:val="003A6E8A"/>
    <w:rsid w:val="003E1F73"/>
    <w:rsid w:val="00415496"/>
    <w:rsid w:val="00451490"/>
    <w:rsid w:val="00481CC6"/>
    <w:rsid w:val="004B102D"/>
    <w:rsid w:val="004D120E"/>
    <w:rsid w:val="0056584B"/>
    <w:rsid w:val="005F1DD8"/>
    <w:rsid w:val="005F597D"/>
    <w:rsid w:val="00625D40"/>
    <w:rsid w:val="006F76FE"/>
    <w:rsid w:val="007057CB"/>
    <w:rsid w:val="00750B78"/>
    <w:rsid w:val="00803F1E"/>
    <w:rsid w:val="008209BC"/>
    <w:rsid w:val="00841C66"/>
    <w:rsid w:val="00881C46"/>
    <w:rsid w:val="00897C04"/>
    <w:rsid w:val="008C1D47"/>
    <w:rsid w:val="008F52CD"/>
    <w:rsid w:val="00906B5E"/>
    <w:rsid w:val="009C61EE"/>
    <w:rsid w:val="00A53CB8"/>
    <w:rsid w:val="00B1196C"/>
    <w:rsid w:val="00B25B1D"/>
    <w:rsid w:val="00B30728"/>
    <w:rsid w:val="00BE7088"/>
    <w:rsid w:val="00C3042E"/>
    <w:rsid w:val="00CA5CDD"/>
    <w:rsid w:val="00CB0A77"/>
    <w:rsid w:val="00CF6432"/>
    <w:rsid w:val="00D85DF1"/>
    <w:rsid w:val="00DD6256"/>
    <w:rsid w:val="00DE7490"/>
    <w:rsid w:val="00E317ED"/>
    <w:rsid w:val="00EA056D"/>
    <w:rsid w:val="00EF4F68"/>
    <w:rsid w:val="00F16A36"/>
    <w:rsid w:val="00F550B9"/>
    <w:rsid w:val="00F743AE"/>
    <w:rsid w:val="00FC6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5DD4406-0486-E347-9268-F830AB00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F6F"/>
    <w:pPr>
      <w:widowControl w:val="0"/>
      <w:spacing w:after="160" w:line="480" w:lineRule="auto"/>
      <w:jc w:val="both"/>
    </w:pPr>
    <w:rPr>
      <w:sz w:val="22"/>
    </w:rPr>
  </w:style>
  <w:style w:type="paragraph" w:styleId="1">
    <w:name w:val="heading 1"/>
    <w:basedOn w:val="a"/>
    <w:next w:val="a"/>
    <w:link w:val="10"/>
    <w:uiPriority w:val="9"/>
    <w:qFormat/>
    <w:rsid w:val="00361F6F"/>
    <w:pPr>
      <w:keepNext/>
      <w:keepLines/>
      <w:spacing w:before="480" w:after="80" w:line="240" w:lineRule="auto"/>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61F6F"/>
    <w:pPr>
      <w:keepNext/>
      <w:keepLines/>
      <w:spacing w:before="160" w:after="80" w:line="240" w:lineRule="auto"/>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61F6F"/>
    <w:pPr>
      <w:keepNext/>
      <w:keepLines/>
      <w:spacing w:before="160" w:after="80" w:line="240" w:lineRule="auto"/>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61F6F"/>
    <w:pPr>
      <w:keepNext/>
      <w:keepLines/>
      <w:spacing w:before="80" w:after="40" w:line="240" w:lineRule="auto"/>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61F6F"/>
    <w:pPr>
      <w:keepNext/>
      <w:keepLines/>
      <w:spacing w:before="80" w:after="40" w:line="240" w:lineRule="auto"/>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61F6F"/>
    <w:pPr>
      <w:keepNext/>
      <w:keepLines/>
      <w:spacing w:before="40" w:after="0" w:line="240" w:lineRule="auto"/>
      <w:outlineLvl w:val="5"/>
    </w:pPr>
    <w:rPr>
      <w:rFonts w:cstheme="majorBidi"/>
      <w:b/>
      <w:bCs/>
      <w:color w:val="2F5496" w:themeColor="accent1" w:themeShade="BF"/>
      <w:sz w:val="21"/>
    </w:rPr>
  </w:style>
  <w:style w:type="paragraph" w:styleId="7">
    <w:name w:val="heading 7"/>
    <w:basedOn w:val="a"/>
    <w:next w:val="a"/>
    <w:link w:val="70"/>
    <w:uiPriority w:val="9"/>
    <w:semiHidden/>
    <w:unhideWhenUsed/>
    <w:qFormat/>
    <w:rsid w:val="00361F6F"/>
    <w:pPr>
      <w:keepNext/>
      <w:keepLines/>
      <w:spacing w:before="40" w:after="0" w:line="240" w:lineRule="auto"/>
      <w:outlineLvl w:val="6"/>
    </w:pPr>
    <w:rPr>
      <w:rFonts w:cstheme="majorBidi"/>
      <w:b/>
      <w:bCs/>
      <w:color w:val="595959" w:themeColor="text1" w:themeTint="A6"/>
      <w:sz w:val="21"/>
    </w:rPr>
  </w:style>
  <w:style w:type="paragraph" w:styleId="8">
    <w:name w:val="heading 8"/>
    <w:basedOn w:val="a"/>
    <w:next w:val="a"/>
    <w:link w:val="80"/>
    <w:uiPriority w:val="9"/>
    <w:semiHidden/>
    <w:unhideWhenUsed/>
    <w:qFormat/>
    <w:rsid w:val="00361F6F"/>
    <w:pPr>
      <w:keepNext/>
      <w:keepLines/>
      <w:spacing w:after="0" w:line="240" w:lineRule="auto"/>
      <w:outlineLvl w:val="7"/>
    </w:pPr>
    <w:rPr>
      <w:rFonts w:cstheme="majorBidi"/>
      <w:color w:val="595959" w:themeColor="text1" w:themeTint="A6"/>
      <w:sz w:val="21"/>
    </w:rPr>
  </w:style>
  <w:style w:type="paragraph" w:styleId="9">
    <w:name w:val="heading 9"/>
    <w:basedOn w:val="a"/>
    <w:next w:val="a"/>
    <w:link w:val="90"/>
    <w:uiPriority w:val="9"/>
    <w:semiHidden/>
    <w:unhideWhenUsed/>
    <w:qFormat/>
    <w:rsid w:val="00361F6F"/>
    <w:pPr>
      <w:keepNext/>
      <w:keepLines/>
      <w:spacing w:after="0" w:line="240" w:lineRule="auto"/>
      <w:outlineLvl w:val="8"/>
    </w:pPr>
    <w:rPr>
      <w:rFonts w:eastAsiaTheme="majorEastAsia" w:cstheme="majorBidi"/>
      <w:color w:val="595959" w:themeColor="text1" w:themeTint="A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61F6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61F6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61F6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61F6F"/>
    <w:rPr>
      <w:rFonts w:cstheme="majorBidi"/>
      <w:color w:val="2F5496" w:themeColor="accent1" w:themeShade="BF"/>
      <w:sz w:val="28"/>
      <w:szCs w:val="28"/>
    </w:rPr>
  </w:style>
  <w:style w:type="character" w:customStyle="1" w:styleId="50">
    <w:name w:val="标题 5 字符"/>
    <w:basedOn w:val="a0"/>
    <w:link w:val="5"/>
    <w:uiPriority w:val="9"/>
    <w:semiHidden/>
    <w:rsid w:val="00361F6F"/>
    <w:rPr>
      <w:rFonts w:cstheme="majorBidi"/>
      <w:color w:val="2F5496" w:themeColor="accent1" w:themeShade="BF"/>
      <w:sz w:val="24"/>
    </w:rPr>
  </w:style>
  <w:style w:type="character" w:customStyle="1" w:styleId="60">
    <w:name w:val="标题 6 字符"/>
    <w:basedOn w:val="a0"/>
    <w:link w:val="6"/>
    <w:uiPriority w:val="9"/>
    <w:semiHidden/>
    <w:rsid w:val="00361F6F"/>
    <w:rPr>
      <w:rFonts w:cstheme="majorBidi"/>
      <w:b/>
      <w:bCs/>
      <w:color w:val="2F5496" w:themeColor="accent1" w:themeShade="BF"/>
    </w:rPr>
  </w:style>
  <w:style w:type="character" w:customStyle="1" w:styleId="70">
    <w:name w:val="标题 7 字符"/>
    <w:basedOn w:val="a0"/>
    <w:link w:val="7"/>
    <w:uiPriority w:val="9"/>
    <w:semiHidden/>
    <w:rsid w:val="00361F6F"/>
    <w:rPr>
      <w:rFonts w:cstheme="majorBidi"/>
      <w:b/>
      <w:bCs/>
      <w:color w:val="595959" w:themeColor="text1" w:themeTint="A6"/>
    </w:rPr>
  </w:style>
  <w:style w:type="character" w:customStyle="1" w:styleId="80">
    <w:name w:val="标题 8 字符"/>
    <w:basedOn w:val="a0"/>
    <w:link w:val="8"/>
    <w:uiPriority w:val="9"/>
    <w:semiHidden/>
    <w:rsid w:val="00361F6F"/>
    <w:rPr>
      <w:rFonts w:cstheme="majorBidi"/>
      <w:color w:val="595959" w:themeColor="text1" w:themeTint="A6"/>
    </w:rPr>
  </w:style>
  <w:style w:type="character" w:customStyle="1" w:styleId="90">
    <w:name w:val="标题 9 字符"/>
    <w:basedOn w:val="a0"/>
    <w:link w:val="9"/>
    <w:uiPriority w:val="9"/>
    <w:semiHidden/>
    <w:rsid w:val="00361F6F"/>
    <w:rPr>
      <w:rFonts w:eastAsiaTheme="majorEastAsia" w:cstheme="majorBidi"/>
      <w:color w:val="595959" w:themeColor="text1" w:themeTint="A6"/>
    </w:rPr>
  </w:style>
  <w:style w:type="paragraph" w:styleId="a3">
    <w:name w:val="Title"/>
    <w:basedOn w:val="a"/>
    <w:next w:val="a"/>
    <w:link w:val="a4"/>
    <w:uiPriority w:val="10"/>
    <w:qFormat/>
    <w:rsid w:val="00361F6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61F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1F6F"/>
    <w:pPr>
      <w:numPr>
        <w:ilvl w:val="1"/>
      </w:numPr>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61F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1F6F"/>
    <w:pPr>
      <w:spacing w:before="160" w:line="240" w:lineRule="auto"/>
      <w:jc w:val="center"/>
    </w:pPr>
    <w:rPr>
      <w:i/>
      <w:iCs/>
      <w:color w:val="404040" w:themeColor="text1" w:themeTint="BF"/>
      <w:sz w:val="21"/>
    </w:rPr>
  </w:style>
  <w:style w:type="character" w:customStyle="1" w:styleId="a8">
    <w:name w:val="引用 字符"/>
    <w:basedOn w:val="a0"/>
    <w:link w:val="a7"/>
    <w:uiPriority w:val="29"/>
    <w:rsid w:val="00361F6F"/>
    <w:rPr>
      <w:i/>
      <w:iCs/>
      <w:color w:val="404040" w:themeColor="text1" w:themeTint="BF"/>
    </w:rPr>
  </w:style>
  <w:style w:type="paragraph" w:styleId="a9">
    <w:name w:val="List Paragraph"/>
    <w:basedOn w:val="a"/>
    <w:uiPriority w:val="34"/>
    <w:qFormat/>
    <w:rsid w:val="00361F6F"/>
    <w:pPr>
      <w:spacing w:after="0" w:line="240" w:lineRule="auto"/>
      <w:ind w:left="720"/>
      <w:contextualSpacing/>
    </w:pPr>
    <w:rPr>
      <w:sz w:val="21"/>
    </w:rPr>
  </w:style>
  <w:style w:type="character" w:styleId="aa">
    <w:name w:val="Intense Emphasis"/>
    <w:basedOn w:val="a0"/>
    <w:uiPriority w:val="21"/>
    <w:qFormat/>
    <w:rsid w:val="00361F6F"/>
    <w:rPr>
      <w:i/>
      <w:iCs/>
      <w:color w:val="2F5496" w:themeColor="accent1" w:themeShade="BF"/>
    </w:rPr>
  </w:style>
  <w:style w:type="paragraph" w:styleId="ab">
    <w:name w:val="Intense Quote"/>
    <w:basedOn w:val="a"/>
    <w:next w:val="a"/>
    <w:link w:val="ac"/>
    <w:uiPriority w:val="30"/>
    <w:qFormat/>
    <w:rsid w:val="00361F6F"/>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sz w:val="21"/>
    </w:rPr>
  </w:style>
  <w:style w:type="character" w:customStyle="1" w:styleId="ac">
    <w:name w:val="明显引用 字符"/>
    <w:basedOn w:val="a0"/>
    <w:link w:val="ab"/>
    <w:uiPriority w:val="30"/>
    <w:rsid w:val="00361F6F"/>
    <w:rPr>
      <w:i/>
      <w:iCs/>
      <w:color w:val="2F5496" w:themeColor="accent1" w:themeShade="BF"/>
    </w:rPr>
  </w:style>
  <w:style w:type="character" w:styleId="ad">
    <w:name w:val="Intense Reference"/>
    <w:basedOn w:val="a0"/>
    <w:uiPriority w:val="32"/>
    <w:qFormat/>
    <w:rsid w:val="00361F6F"/>
    <w:rPr>
      <w:b/>
      <w:bCs/>
      <w:smallCaps/>
      <w:color w:val="2F5496" w:themeColor="accent1" w:themeShade="BF"/>
      <w:spacing w:val="5"/>
    </w:rPr>
  </w:style>
  <w:style w:type="paragraph" w:styleId="ae">
    <w:name w:val="footer"/>
    <w:basedOn w:val="a"/>
    <w:link w:val="af"/>
    <w:uiPriority w:val="99"/>
    <w:unhideWhenUsed/>
    <w:rsid w:val="00361F6F"/>
    <w:pPr>
      <w:tabs>
        <w:tab w:val="center" w:pos="4153"/>
        <w:tab w:val="right" w:pos="8306"/>
      </w:tabs>
      <w:snapToGrid w:val="0"/>
      <w:jc w:val="left"/>
    </w:pPr>
    <w:rPr>
      <w:sz w:val="18"/>
    </w:rPr>
  </w:style>
  <w:style w:type="character" w:customStyle="1" w:styleId="af">
    <w:name w:val="页脚 字符"/>
    <w:basedOn w:val="a0"/>
    <w:link w:val="ae"/>
    <w:uiPriority w:val="99"/>
    <w:rsid w:val="00361F6F"/>
    <w:rPr>
      <w:sz w:val="18"/>
    </w:rPr>
  </w:style>
  <w:style w:type="paragraph" w:styleId="af0">
    <w:name w:val="Normal (Web)"/>
    <w:basedOn w:val="a"/>
    <w:uiPriority w:val="99"/>
    <w:unhideWhenUsed/>
    <w:qFormat/>
    <w:rsid w:val="00361F6F"/>
    <w:pPr>
      <w:widowControl/>
      <w:spacing w:before="100" w:beforeAutospacing="1" w:after="100" w:afterAutospacing="1"/>
      <w:jc w:val="left"/>
    </w:pPr>
    <w:rPr>
      <w:rFonts w:ascii="宋体" w:eastAsia="宋体" w:hAnsi="宋体" w:cs="宋体"/>
      <w:kern w:val="0"/>
      <w:sz w:val="24"/>
      <w14:ligatures w14:val="none"/>
    </w:rPr>
  </w:style>
  <w:style w:type="character" w:styleId="af1">
    <w:name w:val="Strong"/>
    <w:basedOn w:val="a0"/>
    <w:uiPriority w:val="22"/>
    <w:qFormat/>
    <w:rsid w:val="00361F6F"/>
    <w:rPr>
      <w:b/>
    </w:rPr>
  </w:style>
  <w:style w:type="character" w:styleId="af2">
    <w:name w:val="page number"/>
    <w:basedOn w:val="a0"/>
    <w:uiPriority w:val="99"/>
    <w:semiHidden/>
    <w:unhideWhenUsed/>
    <w:rsid w:val="00361F6F"/>
  </w:style>
  <w:style w:type="character" w:styleId="af3">
    <w:name w:val="line number"/>
    <w:basedOn w:val="a0"/>
    <w:uiPriority w:val="99"/>
    <w:semiHidden/>
    <w:unhideWhenUsed/>
    <w:rsid w:val="00361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 Lin</dc:creator>
  <cp:keywords/>
  <dc:description/>
  <cp:lastModifiedBy>X Lin</cp:lastModifiedBy>
  <cp:revision>1</cp:revision>
  <dcterms:created xsi:type="dcterms:W3CDTF">2025-09-23T12:09:00Z</dcterms:created>
  <dcterms:modified xsi:type="dcterms:W3CDTF">2025-09-23T12:10:00Z</dcterms:modified>
</cp:coreProperties>
</file>