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59A6" w:rsidRPr="003F45EA" w:rsidRDefault="00E459A6" w:rsidP="00E459A6">
      <w:pPr>
        <w:spacing w:line="480" w:lineRule="auto"/>
        <w:rPr>
          <w:lang w:val="en-GB"/>
        </w:rPr>
      </w:pPr>
      <w:r w:rsidRPr="003F45EA">
        <w:rPr>
          <w:b/>
          <w:bCs/>
          <w:lang w:val="en-GB"/>
        </w:rPr>
        <w:t>Supplementary Figure 1</w:t>
      </w:r>
      <w:r w:rsidRPr="003F45EA">
        <w:rPr>
          <w:lang w:val="en-GB"/>
        </w:rPr>
        <w:t xml:space="preserve">. Comparison of </w:t>
      </w:r>
      <w:r>
        <w:rPr>
          <w:lang w:val="en-GB"/>
        </w:rPr>
        <w:t>standardised</w:t>
      </w:r>
      <w:r w:rsidRPr="003F45EA">
        <w:rPr>
          <w:lang w:val="en-GB"/>
        </w:rPr>
        <w:t xml:space="preserve"> mean difference (SMD) adjustment across different ratio matching strategies. Panels A, B, and C: SMD adjustment for 3:1, 2:1, and 1:1 matching strategy at 28 days, respectively. Panels D, E, and F: SMD adjustment for 3:1, 2:1, and 1:1 matching strategy at 90 days, respectively. This analysis was performed as part of the methodology to select the matching strategy that provided the best covariate balance, ensuring optimal adjustment and comparability between treatment groups.</w:t>
      </w:r>
    </w:p>
    <w:p w:rsidR="00E459A6" w:rsidRPr="003F45EA" w:rsidRDefault="00E459A6" w:rsidP="00E459A6">
      <w:pPr>
        <w:spacing w:before="240" w:after="240" w:line="480" w:lineRule="auto"/>
        <w:jc w:val="center"/>
        <w:rPr>
          <w:lang w:val="en-GB"/>
        </w:rPr>
        <w:sectPr w:rsidR="00E459A6" w:rsidRPr="003F45EA" w:rsidSect="00A3311A">
          <w:pgSz w:w="15840" w:h="12240" w:orient="landscape"/>
          <w:pgMar w:top="1440" w:right="1440" w:bottom="1440" w:left="1440" w:header="720" w:footer="720" w:gutter="0"/>
          <w:cols w:space="720"/>
          <w:docGrid w:linePitch="360"/>
        </w:sectPr>
      </w:pPr>
      <w:r w:rsidRPr="003F45EA">
        <w:rPr>
          <w:noProof/>
          <w:lang w:val="en-GB"/>
        </w:rPr>
        <w:drawing>
          <wp:inline distT="0" distB="0" distL="0" distR="0" wp14:anchorId="6E256616" wp14:editId="2BCA4F98">
            <wp:extent cx="8274570" cy="2877534"/>
            <wp:effectExtent l="0" t="0" r="0" b="5715"/>
            <wp:docPr id="14431073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05206" cy="2922964"/>
                    </a:xfrm>
                    <a:prstGeom prst="rect">
                      <a:avLst/>
                    </a:prstGeom>
                  </pic:spPr>
                </pic:pic>
              </a:graphicData>
            </a:graphic>
          </wp:inline>
        </w:drawing>
      </w:r>
    </w:p>
    <w:p w:rsidR="00E459A6" w:rsidRPr="003F45EA" w:rsidRDefault="00E459A6" w:rsidP="00E459A6">
      <w:pPr>
        <w:pStyle w:val="paragraph"/>
        <w:spacing w:before="0" w:beforeAutospacing="0" w:after="0" w:afterAutospacing="0"/>
        <w:textAlignment w:val="baseline"/>
        <w:rPr>
          <w:rFonts w:ascii="Segoe UI" w:hAnsi="Segoe UI" w:cs="Segoe UI"/>
          <w:sz w:val="18"/>
          <w:szCs w:val="18"/>
          <w:lang w:val="en-GB"/>
        </w:rPr>
      </w:pPr>
      <w:r w:rsidRPr="003F45EA">
        <w:rPr>
          <w:rStyle w:val="normaltextrun"/>
          <w:rFonts w:eastAsiaTheme="majorEastAsia"/>
          <w:b/>
          <w:bCs/>
          <w:color w:val="000000"/>
          <w:lang w:val="en-GB"/>
        </w:rPr>
        <w:lastRenderedPageBreak/>
        <w:t>Supplementary Table 1. </w:t>
      </w:r>
      <w:r w:rsidRPr="003F45EA">
        <w:rPr>
          <w:rStyle w:val="eop"/>
          <w:rFonts w:eastAsiaTheme="majorEastAsia"/>
          <w:color w:val="000000"/>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8"/>
        <w:gridCol w:w="7636"/>
      </w:tblGrid>
      <w:tr w:rsidR="00E459A6" w:rsidRPr="003F45EA" w:rsidTr="00AC6130">
        <w:trPr>
          <w:trHeight w:val="300"/>
        </w:trPr>
        <w:tc>
          <w:tcPr>
            <w:tcW w:w="9360" w:type="dxa"/>
            <w:gridSpan w:val="2"/>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Supplementary Table 1. ICD-9 Code with description</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ICD9 CODE</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b/>
                <w:bCs/>
                <w:lang w:val="en-GB"/>
              </w:rPr>
              <w:t>Description</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48249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Other Staphylococcus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48281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anaerobes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48282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Escherichia coli [E. coli]</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48283</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other gram-negative bacteria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adenovirus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respiratory syncytial virus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parainfluenza virus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4803</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SARS-associated coronavirus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4808</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 xml:space="preserve">Pneumonia due to </w:t>
            </w:r>
            <w:r>
              <w:rPr>
                <w:rStyle w:val="normaltextrun"/>
                <w:rFonts w:eastAsiaTheme="majorEastAsia"/>
                <w:lang w:val="en-GB"/>
              </w:rPr>
              <w:t>other viruses</w:t>
            </w:r>
            <w:r w:rsidRPr="003F45EA">
              <w:rPr>
                <w:rStyle w:val="normaltextrun"/>
                <w:rFonts w:eastAsiaTheme="majorEastAsia"/>
                <w:lang w:val="en-GB"/>
              </w:rPr>
              <w:t xml:space="preserve"> not elsewhere classified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4809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Viral pneumonia,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Pneumococcal pneumonia [Streptococcus pneumoniae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Klebsiella pneumoniae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Pseudomonas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Hemophilus influenzae [H. influenzae]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48230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Streptococcus,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48231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Streptococcus, group 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48232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Streptococcus, group B</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48239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 xml:space="preserve">Pneumonia due to </w:t>
            </w:r>
            <w:proofErr w:type="gramStart"/>
            <w:r w:rsidRPr="003F45EA">
              <w:rPr>
                <w:rStyle w:val="normaltextrun"/>
                <w:rFonts w:eastAsiaTheme="majorEastAsia"/>
                <w:lang w:val="en-GB"/>
              </w:rPr>
              <w:t>other</w:t>
            </w:r>
            <w:proofErr w:type="gramEnd"/>
            <w:r w:rsidRPr="003F45EA">
              <w:rPr>
                <w:rStyle w:val="normaltextrun"/>
                <w:rFonts w:eastAsiaTheme="majorEastAsia"/>
                <w:lang w:val="en-GB"/>
              </w:rPr>
              <w:t xml:space="preserve"> Streptococcus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48240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Staphylococcus,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48241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 xml:space="preserve">Methicillin </w:t>
            </w:r>
            <w:r>
              <w:rPr>
                <w:rStyle w:val="normaltextrun"/>
                <w:rFonts w:eastAsiaTheme="majorEastAsia"/>
                <w:lang w:val="en-GB"/>
              </w:rPr>
              <w:t xml:space="preserve">is </w:t>
            </w:r>
            <w:r w:rsidRPr="003F45EA">
              <w:rPr>
                <w:rStyle w:val="normaltextrun"/>
                <w:rFonts w:eastAsiaTheme="majorEastAsia"/>
                <w:lang w:val="en-GB"/>
              </w:rPr>
              <w:t>susceptible pneumonia due to Staphylococcus aureus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48242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Pr>
                <w:rStyle w:val="normaltextrun"/>
                <w:rFonts w:eastAsiaTheme="majorEastAsia"/>
                <w:lang w:val="en-GB"/>
              </w:rPr>
              <w:t>Methicillin-resistant</w:t>
            </w:r>
            <w:r w:rsidRPr="003F45EA">
              <w:rPr>
                <w:rStyle w:val="normaltextrun"/>
                <w:rFonts w:eastAsiaTheme="majorEastAsia"/>
                <w:lang w:val="en-GB"/>
              </w:rPr>
              <w:t xml:space="preserve"> pneumonia due to Staphylococcus aureus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48284</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Legionnaires' disease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48289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other specified bacteria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4829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Bacterial pneumonia,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4830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mycoplasma pneumoniae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4831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due to chlamydia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4838</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 xml:space="preserve">Pneumonia due to </w:t>
            </w:r>
            <w:proofErr w:type="gramStart"/>
            <w:r w:rsidRPr="003F45EA">
              <w:rPr>
                <w:rStyle w:val="normaltextrun"/>
                <w:rFonts w:eastAsiaTheme="majorEastAsia"/>
                <w:lang w:val="en-GB"/>
              </w:rPr>
              <w:t>other</w:t>
            </w:r>
            <w:proofErr w:type="gramEnd"/>
            <w:r w:rsidRPr="003F45EA">
              <w:rPr>
                <w:rStyle w:val="normaltextrun"/>
                <w:rFonts w:eastAsiaTheme="majorEastAsia"/>
                <w:lang w:val="en-GB"/>
              </w:rPr>
              <w:t xml:space="preserve"> specified organism</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cytomegalic inclusion disease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4843</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whooping cough</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4845</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anthrax</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4846</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aspergillosis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4847</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other systemic mycoses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4848</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in other infectious diseases classified elsewhere</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485</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Bronchopneumonia, organism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486</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Pneumonia, organism unspecified</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4870</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with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4871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with other respiratory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4878</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with other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lastRenderedPageBreak/>
              <w:t>48801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avian influenza virus with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48802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avian influenza virus with other respiratory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48809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avian influenza virus with other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48811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2009 H1N1 influenza virus with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48812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2009 H1N1 influenza virus with other respiratory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48819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2009 H1N1 influenza virus with other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48881</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novel influenza A virus with pneumonia</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48882</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novel influenza A virus with other respiratory manifestations</w:t>
            </w:r>
            <w:r w:rsidRPr="003F45EA">
              <w:rPr>
                <w:rStyle w:val="eop"/>
                <w:rFonts w:eastAsiaTheme="majorEastAsia"/>
                <w:lang w:val="en-GB"/>
              </w:rPr>
              <w:t> </w:t>
            </w:r>
          </w:p>
        </w:tc>
      </w:tr>
      <w:tr w:rsidR="00E459A6" w:rsidRPr="003F45EA" w:rsidTr="00AC6130">
        <w:trPr>
          <w:trHeight w:val="300"/>
        </w:trPr>
        <w:tc>
          <w:tcPr>
            <w:tcW w:w="171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jc w:val="center"/>
              <w:textAlignment w:val="baseline"/>
              <w:rPr>
                <w:lang w:val="en-GB"/>
              </w:rPr>
            </w:pPr>
            <w:r w:rsidRPr="003F45EA">
              <w:rPr>
                <w:rStyle w:val="normaltextrun"/>
                <w:rFonts w:eastAsiaTheme="majorEastAsia"/>
                <w:lang w:val="en-GB"/>
              </w:rPr>
              <w:t>48889</w:t>
            </w:r>
            <w:r w:rsidRPr="003F45EA">
              <w:rPr>
                <w:rStyle w:val="eop"/>
                <w:rFonts w:eastAsiaTheme="majorEastAsia"/>
                <w:lang w:val="en-GB"/>
              </w:rPr>
              <w:t> </w:t>
            </w:r>
          </w:p>
        </w:tc>
        <w:tc>
          <w:tcPr>
            <w:tcW w:w="7650" w:type="dxa"/>
            <w:tcBorders>
              <w:top w:val="single" w:sz="6" w:space="0" w:color="BFBFBF"/>
              <w:left w:val="single" w:sz="6" w:space="0" w:color="BFBFBF"/>
              <w:bottom w:val="single" w:sz="6" w:space="0" w:color="BFBFBF"/>
              <w:right w:val="single" w:sz="6" w:space="0" w:color="BFBFBF"/>
            </w:tcBorders>
            <w:shd w:val="clear" w:color="auto" w:fill="auto"/>
            <w:hideMark/>
          </w:tcPr>
          <w:p w:rsidR="00E459A6" w:rsidRPr="003F45EA" w:rsidRDefault="00E459A6" w:rsidP="00AC6130">
            <w:pPr>
              <w:pStyle w:val="paragraph"/>
              <w:spacing w:before="0" w:beforeAutospacing="0" w:after="0" w:afterAutospacing="0"/>
              <w:textAlignment w:val="baseline"/>
              <w:rPr>
                <w:lang w:val="en-GB"/>
              </w:rPr>
            </w:pPr>
            <w:r w:rsidRPr="003F45EA">
              <w:rPr>
                <w:rStyle w:val="normaltextrun"/>
                <w:rFonts w:eastAsiaTheme="majorEastAsia"/>
                <w:lang w:val="en-GB"/>
              </w:rPr>
              <w:t>Influenza due to identified novel influenza A virus with other manifestations</w:t>
            </w:r>
            <w:r w:rsidRPr="003F45EA">
              <w:rPr>
                <w:rStyle w:val="eop"/>
                <w:rFonts w:eastAsiaTheme="majorEastAsia"/>
                <w:lang w:val="en-GB"/>
              </w:rPr>
              <w:t> </w:t>
            </w:r>
          </w:p>
        </w:tc>
      </w:tr>
    </w:tbl>
    <w:p w:rsidR="00E459A6" w:rsidRPr="003F45EA" w:rsidRDefault="00E459A6" w:rsidP="00E459A6">
      <w:pPr>
        <w:pStyle w:val="paragraph"/>
        <w:spacing w:before="0" w:beforeAutospacing="0" w:after="0" w:afterAutospacing="0"/>
        <w:textAlignment w:val="baseline"/>
        <w:rPr>
          <w:rFonts w:ascii="Segoe UI" w:hAnsi="Segoe UI" w:cs="Segoe UI"/>
          <w:sz w:val="18"/>
          <w:szCs w:val="18"/>
          <w:lang w:val="en-GB"/>
        </w:rPr>
      </w:pPr>
      <w:r w:rsidRPr="003F45EA">
        <w:rPr>
          <w:rStyle w:val="normaltextrun"/>
          <w:rFonts w:eastAsiaTheme="majorEastAsia"/>
          <w:lang w:val="en-GB"/>
        </w:rPr>
        <w:t>ICD-9: International Classification of Diseases 9</w:t>
      </w:r>
      <w:r w:rsidRPr="003F45EA">
        <w:rPr>
          <w:rStyle w:val="normaltextrun"/>
          <w:rFonts w:eastAsiaTheme="majorEastAsia"/>
          <w:sz w:val="19"/>
          <w:szCs w:val="19"/>
          <w:vertAlign w:val="superscript"/>
          <w:lang w:val="en-GB"/>
        </w:rPr>
        <w:t>th</w:t>
      </w:r>
      <w:r w:rsidRPr="003F45EA">
        <w:rPr>
          <w:rStyle w:val="normaltextrun"/>
          <w:rFonts w:eastAsiaTheme="majorEastAsia"/>
          <w:lang w:val="en-GB"/>
        </w:rPr>
        <w:t xml:space="preserve"> Edition</w:t>
      </w:r>
      <w:r w:rsidRPr="003F45EA">
        <w:rPr>
          <w:rStyle w:val="eop"/>
          <w:rFonts w:eastAsiaTheme="majorEastAsia"/>
          <w:lang w:val="en-GB"/>
        </w:rPr>
        <w:t> </w:t>
      </w:r>
    </w:p>
    <w:p w:rsidR="00E459A6" w:rsidRPr="003F45EA" w:rsidRDefault="00E459A6" w:rsidP="00E459A6">
      <w:pPr>
        <w:spacing w:before="240" w:after="240" w:line="480" w:lineRule="auto"/>
        <w:rPr>
          <w:b/>
          <w:bCs/>
          <w:color w:val="000000" w:themeColor="text1"/>
          <w:lang w:val="en-GB"/>
        </w:rPr>
        <w:sectPr w:rsidR="00E459A6" w:rsidRPr="003F45EA">
          <w:pgSz w:w="12240" w:h="15840"/>
          <w:pgMar w:top="1440" w:right="1440" w:bottom="1440" w:left="1440" w:header="720" w:footer="720" w:gutter="0"/>
          <w:cols w:space="720"/>
          <w:docGrid w:linePitch="360"/>
        </w:sectPr>
      </w:pPr>
    </w:p>
    <w:p w:rsidR="00E459A6" w:rsidRPr="003F45EA" w:rsidRDefault="00E459A6" w:rsidP="00E459A6">
      <w:pPr>
        <w:pStyle w:val="paragraph"/>
        <w:spacing w:before="0" w:beforeAutospacing="0" w:after="0" w:afterAutospacing="0"/>
        <w:textAlignment w:val="baseline"/>
        <w:rPr>
          <w:rStyle w:val="eop"/>
          <w:rFonts w:eastAsiaTheme="majorEastAsia"/>
          <w:color w:val="000000"/>
          <w:lang w:val="en-GB"/>
        </w:rPr>
      </w:pPr>
      <w:r w:rsidRPr="003F45EA">
        <w:rPr>
          <w:rStyle w:val="normaltextrun"/>
          <w:rFonts w:eastAsiaTheme="majorEastAsia"/>
          <w:b/>
          <w:bCs/>
          <w:color w:val="000000"/>
          <w:lang w:val="en-GB"/>
        </w:rPr>
        <w:lastRenderedPageBreak/>
        <w:t xml:space="preserve">Supplementary Table 2. </w:t>
      </w:r>
      <w:r w:rsidRPr="003F45EA">
        <w:rPr>
          <w:rStyle w:val="eop"/>
          <w:rFonts w:eastAsiaTheme="majorEastAsia"/>
          <w:color w:val="000000"/>
          <w:lang w:val="en-GB"/>
        </w:rPr>
        <w:t>Age-Stratified Sensitivity Analysis of Statin Use and Its Association with Mortality</w:t>
      </w:r>
    </w:p>
    <w:p w:rsidR="00E459A6" w:rsidRPr="003F45EA" w:rsidRDefault="00E459A6" w:rsidP="00E459A6">
      <w:pPr>
        <w:pStyle w:val="paragraph"/>
        <w:spacing w:before="0" w:beforeAutospacing="0" w:after="0" w:afterAutospacing="0"/>
        <w:textAlignment w:val="baseline"/>
        <w:rPr>
          <w:rFonts w:ascii="Segoe UI" w:hAnsi="Segoe UI" w:cs="Segoe UI"/>
          <w:sz w:val="18"/>
          <w:szCs w:val="18"/>
          <w:lang w:val="en-GB"/>
        </w:rPr>
      </w:pPr>
    </w:p>
    <w:tbl>
      <w:tblPr>
        <w:tblW w:w="13030" w:type="dxa"/>
        <w:tblLook w:val="04A0" w:firstRow="1" w:lastRow="0" w:firstColumn="1" w:lastColumn="0" w:noHBand="0" w:noVBand="1"/>
      </w:tblPr>
      <w:tblGrid>
        <w:gridCol w:w="2548"/>
        <w:gridCol w:w="1317"/>
        <w:gridCol w:w="1252"/>
        <w:gridCol w:w="1421"/>
        <w:gridCol w:w="1065"/>
        <w:gridCol w:w="1346"/>
        <w:gridCol w:w="1346"/>
        <w:gridCol w:w="1506"/>
        <w:gridCol w:w="926"/>
        <w:gridCol w:w="303"/>
      </w:tblGrid>
      <w:tr w:rsidR="00E459A6" w:rsidRPr="003F45EA" w:rsidTr="00AC6130">
        <w:trPr>
          <w:gridAfter w:val="1"/>
          <w:wAfter w:w="303" w:type="dxa"/>
          <w:trHeight w:val="330"/>
        </w:trPr>
        <w:tc>
          <w:tcPr>
            <w:tcW w:w="2548" w:type="dxa"/>
            <w:vMerge w:val="restart"/>
            <w:tcBorders>
              <w:top w:val="single" w:sz="4" w:space="0" w:color="auto"/>
              <w:left w:val="single" w:sz="4"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Age group: 18-55 years old (n=1011), mean in treated vs. untreated</w:t>
            </w:r>
          </w:p>
        </w:tc>
        <w:tc>
          <w:tcPr>
            <w:tcW w:w="5055" w:type="dxa"/>
            <w:gridSpan w:val="4"/>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Unmatched cohort</w:t>
            </w:r>
          </w:p>
        </w:tc>
        <w:tc>
          <w:tcPr>
            <w:tcW w:w="5124" w:type="dxa"/>
            <w:gridSpan w:val="4"/>
            <w:tcBorders>
              <w:top w:val="single" w:sz="4" w:space="0" w:color="auto"/>
              <w:left w:val="single" w:sz="6" w:space="0" w:color="auto"/>
              <w:bottom w:val="single" w:sz="6" w:space="0" w:color="auto"/>
              <w:right w:val="single" w:sz="4" w:space="0" w:color="auto"/>
            </w:tcBorders>
            <w:shd w:val="clear" w:color="auto" w:fill="auto"/>
            <w:noWrap/>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Matched cohort</w:t>
            </w:r>
          </w:p>
        </w:tc>
      </w:tr>
      <w:tr w:rsidR="00E459A6" w:rsidRPr="003F45EA" w:rsidTr="00AC6130">
        <w:trPr>
          <w:gridAfter w:val="1"/>
          <w:wAfter w:w="303" w:type="dxa"/>
          <w:trHeight w:val="702"/>
        </w:trPr>
        <w:tc>
          <w:tcPr>
            <w:tcW w:w="2548" w:type="dxa"/>
            <w:vMerge/>
            <w:tcBorders>
              <w:top w:val="single" w:sz="6" w:space="0" w:color="auto"/>
              <w:left w:val="single" w:sz="4"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No statin, (n=891)</w:t>
            </w:r>
          </w:p>
        </w:tc>
        <w:tc>
          <w:tcPr>
            <w:tcW w:w="125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sz w:val="20"/>
                <w:szCs w:val="20"/>
                <w:lang w:val="en-GB"/>
              </w:rPr>
            </w:pPr>
            <w:r w:rsidRPr="003F45EA">
              <w:rPr>
                <w:b/>
                <w:bCs/>
                <w:color w:val="000000"/>
                <w:sz w:val="20"/>
                <w:szCs w:val="20"/>
                <w:lang w:val="en-GB"/>
              </w:rPr>
              <w:t>Statin,</w:t>
            </w:r>
          </w:p>
          <w:p w:rsidR="00E459A6" w:rsidRPr="003F45EA" w:rsidRDefault="00E459A6" w:rsidP="00AC6130">
            <w:pPr>
              <w:jc w:val="center"/>
              <w:rPr>
                <w:b/>
                <w:bCs/>
                <w:color w:val="000000"/>
                <w:sz w:val="20"/>
                <w:szCs w:val="20"/>
                <w:lang w:val="en-GB"/>
              </w:rPr>
            </w:pPr>
            <w:r w:rsidRPr="003F45EA">
              <w:rPr>
                <w:b/>
                <w:bCs/>
                <w:color w:val="000000"/>
                <w:sz w:val="20"/>
                <w:szCs w:val="20"/>
                <w:lang w:val="en-GB"/>
              </w:rPr>
              <w:t>(n= 120)</w:t>
            </w:r>
          </w:p>
        </w:tc>
        <w:tc>
          <w:tcPr>
            <w:tcW w:w="14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10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p-value</w:t>
            </w:r>
          </w:p>
        </w:tc>
        <w:tc>
          <w:tcPr>
            <w:tcW w:w="13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No statin, (n=891)</w:t>
            </w:r>
          </w:p>
        </w:tc>
        <w:tc>
          <w:tcPr>
            <w:tcW w:w="13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Statin, (n=120)</w:t>
            </w:r>
          </w:p>
        </w:tc>
        <w:tc>
          <w:tcPr>
            <w:tcW w:w="150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926" w:type="dxa"/>
            <w:vMerge w:val="restart"/>
            <w:tcBorders>
              <w:top w:val="single" w:sz="6" w:space="0" w:color="auto"/>
              <w:left w:val="single" w:sz="6" w:space="0" w:color="auto"/>
              <w:bottom w:val="single" w:sz="6" w:space="0" w:color="auto"/>
              <w:right w:val="single" w:sz="4"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p-value</w:t>
            </w:r>
          </w:p>
        </w:tc>
      </w:tr>
      <w:tr w:rsidR="00E459A6" w:rsidRPr="003F45EA" w:rsidTr="00AC6130">
        <w:trPr>
          <w:trHeight w:val="57"/>
        </w:trPr>
        <w:tc>
          <w:tcPr>
            <w:tcW w:w="2548" w:type="dxa"/>
            <w:vMerge/>
            <w:tcBorders>
              <w:top w:val="single" w:sz="6" w:space="0" w:color="auto"/>
              <w:left w:val="single" w:sz="4"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17"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252"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065"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4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4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50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926" w:type="dxa"/>
            <w:vMerge/>
            <w:tcBorders>
              <w:top w:val="single" w:sz="6" w:space="0" w:color="auto"/>
              <w:left w:val="single" w:sz="6" w:space="0" w:color="auto"/>
              <w:bottom w:val="single" w:sz="6" w:space="0" w:color="auto"/>
              <w:right w:val="single" w:sz="4" w:space="0" w:color="auto"/>
            </w:tcBorders>
            <w:vAlign w:val="center"/>
            <w:hideMark/>
          </w:tcPr>
          <w:p w:rsidR="00E459A6" w:rsidRPr="003F45EA" w:rsidRDefault="00E459A6" w:rsidP="00AC6130">
            <w:pPr>
              <w:jc w:val="center"/>
              <w:rPr>
                <w:b/>
                <w:bCs/>
                <w:color w:val="000000"/>
                <w:sz w:val="20"/>
                <w:szCs w:val="20"/>
                <w:lang w:val="en-GB"/>
              </w:rPr>
            </w:pPr>
          </w:p>
        </w:tc>
        <w:tc>
          <w:tcPr>
            <w:tcW w:w="303" w:type="dxa"/>
            <w:tcBorders>
              <w:top w:val="nil"/>
              <w:left w:val="single" w:sz="4" w:space="0" w:color="auto"/>
              <w:bottom w:val="nil"/>
              <w:right w:val="nil"/>
            </w:tcBorders>
            <w:shd w:val="clear" w:color="auto" w:fill="auto"/>
            <w:noWrap/>
            <w:vAlign w:val="center"/>
            <w:hideMark/>
          </w:tcPr>
          <w:p w:rsidR="00E459A6" w:rsidRPr="003F45EA" w:rsidRDefault="00E459A6" w:rsidP="00AC6130">
            <w:pPr>
              <w:jc w:val="center"/>
              <w:rPr>
                <w:b/>
                <w:bCs/>
                <w:color w:val="000000"/>
                <w:sz w:val="20"/>
                <w:szCs w:val="20"/>
                <w:lang w:val="en-GB"/>
              </w:rPr>
            </w:pPr>
          </w:p>
        </w:tc>
      </w:tr>
      <w:tr w:rsidR="00E459A6" w:rsidRPr="003F45EA" w:rsidTr="00AC6130">
        <w:trPr>
          <w:trHeight w:val="351"/>
        </w:trPr>
        <w:tc>
          <w:tcPr>
            <w:tcW w:w="2548" w:type="dxa"/>
            <w:tcBorders>
              <w:top w:val="single" w:sz="6" w:space="0" w:color="auto"/>
              <w:left w:val="single" w:sz="4" w:space="0" w:color="auto"/>
              <w:bottom w:val="single" w:sz="4" w:space="0" w:color="auto"/>
              <w:right w:val="single" w:sz="6"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Age</w:t>
            </w:r>
          </w:p>
        </w:tc>
        <w:tc>
          <w:tcPr>
            <w:tcW w:w="131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43.5</w:t>
            </w:r>
          </w:p>
        </w:tc>
        <w:tc>
          <w:tcPr>
            <w:tcW w:w="1252"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47.8</w:t>
            </w:r>
          </w:p>
        </w:tc>
        <w:tc>
          <w:tcPr>
            <w:tcW w:w="1421"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0.502</w:t>
            </w:r>
          </w:p>
        </w:tc>
        <w:tc>
          <w:tcPr>
            <w:tcW w:w="1065"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46.6</w:t>
            </w:r>
          </w:p>
        </w:tc>
        <w:tc>
          <w:tcPr>
            <w:tcW w:w="134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47.7</w:t>
            </w:r>
          </w:p>
        </w:tc>
        <w:tc>
          <w:tcPr>
            <w:tcW w:w="150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color w:val="FF0000"/>
                <w:sz w:val="20"/>
                <w:szCs w:val="20"/>
                <w:lang w:val="en-GB"/>
              </w:rPr>
            </w:pPr>
            <w:r w:rsidRPr="003F45EA">
              <w:rPr>
                <w:sz w:val="20"/>
                <w:szCs w:val="20"/>
                <w:lang w:val="en-GB"/>
              </w:rPr>
              <w:t>12.8</w:t>
            </w:r>
          </w:p>
        </w:tc>
        <w:tc>
          <w:tcPr>
            <w:tcW w:w="926" w:type="dxa"/>
            <w:tcBorders>
              <w:top w:val="single" w:sz="6" w:space="0" w:color="auto"/>
              <w:left w:val="single" w:sz="6"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FF0000"/>
                <w:sz w:val="20"/>
                <w:szCs w:val="20"/>
                <w:lang w:val="en-GB"/>
              </w:rPr>
            </w:pPr>
            <w:r w:rsidRPr="003F45EA">
              <w:rPr>
                <w:sz w:val="20"/>
                <w:szCs w:val="20"/>
                <w:lang w:val="en-GB"/>
              </w:rPr>
              <w:t>0.282</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proofErr w:type="spellStart"/>
            <w:r w:rsidRPr="003F45EA">
              <w:rPr>
                <w:color w:val="000000"/>
                <w:sz w:val="20"/>
                <w:szCs w:val="20"/>
                <w:lang w:val="en-GB"/>
              </w:rPr>
              <w:t>Charlson</w:t>
            </w:r>
            <w:proofErr w:type="spellEnd"/>
            <w:r w:rsidRPr="003F45EA">
              <w:rPr>
                <w:color w:val="000000"/>
                <w:sz w:val="20"/>
                <w:szCs w:val="20"/>
                <w:lang w:val="en-GB"/>
              </w:rPr>
              <w:t xml:space="preserve"> Comorbidity Index</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3.16</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themeColor="text1"/>
                <w:sz w:val="20"/>
                <w:szCs w:val="20"/>
                <w:lang w:val="en-GB"/>
              </w:rPr>
              <w:t>4.31</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0.433</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4.98</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4.25</w:t>
            </w:r>
          </w:p>
        </w:tc>
        <w:tc>
          <w:tcPr>
            <w:tcW w:w="150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-27.4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0.051</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Pr>
                <w:color w:val="000000"/>
                <w:sz w:val="20"/>
                <w:szCs w:val="20"/>
                <w:lang w:val="en-GB"/>
              </w:rPr>
              <w:t>Generalised</w:t>
            </w:r>
            <w:r w:rsidRPr="003F45EA">
              <w:rPr>
                <w:color w:val="000000"/>
                <w:sz w:val="20"/>
                <w:szCs w:val="20"/>
                <w:lang w:val="en-GB"/>
              </w:rPr>
              <w:t xml:space="preserve"> Malignancy</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0.13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themeColor="text1"/>
                <w:sz w:val="20"/>
                <w:szCs w:val="20"/>
                <w:lang w:val="en-GB"/>
              </w:rPr>
              <w:t>0.08</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-0.155</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0.137</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0.111</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0.085</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-8.3</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0.512</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Immunosuppression</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0.12</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0.13</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-0.054</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0.585</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0.170</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0.119</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-15.4</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0.268</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Acute Kidney Disease</w:t>
            </w:r>
          </w:p>
        </w:tc>
        <w:tc>
          <w:tcPr>
            <w:tcW w:w="1317"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0.24</w:t>
            </w:r>
          </w:p>
        </w:tc>
        <w:tc>
          <w:tcPr>
            <w:tcW w:w="1252"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0.35</w:t>
            </w:r>
          </w:p>
        </w:tc>
        <w:tc>
          <w:tcPr>
            <w:tcW w:w="1421"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0.245</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0.009</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0.341</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0.341</w:t>
            </w:r>
          </w:p>
        </w:tc>
        <w:tc>
          <w:tcPr>
            <w:tcW w:w="150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w:t>
            </w:r>
          </w:p>
        </w:tc>
        <w:tc>
          <w:tcPr>
            <w:tcW w:w="92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1.00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Chronic Kidney Disease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0.07</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0.18</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0.334</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0.213</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0.171</w:t>
            </w:r>
          </w:p>
        </w:tc>
        <w:tc>
          <w:tcPr>
            <w:tcW w:w="150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-12.9</w:t>
            </w:r>
          </w:p>
        </w:tc>
        <w:tc>
          <w:tcPr>
            <w:tcW w:w="92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0.409</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Transplanted</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-0.032</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0.748</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0.017</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0.025</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5.2</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0.653</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Autoimmune Disease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0.054</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0.554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0.042</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0.042</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FF0000"/>
                <w:sz w:val="20"/>
                <w:szCs w:val="20"/>
                <w:lang w:val="en-GB"/>
              </w:rPr>
            </w:pPr>
            <w:r w:rsidRPr="003F45EA">
              <w:rPr>
                <w:sz w:val="20"/>
                <w:szCs w:val="20"/>
                <w:lang w:val="en-GB"/>
              </w:rPr>
              <w:t>1.00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SAPS II</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30.37</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30.69</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0.024</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0.802</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31.61</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30.79</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-6.2</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0.627</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SOFA</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4.84</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4.95</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0.031</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0.753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4.74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4.97</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6.6</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0.590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Creatinine at day 1</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1.43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1.99</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0.272</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1.73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1.91</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8.3</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0.508</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GCS on day 1</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13.78</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13.90</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0.045</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0.655</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13.88</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13.94</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-2.0</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0.869</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Temperature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37.07</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37.00</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-0.113</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0.256</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37.003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37</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-0.7</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0.960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Viral Pneumonia</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0.07</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FF0000"/>
                <w:sz w:val="20"/>
                <w:szCs w:val="20"/>
                <w:lang w:val="en-GB"/>
              </w:rPr>
            </w:pPr>
            <w:r w:rsidRPr="003F45EA">
              <w:rPr>
                <w:sz w:val="20"/>
                <w:szCs w:val="20"/>
                <w:lang w:val="en-GB"/>
              </w:rPr>
              <w:t>0.121</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0.170</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0.042</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0.059</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7.2</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0.555</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ARDS</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0.57</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0.201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color w:val="FF0000"/>
                <w:sz w:val="20"/>
                <w:szCs w:val="20"/>
                <w:lang w:val="en-GB"/>
              </w:rPr>
            </w:pPr>
            <w:r w:rsidRPr="003F45EA">
              <w:rPr>
                <w:sz w:val="20"/>
                <w:szCs w:val="20"/>
                <w:lang w:val="en-GB"/>
              </w:rPr>
              <w:t>0.039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0.564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0.572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1.7</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0.896</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1020"/>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b/>
                <w:bCs/>
                <w:color w:val="000000"/>
                <w:sz w:val="20"/>
                <w:szCs w:val="20"/>
                <w:lang w:val="en-GB"/>
              </w:rPr>
              <w:t>Age group: 56-75 years old (n=1959), mean in treated vs. untreated</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No statin, (n=1347)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b/>
                <w:bCs/>
                <w:sz w:val="20"/>
                <w:szCs w:val="20"/>
                <w:lang w:val="en-GB"/>
              </w:rPr>
            </w:pPr>
            <w:r w:rsidRPr="003F45EA">
              <w:rPr>
                <w:b/>
                <w:bCs/>
                <w:color w:val="000000"/>
                <w:sz w:val="20"/>
                <w:szCs w:val="20"/>
                <w:lang w:val="en-GB"/>
              </w:rPr>
              <w:t>Statin,</w:t>
            </w:r>
          </w:p>
          <w:p w:rsidR="00E459A6" w:rsidRPr="003F45EA" w:rsidRDefault="00E459A6" w:rsidP="00AC6130">
            <w:pPr>
              <w:jc w:val="center"/>
              <w:rPr>
                <w:sz w:val="20"/>
                <w:szCs w:val="20"/>
                <w:lang w:val="en-GB"/>
              </w:rPr>
            </w:pPr>
            <w:r w:rsidRPr="003F45EA">
              <w:rPr>
                <w:b/>
                <w:bCs/>
                <w:color w:val="000000"/>
                <w:sz w:val="20"/>
                <w:szCs w:val="20"/>
                <w:lang w:val="en-GB"/>
              </w:rPr>
              <w:t>(n= 612)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p-value</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No statin, (n=1347)</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b/>
                <w:bCs/>
                <w:color w:val="000000"/>
                <w:sz w:val="20"/>
                <w:szCs w:val="20"/>
                <w:lang w:val="en-GB"/>
              </w:rPr>
              <w:t>Statin, (n=612)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b/>
                <w:bCs/>
                <w:color w:val="000000"/>
                <w:sz w:val="20"/>
                <w:szCs w:val="20"/>
                <w:lang w:val="en-GB"/>
              </w:rPr>
              <w:t>Standardised differences</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E459A6" w:rsidRDefault="00E459A6" w:rsidP="00AC6130">
            <w:pPr>
              <w:jc w:val="center"/>
              <w:rPr>
                <w:sz w:val="20"/>
                <w:szCs w:val="20"/>
                <w:lang w:val="en-GB"/>
              </w:rPr>
            </w:pPr>
            <w:r w:rsidRPr="00E459A6">
              <w:rPr>
                <w:b/>
                <w:bCs/>
                <w:color w:val="000000"/>
                <w:sz w:val="20"/>
                <w:szCs w:val="20"/>
                <w:lang w:val="en-GB"/>
              </w:rPr>
              <w:t>p-value</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Age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65.35</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66.45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0.194</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66.35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66.42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1.1</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0.850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proofErr w:type="spellStart"/>
            <w:r w:rsidRPr="003F45EA">
              <w:rPr>
                <w:color w:val="000000"/>
                <w:sz w:val="20"/>
                <w:szCs w:val="20"/>
                <w:lang w:val="en-GB"/>
              </w:rPr>
              <w:t>Charlson</w:t>
            </w:r>
            <w:proofErr w:type="spellEnd"/>
            <w:r w:rsidRPr="003F45EA">
              <w:rPr>
                <w:color w:val="000000"/>
                <w:sz w:val="20"/>
                <w:szCs w:val="20"/>
                <w:lang w:val="en-GB"/>
              </w:rPr>
              <w:t xml:space="preserve"> Comorbidity Index</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5.64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6.38</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0.284</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6.33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6.36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1.1</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E459A6" w:rsidRDefault="00E459A6" w:rsidP="00AC6130">
            <w:pPr>
              <w:jc w:val="center"/>
              <w:rPr>
                <w:sz w:val="20"/>
                <w:szCs w:val="20"/>
                <w:lang w:val="en-GB"/>
              </w:rPr>
            </w:pPr>
            <w:r w:rsidRPr="00E459A6">
              <w:rPr>
                <w:sz w:val="20"/>
                <w:szCs w:val="20"/>
                <w:lang w:val="en-GB"/>
              </w:rPr>
              <w:t>0.851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Pr>
                <w:color w:val="000000"/>
                <w:sz w:val="20"/>
                <w:szCs w:val="20"/>
                <w:lang w:val="en-GB"/>
              </w:rPr>
              <w:lastRenderedPageBreak/>
              <w:t>Generalised</w:t>
            </w:r>
            <w:r w:rsidRPr="003F45EA">
              <w:rPr>
                <w:color w:val="000000"/>
                <w:sz w:val="20"/>
                <w:szCs w:val="20"/>
                <w:lang w:val="en-GB"/>
              </w:rPr>
              <w:t xml:space="preserve"> Malignancy</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-0.231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0.144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0.150</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1.7</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0.747</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Immunosuppression</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-0.100</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0.047</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0.627</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Acute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0.39</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0.111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1.00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Chronic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0.16</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0.208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0.252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0.245</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-1.6</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0.791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Transplanted</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0.999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0.315</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Autoimmune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-0.043</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4.6</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0.363</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SAPS II</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39.19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39.43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0.019</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39.85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39.42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0.555</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SOFA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5.11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5.27</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0.047</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0.335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5.40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5.26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0.450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Creatinine at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1.46</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1.86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0.246</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1.92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1.84</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-4.4</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0.513</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GCS on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13.81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13.80</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-0.005</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0.909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13.49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13.79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11.6</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0.055</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Temperature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36.90</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36.92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0.034</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0.483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36.91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36.91</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1.0</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0.853</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Viral Pneumonia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0.019</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0.696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-2.6</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0.668</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ARDS</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0.50</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0.062</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0.202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0.495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0.526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0.277</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912"/>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b/>
                <w:bCs/>
                <w:color w:val="000000"/>
                <w:sz w:val="20"/>
                <w:szCs w:val="20"/>
                <w:lang w:val="en-GB"/>
              </w:rPr>
              <w:t>Age group: &gt;75 years old (n=1483), mean in treated vs. untreated</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No statin, (n=1009)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b/>
                <w:bCs/>
                <w:sz w:val="20"/>
                <w:szCs w:val="20"/>
                <w:lang w:val="en-GB"/>
              </w:rPr>
            </w:pPr>
            <w:r w:rsidRPr="003F45EA">
              <w:rPr>
                <w:b/>
                <w:bCs/>
                <w:color w:val="000000"/>
                <w:sz w:val="20"/>
                <w:szCs w:val="20"/>
                <w:lang w:val="en-GB"/>
              </w:rPr>
              <w:t>Statin,</w:t>
            </w:r>
          </w:p>
          <w:p w:rsidR="00E459A6" w:rsidRPr="003F45EA" w:rsidRDefault="00E459A6" w:rsidP="00AC6130">
            <w:pPr>
              <w:jc w:val="center"/>
              <w:rPr>
                <w:sz w:val="20"/>
                <w:szCs w:val="20"/>
                <w:lang w:val="en-GB"/>
              </w:rPr>
            </w:pPr>
            <w:r w:rsidRPr="003F45EA">
              <w:rPr>
                <w:b/>
                <w:bCs/>
                <w:color w:val="000000"/>
                <w:sz w:val="20"/>
                <w:szCs w:val="20"/>
                <w:lang w:val="en-GB"/>
              </w:rPr>
              <w:t>(n=474)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p-value</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No statin, (n=1009)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Statin, (n=474)</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color w:val="000000"/>
                <w:sz w:val="20"/>
                <w:szCs w:val="20"/>
                <w:lang w:val="en-GB"/>
              </w:rPr>
              <w:t>p-value</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Age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83.49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83.88</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-0.130</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82.6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82.8</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0.313</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proofErr w:type="spellStart"/>
            <w:r w:rsidRPr="003F45EA">
              <w:rPr>
                <w:color w:val="000000"/>
                <w:sz w:val="20"/>
                <w:szCs w:val="20"/>
                <w:lang w:val="en-GB"/>
              </w:rPr>
              <w:t>Charlson</w:t>
            </w:r>
            <w:proofErr w:type="spellEnd"/>
            <w:r w:rsidRPr="003F45EA">
              <w:rPr>
                <w:color w:val="000000"/>
                <w:sz w:val="20"/>
                <w:szCs w:val="20"/>
                <w:lang w:val="en-GB"/>
              </w:rPr>
              <w:t xml:space="preserve"> Comorbidity Index</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6.91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7.80</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0.382</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0.540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Pr>
                <w:color w:val="000000"/>
                <w:sz w:val="20"/>
                <w:szCs w:val="20"/>
                <w:lang w:val="en-GB"/>
              </w:rPr>
              <w:t>Generalised</w:t>
            </w:r>
            <w:r w:rsidRPr="003F45EA">
              <w:rPr>
                <w:color w:val="000000"/>
                <w:sz w:val="20"/>
                <w:szCs w:val="20"/>
                <w:lang w:val="en-GB"/>
              </w:rPr>
              <w:t xml:space="preserve"> Malignancy</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-0.047</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0.403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0.847</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Immunosuppression</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0.361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0.826</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Acute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-0.017</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0.755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0.555</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Chronic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0.26</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0.40</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0.295</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-1.8</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0.791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Autoimmune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-0.019</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0.736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1.8</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0.762</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SAPS II</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45.35</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44.04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-0.106</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45.26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44.07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-9.5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SOFA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5.33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4.94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-0.126</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5.38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4.94</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-14.2</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0.022</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Creatinine at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1.51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1.64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0.106</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1.59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1.62</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0.694</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lastRenderedPageBreak/>
              <w:t>GCS on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13.12</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13.56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0.158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13.41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13.56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5.4</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0.379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Temperature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36.77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36.78</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0.844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36.75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36.77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4.8</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0.437</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Viral Pneumonia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0.045</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0.412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0.040</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5.7</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0.376</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ARDS</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-0.055</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0.311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0.449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0.459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2.1</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0.744</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12727" w:type="dxa"/>
            <w:gridSpan w:val="9"/>
            <w:tcBorders>
              <w:top w:val="single" w:sz="6" w:space="0" w:color="auto"/>
              <w:left w:val="single" w:sz="4" w:space="0" w:color="auto"/>
              <w:bottom w:val="single" w:sz="4" w:space="0" w:color="auto"/>
              <w:right w:val="single" w:sz="4" w:space="0" w:color="auto"/>
            </w:tcBorders>
            <w:shd w:val="clear" w:color="auto" w:fill="auto"/>
            <w:vAlign w:val="center"/>
          </w:tcPr>
          <w:p w:rsidR="00E459A6" w:rsidRPr="003F45EA" w:rsidRDefault="00E459A6" w:rsidP="00AC6130">
            <w:pPr>
              <w:spacing w:before="240" w:after="240"/>
              <w:rPr>
                <w:b/>
                <w:bCs/>
                <w:color w:val="000000" w:themeColor="text1"/>
                <w:lang w:val="en-GB"/>
              </w:rPr>
            </w:pPr>
            <w:r w:rsidRPr="003F45EA">
              <w:rPr>
                <w:b/>
                <w:bCs/>
                <w:color w:val="000000" w:themeColor="text1"/>
                <w:lang w:val="en-GB"/>
              </w:rPr>
              <w:t xml:space="preserve">Abbreviations: </w:t>
            </w:r>
            <w:r w:rsidRPr="003F45EA">
              <w:rPr>
                <w:color w:val="000000" w:themeColor="text1"/>
                <w:lang w:val="en-GB"/>
              </w:rPr>
              <w:t xml:space="preserve">Simplified Acute Physiology Score II (SAPS II), Sequential Organ Failure Assessment score (SOFA), Glasgow Coma Scale (GCS), </w:t>
            </w:r>
            <w:proofErr w:type="gramStart"/>
            <w:r w:rsidRPr="003F45EA">
              <w:rPr>
                <w:color w:val="000000" w:themeColor="text1"/>
                <w:lang w:val="en-GB"/>
              </w:rPr>
              <w:t>Acute Respiratory Distress Syndrome</w:t>
            </w:r>
            <w:proofErr w:type="gramEnd"/>
            <w:r w:rsidRPr="003F45EA">
              <w:rPr>
                <w:color w:val="000000" w:themeColor="text1"/>
                <w:lang w:val="en-GB"/>
              </w:rPr>
              <w:t xml:space="preserve"> (ARDS).</w:t>
            </w:r>
          </w:p>
        </w:tc>
        <w:tc>
          <w:tcPr>
            <w:tcW w:w="303" w:type="dxa"/>
            <w:vAlign w:val="center"/>
          </w:tcPr>
          <w:p w:rsidR="00E459A6" w:rsidRPr="003F45EA" w:rsidRDefault="00E459A6" w:rsidP="00AC6130">
            <w:pPr>
              <w:jc w:val="center"/>
              <w:rPr>
                <w:sz w:val="20"/>
                <w:szCs w:val="20"/>
                <w:lang w:val="en-GB"/>
              </w:rPr>
            </w:pPr>
          </w:p>
        </w:tc>
      </w:tr>
    </w:tbl>
    <w:p w:rsidR="00E459A6" w:rsidRPr="003F45EA" w:rsidRDefault="00E459A6" w:rsidP="00E459A6">
      <w:pPr>
        <w:spacing w:before="240" w:after="240" w:line="480" w:lineRule="auto"/>
        <w:rPr>
          <w:b/>
          <w:bCs/>
          <w:color w:val="000000" w:themeColor="text1"/>
          <w:lang w:val="en-GB"/>
        </w:rPr>
        <w:sectPr w:rsidR="00E459A6" w:rsidRPr="003F45EA" w:rsidSect="0087162B">
          <w:pgSz w:w="15840" w:h="12240" w:orient="landscape"/>
          <w:pgMar w:top="1440" w:right="1440" w:bottom="1440" w:left="1440" w:header="720" w:footer="720" w:gutter="0"/>
          <w:cols w:space="720"/>
          <w:docGrid w:linePitch="360"/>
        </w:sectPr>
      </w:pPr>
    </w:p>
    <w:p w:rsidR="00E459A6" w:rsidRPr="003F45EA" w:rsidRDefault="00E459A6" w:rsidP="00E459A6">
      <w:pPr>
        <w:spacing w:before="240" w:after="240" w:line="480" w:lineRule="auto"/>
        <w:rPr>
          <w:lang w:val="en-GB"/>
        </w:rPr>
      </w:pPr>
      <w:r w:rsidRPr="003F45EA">
        <w:rPr>
          <w:b/>
          <w:bCs/>
          <w:lang w:val="en-GB"/>
        </w:rPr>
        <w:lastRenderedPageBreak/>
        <w:t xml:space="preserve">Supplementary Table 3. </w:t>
      </w:r>
      <w:r w:rsidRPr="003F45EA">
        <w:rPr>
          <w:rFonts w:eastAsiaTheme="majorEastAsia"/>
          <w:color w:val="000000"/>
          <w:lang w:val="en-GB"/>
        </w:rPr>
        <w:t>Sensitivity Analysis: Estimates of Treatment Effects on Mortality</w:t>
      </w:r>
    </w:p>
    <w:tbl>
      <w:tblPr>
        <w:tblW w:w="12476" w:type="dxa"/>
        <w:tblLook w:val="04A0" w:firstRow="1" w:lastRow="0" w:firstColumn="1" w:lastColumn="0" w:noHBand="0" w:noVBand="1"/>
      </w:tblPr>
      <w:tblGrid>
        <w:gridCol w:w="3690"/>
        <w:gridCol w:w="1408"/>
        <w:gridCol w:w="1867"/>
        <w:gridCol w:w="1638"/>
        <w:gridCol w:w="1638"/>
        <w:gridCol w:w="2235"/>
      </w:tblGrid>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Method</w:t>
            </w:r>
          </w:p>
        </w:tc>
        <w:tc>
          <w:tcPr>
            <w:tcW w:w="1408"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ATE</w:t>
            </w:r>
          </w:p>
        </w:tc>
        <w:tc>
          <w:tcPr>
            <w:tcW w:w="1867"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 xml:space="preserve">Standard Error </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z Value</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p Value</w:t>
            </w: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95% CI</w:t>
            </w:r>
          </w:p>
        </w:tc>
      </w:tr>
      <w:tr w:rsidR="00E459A6" w:rsidRPr="003F45EA" w:rsidTr="00AC6130">
        <w:trPr>
          <w:trHeight w:val="338"/>
        </w:trPr>
        <w:tc>
          <w:tcPr>
            <w:tcW w:w="124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b/>
                <w:bCs/>
                <w:color w:val="000000"/>
                <w:sz w:val="20"/>
                <w:szCs w:val="20"/>
                <w:lang w:val="en-GB"/>
              </w:rPr>
              <w:t>Age group: 18-55 years old (n=1011)</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Propensity Score Matching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-0.008</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0.054</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-0.16</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0.871</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[-0.116, 0.098]</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Inverse-Probability Weighting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0.023</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0.049</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0.47</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0.638</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[-0.073, 0.119]</w:t>
            </w:r>
          </w:p>
        </w:tc>
      </w:tr>
      <w:tr w:rsidR="00E459A6" w:rsidRPr="003F45EA" w:rsidTr="00AC6130">
        <w:trPr>
          <w:trHeight w:val="338"/>
        </w:trPr>
        <w:tc>
          <w:tcPr>
            <w:tcW w:w="12476" w:type="dxa"/>
            <w:gridSpan w:val="6"/>
            <w:tcBorders>
              <w:top w:val="single" w:sz="4" w:space="0" w:color="auto"/>
              <w:left w:val="single" w:sz="4" w:space="0" w:color="auto"/>
              <w:bottom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b/>
                <w:bCs/>
                <w:color w:val="000000"/>
                <w:sz w:val="20"/>
                <w:szCs w:val="20"/>
                <w:lang w:val="en-GB"/>
              </w:rPr>
              <w:t>Age group:  56-75 years old (n=1959)</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Propensity Score Matching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-0.102</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0.028</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-3.53</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&lt;0.001</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[-0.158, -0.045]</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Inverse-Probability Weighting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-0.093</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0.023</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-4.00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&lt;0.001</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[-0.139, -0.047]</w:t>
            </w:r>
          </w:p>
        </w:tc>
      </w:tr>
      <w:tr w:rsidR="00E459A6" w:rsidRPr="003F45EA" w:rsidTr="00AC6130">
        <w:trPr>
          <w:trHeight w:val="338"/>
        </w:trPr>
        <w:tc>
          <w:tcPr>
            <w:tcW w:w="124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b/>
                <w:bCs/>
                <w:color w:val="000000"/>
                <w:sz w:val="20"/>
                <w:szCs w:val="20"/>
                <w:lang w:val="en-GB"/>
              </w:rPr>
              <w:t>Age group: &gt;75 years old (n=)</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Propensity Score Matching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-0.119</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0.031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-3.81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&lt;0.001</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[-0.180, -0.057]</w:t>
            </w:r>
          </w:p>
        </w:tc>
      </w:tr>
      <w:tr w:rsidR="00E459A6" w:rsidRPr="003F45EA" w:rsidTr="00AC6130">
        <w:trPr>
          <w:trHeight w:val="338"/>
        </w:trPr>
        <w:tc>
          <w:tcPr>
            <w:tcW w:w="3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Inverse-Probability Weighting</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-0.107</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0.027</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-3.92</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&lt;0.001</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[-0.161, -0.053]</w:t>
            </w:r>
          </w:p>
        </w:tc>
      </w:tr>
      <w:tr w:rsidR="00E459A6" w:rsidRPr="003F45EA" w:rsidTr="00AC6130">
        <w:trPr>
          <w:trHeight w:val="318"/>
        </w:trPr>
        <w:tc>
          <w:tcPr>
            <w:tcW w:w="12476" w:type="dxa"/>
            <w:gridSpan w:val="6"/>
            <w:tcBorders>
              <w:top w:val="single" w:sz="4" w:space="0" w:color="auto"/>
            </w:tcBorders>
            <w:shd w:val="clear" w:color="auto" w:fill="auto"/>
            <w:noWrap/>
            <w:vAlign w:val="center"/>
          </w:tcPr>
          <w:p w:rsidR="00E459A6" w:rsidRPr="003F45EA" w:rsidRDefault="00E459A6" w:rsidP="00AC6130">
            <w:pPr>
              <w:spacing w:before="240" w:after="240" w:line="480" w:lineRule="auto"/>
              <w:rPr>
                <w:color w:val="000000" w:themeColor="text1"/>
                <w:lang w:val="en-GB"/>
              </w:rPr>
            </w:pPr>
            <w:r w:rsidRPr="003F45EA">
              <w:rPr>
                <w:b/>
                <w:bCs/>
                <w:color w:val="000000" w:themeColor="text1"/>
                <w:lang w:val="en-GB"/>
              </w:rPr>
              <w:t xml:space="preserve">Abbreviations: </w:t>
            </w:r>
            <w:r w:rsidRPr="003F45EA">
              <w:rPr>
                <w:color w:val="000000" w:themeColor="text1"/>
                <w:lang w:val="en-GB"/>
              </w:rPr>
              <w:t>Average Treatment Effect (ATE), Confidence Intervale (CI).</w:t>
            </w:r>
          </w:p>
        </w:tc>
      </w:tr>
    </w:tbl>
    <w:p w:rsidR="00E459A6" w:rsidRPr="003F45EA" w:rsidRDefault="00E459A6" w:rsidP="00E459A6">
      <w:pPr>
        <w:spacing w:before="240" w:after="240" w:line="480" w:lineRule="auto"/>
        <w:rPr>
          <w:b/>
          <w:bCs/>
          <w:color w:val="000000" w:themeColor="text1"/>
          <w:lang w:val="en-GB"/>
        </w:rPr>
        <w:sectPr w:rsidR="00E459A6" w:rsidRPr="003F45EA" w:rsidSect="0052213E">
          <w:pgSz w:w="15840" w:h="12240" w:orient="landscape"/>
          <w:pgMar w:top="1440" w:right="1440" w:bottom="1440" w:left="1440" w:header="720" w:footer="720" w:gutter="0"/>
          <w:cols w:space="720"/>
          <w:docGrid w:linePitch="360"/>
        </w:sectPr>
      </w:pPr>
    </w:p>
    <w:p w:rsidR="00E459A6" w:rsidRPr="003F45EA" w:rsidRDefault="00E459A6" w:rsidP="00E459A6">
      <w:pPr>
        <w:pStyle w:val="paragraph"/>
        <w:spacing w:before="0" w:beforeAutospacing="0" w:after="0" w:afterAutospacing="0"/>
        <w:textAlignment w:val="baseline"/>
        <w:rPr>
          <w:rStyle w:val="eop"/>
          <w:rFonts w:eastAsiaTheme="majorEastAsia"/>
          <w:color w:val="000000"/>
          <w:lang w:val="en-GB"/>
        </w:rPr>
      </w:pPr>
      <w:r w:rsidRPr="003F45EA">
        <w:rPr>
          <w:rStyle w:val="normaltextrun"/>
          <w:rFonts w:eastAsiaTheme="majorEastAsia"/>
          <w:b/>
          <w:bCs/>
          <w:color w:val="000000"/>
          <w:lang w:val="en-GB"/>
        </w:rPr>
        <w:lastRenderedPageBreak/>
        <w:t xml:space="preserve">Supplementary Table 4. </w:t>
      </w:r>
      <w:r w:rsidRPr="003F45EA">
        <w:rPr>
          <w:rStyle w:val="eop"/>
          <w:rFonts w:eastAsiaTheme="majorEastAsia"/>
          <w:color w:val="000000"/>
          <w:lang w:val="en-GB"/>
        </w:rPr>
        <w:t>Sensitivity Analysis of Statin and Macrolide Use and Its Association with Mortality</w:t>
      </w:r>
    </w:p>
    <w:p w:rsidR="00E459A6" w:rsidRPr="003F45EA" w:rsidRDefault="00E459A6" w:rsidP="00E459A6">
      <w:pPr>
        <w:pStyle w:val="paragraph"/>
        <w:spacing w:before="0" w:beforeAutospacing="0" w:after="0" w:afterAutospacing="0"/>
        <w:textAlignment w:val="baseline"/>
        <w:rPr>
          <w:rStyle w:val="eop"/>
          <w:rFonts w:eastAsiaTheme="majorEastAsia"/>
          <w:color w:val="000000"/>
          <w:lang w:val="en-GB"/>
        </w:rPr>
      </w:pPr>
    </w:p>
    <w:tbl>
      <w:tblPr>
        <w:tblW w:w="13030" w:type="dxa"/>
        <w:tblLook w:val="04A0" w:firstRow="1" w:lastRow="0" w:firstColumn="1" w:lastColumn="0" w:noHBand="0" w:noVBand="1"/>
      </w:tblPr>
      <w:tblGrid>
        <w:gridCol w:w="2548"/>
        <w:gridCol w:w="1317"/>
        <w:gridCol w:w="1252"/>
        <w:gridCol w:w="1421"/>
        <w:gridCol w:w="1065"/>
        <w:gridCol w:w="1346"/>
        <w:gridCol w:w="1346"/>
        <w:gridCol w:w="1506"/>
        <w:gridCol w:w="926"/>
        <w:gridCol w:w="303"/>
      </w:tblGrid>
      <w:tr w:rsidR="00E459A6" w:rsidRPr="003F45EA" w:rsidTr="00AC6130">
        <w:trPr>
          <w:gridAfter w:val="1"/>
          <w:wAfter w:w="303" w:type="dxa"/>
          <w:trHeight w:val="330"/>
        </w:trPr>
        <w:tc>
          <w:tcPr>
            <w:tcW w:w="2548" w:type="dxa"/>
            <w:vMerge w:val="restart"/>
            <w:tcBorders>
              <w:top w:val="single" w:sz="4" w:space="0" w:color="auto"/>
              <w:left w:val="single" w:sz="4"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sz w:val="20"/>
                <w:szCs w:val="20"/>
                <w:lang w:val="en-GB"/>
              </w:rPr>
              <w:t xml:space="preserve">Macrolide antibiotics = 1 (n=1458), </w:t>
            </w:r>
            <w:r w:rsidRPr="003F45EA">
              <w:rPr>
                <w:b/>
                <w:bCs/>
                <w:color w:val="000000"/>
                <w:sz w:val="20"/>
                <w:szCs w:val="20"/>
                <w:lang w:val="en-GB"/>
              </w:rPr>
              <w:t>mean in treated vs. untreated</w:t>
            </w:r>
          </w:p>
        </w:tc>
        <w:tc>
          <w:tcPr>
            <w:tcW w:w="5055" w:type="dxa"/>
            <w:gridSpan w:val="4"/>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Unmatched cohort</w:t>
            </w:r>
          </w:p>
        </w:tc>
        <w:tc>
          <w:tcPr>
            <w:tcW w:w="5124" w:type="dxa"/>
            <w:gridSpan w:val="4"/>
            <w:tcBorders>
              <w:top w:val="single" w:sz="4" w:space="0" w:color="auto"/>
              <w:left w:val="single" w:sz="6" w:space="0" w:color="auto"/>
              <w:bottom w:val="single" w:sz="6" w:space="0" w:color="auto"/>
              <w:right w:val="single" w:sz="4" w:space="0" w:color="auto"/>
            </w:tcBorders>
            <w:shd w:val="clear" w:color="auto" w:fill="auto"/>
            <w:noWrap/>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Matched cohort</w:t>
            </w:r>
          </w:p>
        </w:tc>
      </w:tr>
      <w:tr w:rsidR="00E459A6" w:rsidRPr="003F45EA" w:rsidTr="00AC6130">
        <w:trPr>
          <w:gridAfter w:val="1"/>
          <w:wAfter w:w="303" w:type="dxa"/>
          <w:trHeight w:val="702"/>
        </w:trPr>
        <w:tc>
          <w:tcPr>
            <w:tcW w:w="2548" w:type="dxa"/>
            <w:vMerge/>
            <w:tcBorders>
              <w:top w:val="single" w:sz="6" w:space="0" w:color="auto"/>
              <w:left w:val="single" w:sz="4"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No statin, (n=430)</w:t>
            </w:r>
          </w:p>
        </w:tc>
        <w:tc>
          <w:tcPr>
            <w:tcW w:w="125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sz w:val="20"/>
                <w:szCs w:val="20"/>
                <w:lang w:val="en-GB"/>
              </w:rPr>
            </w:pPr>
            <w:r w:rsidRPr="003F45EA">
              <w:rPr>
                <w:b/>
                <w:bCs/>
                <w:color w:val="000000"/>
                <w:sz w:val="20"/>
                <w:szCs w:val="20"/>
                <w:lang w:val="en-GB"/>
              </w:rPr>
              <w:t>Statin,</w:t>
            </w:r>
          </w:p>
          <w:p w:rsidR="00E459A6" w:rsidRPr="003F45EA" w:rsidRDefault="00E459A6" w:rsidP="00AC6130">
            <w:pPr>
              <w:jc w:val="center"/>
              <w:rPr>
                <w:b/>
                <w:bCs/>
                <w:color w:val="000000"/>
                <w:sz w:val="20"/>
                <w:szCs w:val="20"/>
                <w:lang w:val="en-GB"/>
              </w:rPr>
            </w:pPr>
            <w:r w:rsidRPr="003F45EA">
              <w:rPr>
                <w:b/>
                <w:bCs/>
                <w:color w:val="000000"/>
                <w:sz w:val="20"/>
                <w:szCs w:val="20"/>
                <w:lang w:val="en-GB"/>
              </w:rPr>
              <w:t>(n= 1028)</w:t>
            </w:r>
          </w:p>
        </w:tc>
        <w:tc>
          <w:tcPr>
            <w:tcW w:w="14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10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p-value</w:t>
            </w:r>
          </w:p>
        </w:tc>
        <w:tc>
          <w:tcPr>
            <w:tcW w:w="13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No statin, (n=430)</w:t>
            </w:r>
          </w:p>
        </w:tc>
        <w:tc>
          <w:tcPr>
            <w:tcW w:w="13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Statin, (n=1028)</w:t>
            </w:r>
          </w:p>
        </w:tc>
        <w:tc>
          <w:tcPr>
            <w:tcW w:w="150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b/>
                <w:bCs/>
                <w:color w:val="000000"/>
                <w:sz w:val="20"/>
                <w:szCs w:val="20"/>
                <w:lang w:val="en-GB"/>
              </w:rPr>
            </w:pPr>
            <w:r>
              <w:rPr>
                <w:b/>
                <w:bCs/>
                <w:color w:val="000000"/>
                <w:sz w:val="20"/>
                <w:szCs w:val="20"/>
                <w:lang w:val="en-GB"/>
              </w:rPr>
              <w:t>Standardised</w:t>
            </w:r>
            <w:r w:rsidRPr="003F45EA">
              <w:rPr>
                <w:b/>
                <w:bCs/>
                <w:color w:val="000000"/>
                <w:sz w:val="20"/>
                <w:szCs w:val="20"/>
                <w:lang w:val="en-GB"/>
              </w:rPr>
              <w:t xml:space="preserve"> differences</w:t>
            </w:r>
          </w:p>
        </w:tc>
        <w:tc>
          <w:tcPr>
            <w:tcW w:w="926" w:type="dxa"/>
            <w:vMerge w:val="restart"/>
            <w:tcBorders>
              <w:top w:val="single" w:sz="6" w:space="0" w:color="auto"/>
              <w:left w:val="single" w:sz="6" w:space="0" w:color="auto"/>
              <w:bottom w:val="single" w:sz="6" w:space="0" w:color="auto"/>
              <w:right w:val="single" w:sz="4" w:space="0" w:color="auto"/>
            </w:tcBorders>
            <w:shd w:val="clear" w:color="auto" w:fill="auto"/>
            <w:vAlign w:val="center"/>
            <w:hideMark/>
          </w:tcPr>
          <w:p w:rsidR="00E459A6" w:rsidRPr="003F45EA" w:rsidRDefault="00E459A6" w:rsidP="00AC6130">
            <w:pPr>
              <w:jc w:val="center"/>
              <w:rPr>
                <w:b/>
                <w:bCs/>
                <w:color w:val="000000"/>
                <w:sz w:val="20"/>
                <w:szCs w:val="20"/>
                <w:lang w:val="en-GB"/>
              </w:rPr>
            </w:pPr>
            <w:r w:rsidRPr="003F45EA">
              <w:rPr>
                <w:b/>
                <w:bCs/>
                <w:color w:val="000000"/>
                <w:sz w:val="20"/>
                <w:szCs w:val="20"/>
                <w:lang w:val="en-GB"/>
              </w:rPr>
              <w:t>p-value</w:t>
            </w:r>
          </w:p>
        </w:tc>
      </w:tr>
      <w:tr w:rsidR="00E459A6" w:rsidRPr="003F45EA" w:rsidTr="00AC6130">
        <w:trPr>
          <w:trHeight w:val="57"/>
        </w:trPr>
        <w:tc>
          <w:tcPr>
            <w:tcW w:w="2548" w:type="dxa"/>
            <w:vMerge/>
            <w:tcBorders>
              <w:top w:val="single" w:sz="6" w:space="0" w:color="auto"/>
              <w:left w:val="single" w:sz="4"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17"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252"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065"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4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34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1506" w:type="dxa"/>
            <w:vMerge/>
            <w:tcBorders>
              <w:top w:val="single" w:sz="6" w:space="0" w:color="auto"/>
              <w:left w:val="single" w:sz="6" w:space="0" w:color="auto"/>
              <w:bottom w:val="single" w:sz="6" w:space="0" w:color="auto"/>
              <w:right w:val="single" w:sz="6" w:space="0" w:color="auto"/>
            </w:tcBorders>
            <w:vAlign w:val="center"/>
            <w:hideMark/>
          </w:tcPr>
          <w:p w:rsidR="00E459A6" w:rsidRPr="003F45EA" w:rsidRDefault="00E459A6" w:rsidP="00AC6130">
            <w:pPr>
              <w:jc w:val="center"/>
              <w:rPr>
                <w:b/>
                <w:bCs/>
                <w:color w:val="000000"/>
                <w:sz w:val="20"/>
                <w:szCs w:val="20"/>
                <w:lang w:val="en-GB"/>
              </w:rPr>
            </w:pPr>
          </w:p>
        </w:tc>
        <w:tc>
          <w:tcPr>
            <w:tcW w:w="926" w:type="dxa"/>
            <w:vMerge/>
            <w:tcBorders>
              <w:top w:val="single" w:sz="6" w:space="0" w:color="auto"/>
              <w:left w:val="single" w:sz="6" w:space="0" w:color="auto"/>
              <w:bottom w:val="single" w:sz="6" w:space="0" w:color="auto"/>
              <w:right w:val="single" w:sz="4" w:space="0" w:color="auto"/>
            </w:tcBorders>
            <w:vAlign w:val="center"/>
            <w:hideMark/>
          </w:tcPr>
          <w:p w:rsidR="00E459A6" w:rsidRPr="003F45EA" w:rsidRDefault="00E459A6" w:rsidP="00AC6130">
            <w:pPr>
              <w:jc w:val="center"/>
              <w:rPr>
                <w:b/>
                <w:bCs/>
                <w:color w:val="000000"/>
                <w:sz w:val="20"/>
                <w:szCs w:val="20"/>
                <w:lang w:val="en-GB"/>
              </w:rPr>
            </w:pPr>
          </w:p>
        </w:tc>
        <w:tc>
          <w:tcPr>
            <w:tcW w:w="303" w:type="dxa"/>
            <w:tcBorders>
              <w:top w:val="nil"/>
              <w:left w:val="single" w:sz="4" w:space="0" w:color="auto"/>
              <w:bottom w:val="nil"/>
              <w:right w:val="nil"/>
            </w:tcBorders>
            <w:shd w:val="clear" w:color="auto" w:fill="auto"/>
            <w:noWrap/>
            <w:vAlign w:val="center"/>
            <w:hideMark/>
          </w:tcPr>
          <w:p w:rsidR="00E459A6" w:rsidRPr="003F45EA" w:rsidRDefault="00E459A6" w:rsidP="00AC6130">
            <w:pPr>
              <w:jc w:val="center"/>
              <w:rPr>
                <w:b/>
                <w:bCs/>
                <w:color w:val="000000"/>
                <w:sz w:val="20"/>
                <w:szCs w:val="20"/>
                <w:lang w:val="en-GB"/>
              </w:rPr>
            </w:pPr>
          </w:p>
        </w:tc>
      </w:tr>
      <w:tr w:rsidR="00E459A6" w:rsidRPr="003F45EA" w:rsidTr="00AC6130">
        <w:trPr>
          <w:trHeight w:val="351"/>
        </w:trPr>
        <w:tc>
          <w:tcPr>
            <w:tcW w:w="2548" w:type="dxa"/>
            <w:tcBorders>
              <w:top w:val="single" w:sz="6" w:space="0" w:color="auto"/>
              <w:left w:val="single" w:sz="4" w:space="0" w:color="auto"/>
              <w:bottom w:val="single" w:sz="4" w:space="0" w:color="auto"/>
              <w:right w:val="single" w:sz="6"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Age</w:t>
            </w:r>
          </w:p>
        </w:tc>
        <w:tc>
          <w:tcPr>
            <w:tcW w:w="131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63.5</w:t>
            </w:r>
          </w:p>
        </w:tc>
        <w:tc>
          <w:tcPr>
            <w:tcW w:w="1252"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71.1</w:t>
            </w:r>
          </w:p>
        </w:tc>
        <w:tc>
          <w:tcPr>
            <w:tcW w:w="1421"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0.491</w:t>
            </w:r>
          </w:p>
        </w:tc>
        <w:tc>
          <w:tcPr>
            <w:tcW w:w="1065"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71</w:t>
            </w:r>
          </w:p>
        </w:tc>
        <w:tc>
          <w:tcPr>
            <w:tcW w:w="134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71.07</w:t>
            </w:r>
          </w:p>
        </w:tc>
        <w:tc>
          <w:tcPr>
            <w:tcW w:w="150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w:t>
            </w:r>
          </w:p>
        </w:tc>
        <w:tc>
          <w:tcPr>
            <w:tcW w:w="926" w:type="dxa"/>
            <w:tcBorders>
              <w:top w:val="single" w:sz="6" w:space="0" w:color="auto"/>
              <w:left w:val="single" w:sz="6"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0.943</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proofErr w:type="spellStart"/>
            <w:r w:rsidRPr="003F45EA">
              <w:rPr>
                <w:color w:val="000000"/>
                <w:sz w:val="20"/>
                <w:szCs w:val="20"/>
                <w:lang w:val="en-GB"/>
              </w:rPr>
              <w:t>Charlson</w:t>
            </w:r>
            <w:proofErr w:type="spellEnd"/>
            <w:r w:rsidRPr="003F45EA">
              <w:rPr>
                <w:color w:val="000000"/>
                <w:sz w:val="20"/>
                <w:szCs w:val="20"/>
                <w:lang w:val="en-GB"/>
              </w:rPr>
              <w:t xml:space="preserve"> Comorbidity Index</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5.10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6.80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0.605</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6.67</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6.76</w:t>
            </w:r>
          </w:p>
        </w:tc>
        <w:tc>
          <w:tcPr>
            <w:tcW w:w="150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3.5</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0.595</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Pr>
                <w:color w:val="000000"/>
                <w:sz w:val="20"/>
                <w:szCs w:val="20"/>
                <w:lang w:val="en-GB"/>
              </w:rPr>
              <w:t>Generalised</w:t>
            </w:r>
            <w:r w:rsidRPr="003F45EA">
              <w:rPr>
                <w:color w:val="000000"/>
                <w:sz w:val="20"/>
                <w:szCs w:val="20"/>
                <w:lang w:val="en-GB"/>
              </w:rPr>
              <w:t xml:space="preserve"> Malignancy</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-0.059</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0.314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0.086</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8.5</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0.173</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Immunosuppression</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0.11</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0.06</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-0.054</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0.003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0.067</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0.056</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-4.3</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0.479</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Acute Kidney Disease</w:t>
            </w:r>
          </w:p>
        </w:tc>
        <w:tc>
          <w:tcPr>
            <w:tcW w:w="1317"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0.35</w:t>
            </w:r>
          </w:p>
        </w:tc>
        <w:tc>
          <w:tcPr>
            <w:tcW w:w="1252"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0.45</w:t>
            </w:r>
          </w:p>
        </w:tc>
        <w:tc>
          <w:tcPr>
            <w:tcW w:w="1421"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0.213</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0.478</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0.450</w:t>
            </w:r>
          </w:p>
        </w:tc>
        <w:tc>
          <w:tcPr>
            <w:tcW w:w="150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-5.8</w:t>
            </w:r>
          </w:p>
        </w:tc>
        <w:tc>
          <w:tcPr>
            <w:tcW w:w="92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0.411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Chronic Kidney Disease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0.16</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0.33</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0.396</w:t>
            </w:r>
          </w:p>
        </w:tc>
        <w:tc>
          <w:tcPr>
            <w:tcW w:w="1065"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0.334</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0.331</w:t>
            </w:r>
          </w:p>
        </w:tc>
        <w:tc>
          <w:tcPr>
            <w:tcW w:w="150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w:t>
            </w:r>
          </w:p>
        </w:tc>
        <w:tc>
          <w:tcPr>
            <w:tcW w:w="92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0.942</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Transplanted</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0.01</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0.02</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0.048</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0.384</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0.025</w:t>
            </w:r>
          </w:p>
        </w:tc>
        <w:tc>
          <w:tcPr>
            <w:tcW w:w="1346"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0.018</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-5.6</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0.487</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Autoimmune Disease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0.01</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-0.094</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0.126</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0.014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0.014</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1.00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SAPS II</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36.31</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36.76</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0.199</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0.001</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39.13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39.30</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0.830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SOFA</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4.82</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4.92</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0.033</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0.567</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4.92</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4.92</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-0.1</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0.990</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Creatinine at day 1</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1.39</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1.84</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0.285</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1.85</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1.82</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-1.5</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0.851</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GCS on day 1</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13.86</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13.95</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0.038</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0.525</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13.63</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13.95</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14.2</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0.036</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Temperature</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36.93</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36.88</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-0.092</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0.120</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36.90</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36.88</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-3.2</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0.615</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nil"/>
              <w:left w:val="single" w:sz="4" w:space="0" w:color="auto"/>
              <w:bottom w:val="single" w:sz="4" w:space="0" w:color="auto"/>
              <w:right w:val="single" w:sz="4"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Viral Pneumonia</w:t>
            </w:r>
          </w:p>
        </w:tc>
        <w:tc>
          <w:tcPr>
            <w:tcW w:w="1317"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0.06</w:t>
            </w:r>
          </w:p>
        </w:tc>
        <w:tc>
          <w:tcPr>
            <w:tcW w:w="1252"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0.07</w:t>
            </w:r>
          </w:p>
        </w:tc>
        <w:tc>
          <w:tcPr>
            <w:tcW w:w="1421"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0.060</w:t>
            </w:r>
          </w:p>
        </w:tc>
        <w:tc>
          <w:tcPr>
            <w:tcW w:w="1065" w:type="dxa"/>
            <w:tcBorders>
              <w:top w:val="nil"/>
              <w:left w:val="nil"/>
              <w:bottom w:val="single" w:sz="4"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0.288</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0.074</w:t>
            </w:r>
          </w:p>
        </w:tc>
        <w:tc>
          <w:tcPr>
            <w:tcW w:w="134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0.072</w:t>
            </w:r>
          </w:p>
        </w:tc>
        <w:tc>
          <w:tcPr>
            <w:tcW w:w="150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-0.9</w:t>
            </w:r>
          </w:p>
        </w:tc>
        <w:tc>
          <w:tcPr>
            <w:tcW w:w="926" w:type="dxa"/>
            <w:tcBorders>
              <w:top w:val="nil"/>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0.896</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hideMark/>
          </w:tcPr>
          <w:p w:rsidR="00E459A6" w:rsidRPr="003F45EA" w:rsidRDefault="00E459A6" w:rsidP="00AC6130">
            <w:pPr>
              <w:jc w:val="center"/>
              <w:rPr>
                <w:color w:val="000000"/>
                <w:sz w:val="20"/>
                <w:szCs w:val="20"/>
                <w:lang w:val="en-GB"/>
              </w:rPr>
            </w:pPr>
            <w:r w:rsidRPr="003F45EA">
              <w:rPr>
                <w:color w:val="000000"/>
                <w:sz w:val="20"/>
                <w:szCs w:val="20"/>
                <w:lang w:val="en-GB"/>
              </w:rPr>
              <w:t>ARDS</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0.52</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-0.020</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0.728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0.432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0.516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16.8</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hideMark/>
          </w:tcPr>
          <w:p w:rsidR="00E459A6" w:rsidRPr="003F45EA" w:rsidRDefault="00E459A6" w:rsidP="00AC6130">
            <w:pPr>
              <w:jc w:val="center"/>
              <w:rPr>
                <w:sz w:val="20"/>
                <w:szCs w:val="20"/>
                <w:lang w:val="en-GB"/>
              </w:rPr>
            </w:pPr>
            <w:r w:rsidRPr="003F45EA">
              <w:rPr>
                <w:sz w:val="20"/>
                <w:szCs w:val="20"/>
                <w:lang w:val="en-GB"/>
              </w:rPr>
              <w:t>0.014</w:t>
            </w:r>
          </w:p>
        </w:tc>
        <w:tc>
          <w:tcPr>
            <w:tcW w:w="303" w:type="dxa"/>
            <w:vAlign w:val="center"/>
            <w:hideMark/>
          </w:tcPr>
          <w:p w:rsidR="00E459A6" w:rsidRPr="003F45EA" w:rsidRDefault="00E459A6" w:rsidP="00AC6130">
            <w:pPr>
              <w:jc w:val="center"/>
              <w:rPr>
                <w:sz w:val="20"/>
                <w:szCs w:val="20"/>
                <w:lang w:val="en-GB"/>
              </w:rPr>
            </w:pPr>
          </w:p>
        </w:tc>
      </w:tr>
      <w:tr w:rsidR="00E459A6" w:rsidRPr="003F45EA" w:rsidTr="00AC6130">
        <w:trPr>
          <w:trHeight w:val="1020"/>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b/>
                <w:bCs/>
                <w:sz w:val="20"/>
                <w:szCs w:val="20"/>
                <w:lang w:val="en-GB"/>
              </w:rPr>
              <w:t xml:space="preserve">Macrolide antibiotics = 0 (n=3074), </w:t>
            </w:r>
            <w:r w:rsidRPr="003F45EA">
              <w:rPr>
                <w:b/>
                <w:bCs/>
                <w:color w:val="000000"/>
                <w:sz w:val="20"/>
                <w:szCs w:val="20"/>
                <w:lang w:val="en-GB"/>
              </w:rPr>
              <w:t>mean in treated vs. untreated</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sz w:val="20"/>
                <w:szCs w:val="20"/>
                <w:lang w:val="en-GB"/>
              </w:rPr>
              <w:t>No statin, (n=2298)</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b/>
                <w:bCs/>
                <w:sz w:val="20"/>
                <w:szCs w:val="20"/>
                <w:lang w:val="en-GB"/>
              </w:rPr>
            </w:pPr>
            <w:r w:rsidRPr="003F45EA">
              <w:rPr>
                <w:b/>
                <w:bCs/>
                <w:sz w:val="20"/>
                <w:szCs w:val="20"/>
                <w:lang w:val="en-GB"/>
              </w:rPr>
              <w:t>Statin,</w:t>
            </w:r>
          </w:p>
          <w:p w:rsidR="00E459A6" w:rsidRPr="003F45EA" w:rsidRDefault="00E459A6" w:rsidP="00AC6130">
            <w:pPr>
              <w:jc w:val="center"/>
              <w:rPr>
                <w:sz w:val="20"/>
                <w:szCs w:val="20"/>
                <w:lang w:val="en-GB"/>
              </w:rPr>
            </w:pPr>
            <w:r w:rsidRPr="003F45EA">
              <w:rPr>
                <w:b/>
                <w:bCs/>
                <w:sz w:val="20"/>
                <w:szCs w:val="20"/>
                <w:lang w:val="en-GB"/>
              </w:rPr>
              <w:t>(n=776)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Pr>
                <w:b/>
                <w:bCs/>
                <w:sz w:val="20"/>
                <w:szCs w:val="20"/>
                <w:lang w:val="en-GB"/>
              </w:rPr>
              <w:t>Standardised</w:t>
            </w:r>
            <w:r w:rsidRPr="003F45EA">
              <w:rPr>
                <w:b/>
                <w:bCs/>
                <w:sz w:val="20"/>
                <w:szCs w:val="20"/>
                <w:lang w:val="en-GB"/>
              </w:rPr>
              <w:t xml:space="preserve"> differences</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sz w:val="20"/>
                <w:szCs w:val="20"/>
                <w:lang w:val="en-GB"/>
              </w:rPr>
              <w:t>p-value</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sz w:val="20"/>
                <w:szCs w:val="20"/>
                <w:lang w:val="en-GB"/>
              </w:rPr>
              <w:t>No statin, (n=2298)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sz w:val="20"/>
                <w:szCs w:val="20"/>
                <w:lang w:val="en-GB"/>
              </w:rPr>
              <w:t>Statin, (n=776)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Pr>
                <w:b/>
                <w:bCs/>
                <w:sz w:val="20"/>
                <w:szCs w:val="20"/>
                <w:lang w:val="en-GB"/>
              </w:rPr>
              <w:t>Standardised</w:t>
            </w:r>
            <w:r w:rsidRPr="003F45EA">
              <w:rPr>
                <w:b/>
                <w:bCs/>
                <w:sz w:val="20"/>
                <w:szCs w:val="20"/>
                <w:lang w:val="en-GB"/>
              </w:rPr>
              <w:t xml:space="preserve"> differences</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b/>
                <w:bCs/>
                <w:sz w:val="20"/>
                <w:szCs w:val="20"/>
                <w:lang w:val="en-GB"/>
              </w:rPr>
              <w:t>p-value</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Age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64.91</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71.00</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0.422</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71.47</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70.97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0.454</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proofErr w:type="spellStart"/>
            <w:r w:rsidRPr="003F45EA">
              <w:rPr>
                <w:color w:val="000000"/>
                <w:sz w:val="20"/>
                <w:szCs w:val="20"/>
                <w:lang w:val="en-GB"/>
              </w:rPr>
              <w:t>Charlson</w:t>
            </w:r>
            <w:proofErr w:type="spellEnd"/>
            <w:r w:rsidRPr="003F45EA">
              <w:rPr>
                <w:color w:val="000000"/>
                <w:sz w:val="20"/>
                <w:szCs w:val="20"/>
                <w:lang w:val="en-GB"/>
              </w:rPr>
              <w:t xml:space="preserve"> Comorbidity Index</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5.39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6.69</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0.460</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6.79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6.67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0.389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Pr>
                <w:color w:val="000000"/>
                <w:sz w:val="20"/>
                <w:szCs w:val="20"/>
                <w:lang w:val="en-GB"/>
              </w:rPr>
              <w:lastRenderedPageBreak/>
              <w:t>Generalised</w:t>
            </w:r>
            <w:r w:rsidRPr="003F45EA">
              <w:rPr>
                <w:color w:val="000000"/>
                <w:sz w:val="20"/>
                <w:szCs w:val="20"/>
                <w:lang w:val="en-GB"/>
              </w:rPr>
              <w:t xml:space="preserve"> Malignancy</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0.20</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-0.142</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0.179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0.147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-8.5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0.086</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Immunosuppression</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-0.100</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0.050</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7.5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0.074</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Acute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0.37</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0.076</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0.066</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0.344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0.368</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4.9</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0.340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Chronic Kidney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0.28</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0.278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0.253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0.279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6.3</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0.250</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Transplanted</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-0.092</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2.4</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0.479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Autoimmune Disease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0.845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0.018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0.029</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6.9</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0.134</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SAPS II</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39.30</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40.96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0.118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40.69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40.96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1.9</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0.701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SOFA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5.24</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5.21</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-0.007</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0.874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5.18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5.21</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1.1</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0.828</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Creatinine at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1.49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1.75</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0.165</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&lt;0.001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1.59</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1.75</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10.4</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0.033</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GCS on day 1</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13.46</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13.59</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0.043</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0.298</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13.52</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13.58</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2.0</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0.686</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Temperature</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36.89</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36.86</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-0.048</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0.253</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36.85</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36.86</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0.931</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Viral Pneumonia</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0.001</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0.990</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0.034</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0.027</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-4.8</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0.379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2548" w:type="dxa"/>
            <w:tcBorders>
              <w:top w:val="single" w:sz="4" w:space="0" w:color="auto"/>
              <w:left w:val="single" w:sz="4" w:space="0" w:color="auto"/>
              <w:bottom w:val="single" w:sz="6" w:space="0" w:color="auto"/>
              <w:right w:val="single" w:sz="6" w:space="0" w:color="auto"/>
            </w:tcBorders>
            <w:shd w:val="clear" w:color="auto" w:fill="auto"/>
            <w:vAlign w:val="center"/>
          </w:tcPr>
          <w:p w:rsidR="00E459A6" w:rsidRPr="003F45EA" w:rsidRDefault="00E459A6" w:rsidP="00AC6130">
            <w:pPr>
              <w:jc w:val="center"/>
              <w:rPr>
                <w:color w:val="000000"/>
                <w:sz w:val="20"/>
                <w:szCs w:val="20"/>
                <w:lang w:val="en-GB"/>
              </w:rPr>
            </w:pPr>
            <w:r w:rsidRPr="003F45EA">
              <w:rPr>
                <w:color w:val="000000"/>
                <w:sz w:val="20"/>
                <w:szCs w:val="20"/>
                <w:lang w:val="en-GB"/>
              </w:rPr>
              <w:t>ARDS</w:t>
            </w:r>
          </w:p>
        </w:tc>
        <w:tc>
          <w:tcPr>
            <w:tcW w:w="1317"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0.47</w:t>
            </w:r>
          </w:p>
        </w:tc>
        <w:tc>
          <w:tcPr>
            <w:tcW w:w="1252"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0.50</w:t>
            </w:r>
          </w:p>
        </w:tc>
        <w:tc>
          <w:tcPr>
            <w:tcW w:w="1421"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0.063</w:t>
            </w:r>
          </w:p>
        </w:tc>
        <w:tc>
          <w:tcPr>
            <w:tcW w:w="1065"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0.131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0.501</w:t>
            </w:r>
          </w:p>
        </w:tc>
        <w:tc>
          <w:tcPr>
            <w:tcW w:w="134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0.498</w:t>
            </w:r>
          </w:p>
        </w:tc>
        <w:tc>
          <w:tcPr>
            <w:tcW w:w="1506" w:type="dxa"/>
            <w:tcBorders>
              <w:top w:val="single" w:sz="4" w:space="0" w:color="auto"/>
              <w:left w:val="single" w:sz="6" w:space="0" w:color="auto"/>
              <w:bottom w:val="single" w:sz="6" w:space="0" w:color="auto"/>
              <w:right w:val="single" w:sz="6"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-0.5</w:t>
            </w:r>
          </w:p>
        </w:tc>
        <w:tc>
          <w:tcPr>
            <w:tcW w:w="926" w:type="dxa"/>
            <w:tcBorders>
              <w:top w:val="single" w:sz="4" w:space="0" w:color="auto"/>
              <w:left w:val="single" w:sz="6" w:space="0" w:color="auto"/>
              <w:bottom w:val="single" w:sz="6" w:space="0" w:color="auto"/>
              <w:right w:val="single" w:sz="4" w:space="0" w:color="auto"/>
            </w:tcBorders>
            <w:shd w:val="clear" w:color="auto" w:fill="auto"/>
            <w:noWrap/>
            <w:vAlign w:val="center"/>
          </w:tcPr>
          <w:p w:rsidR="00E459A6" w:rsidRPr="003F45EA" w:rsidRDefault="00E459A6" w:rsidP="00AC6130">
            <w:pPr>
              <w:jc w:val="center"/>
              <w:rPr>
                <w:sz w:val="20"/>
                <w:szCs w:val="20"/>
                <w:lang w:val="en-GB"/>
              </w:rPr>
            </w:pPr>
            <w:r w:rsidRPr="003F45EA">
              <w:rPr>
                <w:sz w:val="20"/>
                <w:szCs w:val="20"/>
                <w:lang w:val="en-GB"/>
              </w:rPr>
              <w:t>0.919</w:t>
            </w:r>
          </w:p>
        </w:tc>
        <w:tc>
          <w:tcPr>
            <w:tcW w:w="303" w:type="dxa"/>
            <w:vAlign w:val="center"/>
          </w:tcPr>
          <w:p w:rsidR="00E459A6" w:rsidRPr="003F45EA" w:rsidRDefault="00E459A6" w:rsidP="00AC6130">
            <w:pPr>
              <w:jc w:val="center"/>
              <w:rPr>
                <w:sz w:val="20"/>
                <w:szCs w:val="20"/>
                <w:lang w:val="en-GB"/>
              </w:rPr>
            </w:pPr>
          </w:p>
        </w:tc>
      </w:tr>
      <w:tr w:rsidR="00E459A6" w:rsidRPr="003F45EA" w:rsidTr="00AC6130">
        <w:trPr>
          <w:trHeight w:val="351"/>
        </w:trPr>
        <w:tc>
          <w:tcPr>
            <w:tcW w:w="12727" w:type="dxa"/>
            <w:gridSpan w:val="9"/>
            <w:tcBorders>
              <w:top w:val="single" w:sz="6" w:space="0" w:color="auto"/>
              <w:left w:val="single" w:sz="4" w:space="0" w:color="auto"/>
              <w:bottom w:val="single" w:sz="4" w:space="0" w:color="auto"/>
              <w:right w:val="single" w:sz="4" w:space="0" w:color="auto"/>
            </w:tcBorders>
            <w:shd w:val="clear" w:color="auto" w:fill="auto"/>
            <w:vAlign w:val="center"/>
          </w:tcPr>
          <w:p w:rsidR="00E459A6" w:rsidRPr="003F45EA" w:rsidRDefault="00E459A6" w:rsidP="00AC6130">
            <w:pPr>
              <w:spacing w:before="240" w:after="240"/>
              <w:rPr>
                <w:b/>
                <w:bCs/>
                <w:color w:val="000000" w:themeColor="text1"/>
                <w:lang w:val="en-GB"/>
              </w:rPr>
            </w:pPr>
            <w:r w:rsidRPr="003F45EA">
              <w:rPr>
                <w:b/>
                <w:bCs/>
                <w:color w:val="000000" w:themeColor="text1"/>
                <w:lang w:val="en-GB"/>
              </w:rPr>
              <w:t xml:space="preserve">Abbreviations: </w:t>
            </w:r>
            <w:r w:rsidRPr="003F45EA">
              <w:rPr>
                <w:color w:val="000000" w:themeColor="text1"/>
                <w:lang w:val="en-GB"/>
              </w:rPr>
              <w:t xml:space="preserve">Simplified Acute Physiology Score II (SAPS II), Sequential Organ Failure Assessment score (SOFA), Glasgow Coma Scale (GCS), </w:t>
            </w:r>
            <w:proofErr w:type="gramStart"/>
            <w:r w:rsidRPr="003F45EA">
              <w:rPr>
                <w:color w:val="000000" w:themeColor="text1"/>
                <w:lang w:val="en-GB"/>
              </w:rPr>
              <w:t>Acute Respiratory Distress Syndrome</w:t>
            </w:r>
            <w:proofErr w:type="gramEnd"/>
            <w:r w:rsidRPr="003F45EA">
              <w:rPr>
                <w:color w:val="000000" w:themeColor="text1"/>
                <w:lang w:val="en-GB"/>
              </w:rPr>
              <w:t xml:space="preserve"> (ARDS).</w:t>
            </w:r>
          </w:p>
        </w:tc>
        <w:tc>
          <w:tcPr>
            <w:tcW w:w="303" w:type="dxa"/>
            <w:vAlign w:val="center"/>
          </w:tcPr>
          <w:p w:rsidR="00E459A6" w:rsidRPr="003F45EA" w:rsidRDefault="00E459A6" w:rsidP="00AC6130">
            <w:pPr>
              <w:jc w:val="center"/>
              <w:rPr>
                <w:sz w:val="20"/>
                <w:szCs w:val="20"/>
                <w:lang w:val="en-GB"/>
              </w:rPr>
            </w:pPr>
          </w:p>
        </w:tc>
      </w:tr>
    </w:tbl>
    <w:p w:rsidR="00E459A6" w:rsidRPr="003F45EA" w:rsidRDefault="00E459A6" w:rsidP="00E459A6">
      <w:pPr>
        <w:spacing w:before="240" w:after="240" w:line="480" w:lineRule="auto"/>
        <w:rPr>
          <w:b/>
          <w:bCs/>
          <w:color w:val="000000" w:themeColor="text1"/>
          <w:lang w:val="en-GB"/>
        </w:rPr>
        <w:sectPr w:rsidR="00E459A6" w:rsidRPr="003F45EA" w:rsidSect="007449FE">
          <w:pgSz w:w="15840" w:h="12240" w:orient="landscape"/>
          <w:pgMar w:top="1440" w:right="1440" w:bottom="1440" w:left="1440" w:header="720" w:footer="720" w:gutter="0"/>
          <w:cols w:space="720"/>
          <w:docGrid w:linePitch="360"/>
        </w:sectPr>
      </w:pPr>
    </w:p>
    <w:p w:rsidR="00E459A6" w:rsidRPr="003F45EA" w:rsidRDefault="00E459A6" w:rsidP="00E459A6">
      <w:pPr>
        <w:spacing w:before="240" w:after="240" w:line="480" w:lineRule="auto"/>
        <w:rPr>
          <w:lang w:val="en-GB"/>
        </w:rPr>
      </w:pPr>
      <w:r w:rsidRPr="003F45EA">
        <w:rPr>
          <w:b/>
          <w:bCs/>
          <w:lang w:val="en-GB"/>
        </w:rPr>
        <w:lastRenderedPageBreak/>
        <w:t xml:space="preserve">Supplementary Table 5. </w:t>
      </w:r>
      <w:r w:rsidRPr="003F45EA">
        <w:rPr>
          <w:rFonts w:eastAsiaTheme="majorEastAsia"/>
          <w:color w:val="000000"/>
          <w:lang w:val="en-GB"/>
        </w:rPr>
        <w:t>Sensitivity Analysis: Estimates of Treatment Effects on Mortality according to Macrolide use</w:t>
      </w:r>
    </w:p>
    <w:tbl>
      <w:tblPr>
        <w:tblW w:w="12010" w:type="dxa"/>
        <w:tblLook w:val="04A0" w:firstRow="1" w:lastRow="0" w:firstColumn="1" w:lastColumn="0" w:noHBand="0" w:noVBand="1"/>
      </w:tblPr>
      <w:tblGrid>
        <w:gridCol w:w="3423"/>
        <w:gridCol w:w="1307"/>
        <w:gridCol w:w="1733"/>
        <w:gridCol w:w="1520"/>
        <w:gridCol w:w="1520"/>
        <w:gridCol w:w="2507"/>
      </w:tblGrid>
      <w:tr w:rsidR="00E459A6" w:rsidRPr="003F45EA" w:rsidTr="00AC6130">
        <w:trPr>
          <w:trHeight w:val="318"/>
        </w:trPr>
        <w:tc>
          <w:tcPr>
            <w:tcW w:w="3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Method</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ATE</w:t>
            </w:r>
          </w:p>
        </w:tc>
        <w:tc>
          <w:tcPr>
            <w:tcW w:w="1733"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 xml:space="preserve">Standard Error </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z Value</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p Value</w:t>
            </w:r>
          </w:p>
        </w:tc>
        <w:tc>
          <w:tcPr>
            <w:tcW w:w="2504" w:type="dxa"/>
            <w:tcBorders>
              <w:top w:val="single" w:sz="4" w:space="0" w:color="auto"/>
              <w:left w:val="nil"/>
              <w:bottom w:val="single" w:sz="4" w:space="0" w:color="auto"/>
              <w:right w:val="single" w:sz="4" w:space="0" w:color="auto"/>
            </w:tcBorders>
            <w:shd w:val="clear" w:color="auto" w:fill="auto"/>
            <w:noWrap/>
            <w:vAlign w:val="center"/>
            <w:hideMark/>
          </w:tcPr>
          <w:p w:rsidR="00E459A6" w:rsidRPr="003F45EA" w:rsidRDefault="00E459A6" w:rsidP="00AC6130">
            <w:pPr>
              <w:jc w:val="center"/>
              <w:rPr>
                <w:b/>
                <w:bCs/>
                <w:color w:val="000000"/>
                <w:lang w:val="en-GB"/>
              </w:rPr>
            </w:pPr>
            <w:r w:rsidRPr="003F45EA">
              <w:rPr>
                <w:b/>
                <w:bCs/>
                <w:color w:val="000000"/>
                <w:lang w:val="en-GB"/>
              </w:rPr>
              <w:t>95% CI</w:t>
            </w:r>
          </w:p>
        </w:tc>
      </w:tr>
      <w:tr w:rsidR="00E459A6" w:rsidRPr="003F45EA" w:rsidTr="00AC6130">
        <w:trPr>
          <w:trHeight w:val="318"/>
        </w:trPr>
        <w:tc>
          <w:tcPr>
            <w:tcW w:w="1201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b/>
                <w:bCs/>
                <w:sz w:val="20"/>
                <w:szCs w:val="20"/>
                <w:lang w:val="en-GB"/>
              </w:rPr>
              <w:t>Macrolide antibiotics = 1 (n=1458)</w:t>
            </w:r>
          </w:p>
        </w:tc>
      </w:tr>
      <w:tr w:rsidR="00E459A6" w:rsidRPr="003F45EA" w:rsidTr="00AC6130">
        <w:trPr>
          <w:trHeight w:val="318"/>
        </w:trPr>
        <w:tc>
          <w:tcPr>
            <w:tcW w:w="3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Propensity Score Matching</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-0.015</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0.034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-0.44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0.659</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[-0.082, 0.051]</w:t>
            </w:r>
          </w:p>
        </w:tc>
      </w:tr>
      <w:tr w:rsidR="00E459A6" w:rsidRPr="003F45EA" w:rsidTr="00AC6130">
        <w:trPr>
          <w:trHeight w:val="318"/>
        </w:trPr>
        <w:tc>
          <w:tcPr>
            <w:tcW w:w="3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color w:val="000000"/>
                <w:lang w:val="en-GB"/>
              </w:rPr>
            </w:pPr>
            <w:r w:rsidRPr="003F45EA">
              <w:rPr>
                <w:color w:val="000000"/>
                <w:lang w:val="en-GB"/>
              </w:rPr>
              <w:t>Inverse-Probability Weighting</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-0.055</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0.028</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-1.97</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0.049</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9A6" w:rsidRPr="003F45EA" w:rsidRDefault="00E459A6" w:rsidP="00AC6130">
            <w:pPr>
              <w:jc w:val="center"/>
              <w:rPr>
                <w:lang w:val="en-GB"/>
              </w:rPr>
            </w:pPr>
            <w:r w:rsidRPr="003F45EA">
              <w:rPr>
                <w:lang w:val="en-GB"/>
              </w:rPr>
              <w:t>[-0.111, 0.440]</w:t>
            </w:r>
          </w:p>
        </w:tc>
      </w:tr>
      <w:tr w:rsidR="00E459A6" w:rsidRPr="003F45EA" w:rsidTr="00AC6130">
        <w:trPr>
          <w:trHeight w:val="318"/>
        </w:trPr>
        <w:tc>
          <w:tcPr>
            <w:tcW w:w="12010" w:type="dxa"/>
            <w:gridSpan w:val="6"/>
            <w:tcBorders>
              <w:top w:val="single" w:sz="4" w:space="0" w:color="auto"/>
              <w:left w:val="single" w:sz="4" w:space="0" w:color="auto"/>
              <w:bottom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b/>
                <w:bCs/>
                <w:sz w:val="20"/>
                <w:szCs w:val="20"/>
                <w:lang w:val="en-GB"/>
              </w:rPr>
              <w:t>Macrolide antibiotics = 0 (n=3074)</w:t>
            </w:r>
          </w:p>
        </w:tc>
      </w:tr>
      <w:tr w:rsidR="00E459A6" w:rsidRPr="003F45EA" w:rsidTr="00AC6130">
        <w:trPr>
          <w:trHeight w:val="318"/>
        </w:trPr>
        <w:tc>
          <w:tcPr>
            <w:tcW w:w="3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Propensity Score Matching</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-0.094</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0.025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-3.65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&lt;0.001</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[-0.144, -0.043]</w:t>
            </w:r>
          </w:p>
        </w:tc>
      </w:tr>
      <w:tr w:rsidR="00E459A6" w:rsidRPr="003F45EA" w:rsidTr="00AC6130">
        <w:trPr>
          <w:trHeight w:val="318"/>
        </w:trPr>
        <w:tc>
          <w:tcPr>
            <w:tcW w:w="3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color w:val="000000"/>
                <w:lang w:val="en-GB"/>
              </w:rPr>
            </w:pPr>
            <w:r w:rsidRPr="003F45EA">
              <w:rPr>
                <w:color w:val="000000"/>
                <w:lang w:val="en-GB"/>
              </w:rPr>
              <w:t>Inverse-Probability Weighting</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-0.090</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0.020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-4.40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&lt;0.001</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59A6" w:rsidRPr="003F45EA" w:rsidRDefault="00E459A6" w:rsidP="00AC6130">
            <w:pPr>
              <w:jc w:val="center"/>
              <w:rPr>
                <w:lang w:val="en-GB"/>
              </w:rPr>
            </w:pPr>
            <w:r w:rsidRPr="003F45EA">
              <w:rPr>
                <w:lang w:val="en-GB"/>
              </w:rPr>
              <w:t>[-0.130, -0.050]</w:t>
            </w:r>
          </w:p>
        </w:tc>
      </w:tr>
      <w:tr w:rsidR="00E459A6" w:rsidRPr="003F45EA" w:rsidTr="00AC6130">
        <w:trPr>
          <w:trHeight w:val="299"/>
        </w:trPr>
        <w:tc>
          <w:tcPr>
            <w:tcW w:w="12010" w:type="dxa"/>
            <w:gridSpan w:val="6"/>
            <w:tcBorders>
              <w:top w:val="single" w:sz="4" w:space="0" w:color="auto"/>
            </w:tcBorders>
            <w:shd w:val="clear" w:color="auto" w:fill="auto"/>
            <w:noWrap/>
            <w:vAlign w:val="center"/>
          </w:tcPr>
          <w:p w:rsidR="00E459A6" w:rsidRPr="003F45EA" w:rsidRDefault="00E459A6" w:rsidP="00AC6130">
            <w:pPr>
              <w:spacing w:before="240" w:after="240" w:line="480" w:lineRule="auto"/>
              <w:rPr>
                <w:color w:val="000000" w:themeColor="text1"/>
                <w:lang w:val="en-GB"/>
              </w:rPr>
            </w:pPr>
            <w:r w:rsidRPr="003F45EA">
              <w:rPr>
                <w:b/>
                <w:bCs/>
                <w:color w:val="000000" w:themeColor="text1"/>
                <w:lang w:val="en-GB"/>
              </w:rPr>
              <w:t xml:space="preserve">Abbreviations: </w:t>
            </w:r>
            <w:r w:rsidRPr="003F45EA">
              <w:rPr>
                <w:color w:val="000000" w:themeColor="text1"/>
                <w:lang w:val="en-GB"/>
              </w:rPr>
              <w:t>Average Treatment Effect (ATE), Confidence Intervale (CI).</w:t>
            </w:r>
          </w:p>
        </w:tc>
      </w:tr>
    </w:tbl>
    <w:p w:rsidR="00E459A6" w:rsidRPr="003F45EA" w:rsidRDefault="00E459A6" w:rsidP="00E459A6">
      <w:pPr>
        <w:spacing w:before="240" w:after="240" w:line="480" w:lineRule="auto"/>
        <w:rPr>
          <w:b/>
          <w:bCs/>
          <w:color w:val="000000" w:themeColor="text1"/>
          <w:lang w:val="en-GB"/>
        </w:rPr>
      </w:pPr>
    </w:p>
    <w:p w:rsidR="0055158C" w:rsidRPr="00E459A6" w:rsidRDefault="0055158C" w:rsidP="00E459A6"/>
    <w:sectPr w:rsidR="0055158C" w:rsidRPr="00E459A6" w:rsidSect="0052213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2EB3"/>
    <w:multiLevelType w:val="hybridMultilevel"/>
    <w:tmpl w:val="C450AF74"/>
    <w:lvl w:ilvl="0" w:tplc="94D89062">
      <w:start w:val="1"/>
      <w:numFmt w:val="bullet"/>
      <w:lvlText w:val=""/>
      <w:lvlJc w:val="left"/>
      <w:pPr>
        <w:ind w:left="720" w:hanging="360"/>
      </w:pPr>
      <w:rPr>
        <w:rFonts w:ascii="Symbol" w:hAnsi="Symbol" w:hint="default"/>
      </w:rPr>
    </w:lvl>
    <w:lvl w:ilvl="1" w:tplc="9BA0B3BC">
      <w:start w:val="1"/>
      <w:numFmt w:val="bullet"/>
      <w:lvlText w:val="o"/>
      <w:lvlJc w:val="left"/>
      <w:pPr>
        <w:ind w:left="1440" w:hanging="360"/>
      </w:pPr>
      <w:rPr>
        <w:rFonts w:ascii="Courier New" w:hAnsi="Courier New" w:hint="default"/>
      </w:rPr>
    </w:lvl>
    <w:lvl w:ilvl="2" w:tplc="BD8887E6">
      <w:start w:val="1"/>
      <w:numFmt w:val="bullet"/>
      <w:lvlText w:val=""/>
      <w:lvlJc w:val="left"/>
      <w:pPr>
        <w:ind w:left="2160" w:hanging="360"/>
      </w:pPr>
      <w:rPr>
        <w:rFonts w:ascii="Wingdings" w:hAnsi="Wingdings" w:hint="default"/>
      </w:rPr>
    </w:lvl>
    <w:lvl w:ilvl="3" w:tplc="2CC00994">
      <w:start w:val="1"/>
      <w:numFmt w:val="bullet"/>
      <w:lvlText w:val=""/>
      <w:lvlJc w:val="left"/>
      <w:pPr>
        <w:ind w:left="2880" w:hanging="360"/>
      </w:pPr>
      <w:rPr>
        <w:rFonts w:ascii="Symbol" w:hAnsi="Symbol" w:hint="default"/>
      </w:rPr>
    </w:lvl>
    <w:lvl w:ilvl="4" w:tplc="C95C88BC">
      <w:start w:val="1"/>
      <w:numFmt w:val="bullet"/>
      <w:lvlText w:val="o"/>
      <w:lvlJc w:val="left"/>
      <w:pPr>
        <w:ind w:left="3600" w:hanging="360"/>
      </w:pPr>
      <w:rPr>
        <w:rFonts w:ascii="Courier New" w:hAnsi="Courier New" w:hint="default"/>
      </w:rPr>
    </w:lvl>
    <w:lvl w:ilvl="5" w:tplc="3B7C811E">
      <w:start w:val="1"/>
      <w:numFmt w:val="bullet"/>
      <w:lvlText w:val=""/>
      <w:lvlJc w:val="left"/>
      <w:pPr>
        <w:ind w:left="4320" w:hanging="360"/>
      </w:pPr>
      <w:rPr>
        <w:rFonts w:ascii="Wingdings" w:hAnsi="Wingdings" w:hint="default"/>
      </w:rPr>
    </w:lvl>
    <w:lvl w:ilvl="6" w:tplc="F0AC8616">
      <w:start w:val="1"/>
      <w:numFmt w:val="bullet"/>
      <w:lvlText w:val=""/>
      <w:lvlJc w:val="left"/>
      <w:pPr>
        <w:ind w:left="5040" w:hanging="360"/>
      </w:pPr>
      <w:rPr>
        <w:rFonts w:ascii="Symbol" w:hAnsi="Symbol" w:hint="default"/>
      </w:rPr>
    </w:lvl>
    <w:lvl w:ilvl="7" w:tplc="68BA1442">
      <w:start w:val="1"/>
      <w:numFmt w:val="bullet"/>
      <w:lvlText w:val="o"/>
      <w:lvlJc w:val="left"/>
      <w:pPr>
        <w:ind w:left="5760" w:hanging="360"/>
      </w:pPr>
      <w:rPr>
        <w:rFonts w:ascii="Courier New" w:hAnsi="Courier New" w:hint="default"/>
      </w:rPr>
    </w:lvl>
    <w:lvl w:ilvl="8" w:tplc="6930D614">
      <w:start w:val="1"/>
      <w:numFmt w:val="bullet"/>
      <w:lvlText w:val=""/>
      <w:lvlJc w:val="left"/>
      <w:pPr>
        <w:ind w:left="6480" w:hanging="360"/>
      </w:pPr>
      <w:rPr>
        <w:rFonts w:ascii="Wingdings" w:hAnsi="Wingdings" w:hint="default"/>
      </w:rPr>
    </w:lvl>
  </w:abstractNum>
  <w:abstractNum w:abstractNumId="1" w15:restartNumberingAfterBreak="0">
    <w:nsid w:val="0B6B2735"/>
    <w:multiLevelType w:val="hybridMultilevel"/>
    <w:tmpl w:val="C6949930"/>
    <w:lvl w:ilvl="0" w:tplc="356007DA">
      <w:start w:val="1"/>
      <w:numFmt w:val="bullet"/>
      <w:lvlText w:val=""/>
      <w:lvlJc w:val="left"/>
      <w:pPr>
        <w:ind w:left="720" w:hanging="360"/>
      </w:pPr>
      <w:rPr>
        <w:rFonts w:ascii="Symbol" w:hAnsi="Symbol" w:hint="default"/>
      </w:rPr>
    </w:lvl>
    <w:lvl w:ilvl="1" w:tplc="B650C666">
      <w:start w:val="1"/>
      <w:numFmt w:val="bullet"/>
      <w:lvlText w:val=""/>
      <w:lvlJc w:val="left"/>
      <w:pPr>
        <w:ind w:left="1440" w:hanging="360"/>
      </w:pPr>
      <w:rPr>
        <w:rFonts w:ascii="Symbol" w:hAnsi="Symbol" w:hint="default"/>
      </w:rPr>
    </w:lvl>
    <w:lvl w:ilvl="2" w:tplc="EB6A0672">
      <w:start w:val="1"/>
      <w:numFmt w:val="bullet"/>
      <w:lvlText w:val=""/>
      <w:lvlJc w:val="left"/>
      <w:pPr>
        <w:ind w:left="2160" w:hanging="360"/>
      </w:pPr>
      <w:rPr>
        <w:rFonts w:ascii="Wingdings" w:hAnsi="Wingdings" w:hint="default"/>
      </w:rPr>
    </w:lvl>
    <w:lvl w:ilvl="3" w:tplc="805E292C">
      <w:start w:val="1"/>
      <w:numFmt w:val="bullet"/>
      <w:lvlText w:val=""/>
      <w:lvlJc w:val="left"/>
      <w:pPr>
        <w:ind w:left="2880" w:hanging="360"/>
      </w:pPr>
      <w:rPr>
        <w:rFonts w:ascii="Symbol" w:hAnsi="Symbol" w:hint="default"/>
      </w:rPr>
    </w:lvl>
    <w:lvl w:ilvl="4" w:tplc="05865428">
      <w:start w:val="1"/>
      <w:numFmt w:val="bullet"/>
      <w:lvlText w:val="o"/>
      <w:lvlJc w:val="left"/>
      <w:pPr>
        <w:ind w:left="3600" w:hanging="360"/>
      </w:pPr>
      <w:rPr>
        <w:rFonts w:ascii="Courier New" w:hAnsi="Courier New" w:hint="default"/>
      </w:rPr>
    </w:lvl>
    <w:lvl w:ilvl="5" w:tplc="19D67B12">
      <w:start w:val="1"/>
      <w:numFmt w:val="bullet"/>
      <w:lvlText w:val=""/>
      <w:lvlJc w:val="left"/>
      <w:pPr>
        <w:ind w:left="4320" w:hanging="360"/>
      </w:pPr>
      <w:rPr>
        <w:rFonts w:ascii="Wingdings" w:hAnsi="Wingdings" w:hint="default"/>
      </w:rPr>
    </w:lvl>
    <w:lvl w:ilvl="6" w:tplc="C2E8B88E">
      <w:start w:val="1"/>
      <w:numFmt w:val="bullet"/>
      <w:lvlText w:val=""/>
      <w:lvlJc w:val="left"/>
      <w:pPr>
        <w:ind w:left="5040" w:hanging="360"/>
      </w:pPr>
      <w:rPr>
        <w:rFonts w:ascii="Symbol" w:hAnsi="Symbol" w:hint="default"/>
      </w:rPr>
    </w:lvl>
    <w:lvl w:ilvl="7" w:tplc="908A8AD4">
      <w:start w:val="1"/>
      <w:numFmt w:val="bullet"/>
      <w:lvlText w:val="o"/>
      <w:lvlJc w:val="left"/>
      <w:pPr>
        <w:ind w:left="5760" w:hanging="360"/>
      </w:pPr>
      <w:rPr>
        <w:rFonts w:ascii="Courier New" w:hAnsi="Courier New" w:hint="default"/>
      </w:rPr>
    </w:lvl>
    <w:lvl w:ilvl="8" w:tplc="560C8F18">
      <w:start w:val="1"/>
      <w:numFmt w:val="bullet"/>
      <w:lvlText w:val=""/>
      <w:lvlJc w:val="left"/>
      <w:pPr>
        <w:ind w:left="6480" w:hanging="360"/>
      </w:pPr>
      <w:rPr>
        <w:rFonts w:ascii="Wingdings" w:hAnsi="Wingdings" w:hint="default"/>
      </w:rPr>
    </w:lvl>
  </w:abstractNum>
  <w:abstractNum w:abstractNumId="2" w15:restartNumberingAfterBreak="0">
    <w:nsid w:val="3A8A29B3"/>
    <w:multiLevelType w:val="hybridMultilevel"/>
    <w:tmpl w:val="BF3C1B1C"/>
    <w:lvl w:ilvl="0" w:tplc="4B0EACCC">
      <w:start w:val="1"/>
      <w:numFmt w:val="bullet"/>
      <w:lvlText w:val=""/>
      <w:lvlJc w:val="left"/>
      <w:pPr>
        <w:ind w:left="720" w:hanging="360"/>
      </w:pPr>
      <w:rPr>
        <w:rFonts w:ascii="Symbol" w:hAnsi="Symbol" w:hint="default"/>
      </w:rPr>
    </w:lvl>
    <w:lvl w:ilvl="1" w:tplc="BD587D66">
      <w:start w:val="1"/>
      <w:numFmt w:val="bullet"/>
      <w:lvlText w:val="o"/>
      <w:lvlJc w:val="left"/>
      <w:pPr>
        <w:ind w:left="1440" w:hanging="360"/>
      </w:pPr>
      <w:rPr>
        <w:rFonts w:ascii="Courier New" w:hAnsi="Courier New" w:hint="default"/>
      </w:rPr>
    </w:lvl>
    <w:lvl w:ilvl="2" w:tplc="441A0C0C">
      <w:start w:val="1"/>
      <w:numFmt w:val="bullet"/>
      <w:lvlText w:val=""/>
      <w:lvlJc w:val="left"/>
      <w:pPr>
        <w:ind w:left="2160" w:hanging="360"/>
      </w:pPr>
      <w:rPr>
        <w:rFonts w:ascii="Wingdings" w:hAnsi="Wingdings" w:hint="default"/>
      </w:rPr>
    </w:lvl>
    <w:lvl w:ilvl="3" w:tplc="7C380CEA">
      <w:start w:val="1"/>
      <w:numFmt w:val="bullet"/>
      <w:lvlText w:val=""/>
      <w:lvlJc w:val="left"/>
      <w:pPr>
        <w:ind w:left="2880" w:hanging="360"/>
      </w:pPr>
      <w:rPr>
        <w:rFonts w:ascii="Symbol" w:hAnsi="Symbol" w:hint="default"/>
      </w:rPr>
    </w:lvl>
    <w:lvl w:ilvl="4" w:tplc="AC0CF214">
      <w:start w:val="1"/>
      <w:numFmt w:val="bullet"/>
      <w:lvlText w:val="o"/>
      <w:lvlJc w:val="left"/>
      <w:pPr>
        <w:ind w:left="3600" w:hanging="360"/>
      </w:pPr>
      <w:rPr>
        <w:rFonts w:ascii="Courier New" w:hAnsi="Courier New" w:hint="default"/>
      </w:rPr>
    </w:lvl>
    <w:lvl w:ilvl="5" w:tplc="86CCD882">
      <w:start w:val="1"/>
      <w:numFmt w:val="bullet"/>
      <w:lvlText w:val=""/>
      <w:lvlJc w:val="left"/>
      <w:pPr>
        <w:ind w:left="4320" w:hanging="360"/>
      </w:pPr>
      <w:rPr>
        <w:rFonts w:ascii="Wingdings" w:hAnsi="Wingdings" w:hint="default"/>
      </w:rPr>
    </w:lvl>
    <w:lvl w:ilvl="6" w:tplc="A21EE8F2">
      <w:start w:val="1"/>
      <w:numFmt w:val="bullet"/>
      <w:lvlText w:val=""/>
      <w:lvlJc w:val="left"/>
      <w:pPr>
        <w:ind w:left="5040" w:hanging="360"/>
      </w:pPr>
      <w:rPr>
        <w:rFonts w:ascii="Symbol" w:hAnsi="Symbol" w:hint="default"/>
      </w:rPr>
    </w:lvl>
    <w:lvl w:ilvl="7" w:tplc="29A619E6">
      <w:start w:val="1"/>
      <w:numFmt w:val="bullet"/>
      <w:lvlText w:val="o"/>
      <w:lvlJc w:val="left"/>
      <w:pPr>
        <w:ind w:left="5760" w:hanging="360"/>
      </w:pPr>
      <w:rPr>
        <w:rFonts w:ascii="Courier New" w:hAnsi="Courier New" w:hint="default"/>
      </w:rPr>
    </w:lvl>
    <w:lvl w:ilvl="8" w:tplc="FA32D718">
      <w:start w:val="1"/>
      <w:numFmt w:val="bullet"/>
      <w:lvlText w:val=""/>
      <w:lvlJc w:val="left"/>
      <w:pPr>
        <w:ind w:left="6480" w:hanging="360"/>
      </w:pPr>
      <w:rPr>
        <w:rFonts w:ascii="Wingdings" w:hAnsi="Wingdings" w:hint="default"/>
      </w:rPr>
    </w:lvl>
  </w:abstractNum>
  <w:abstractNum w:abstractNumId="3" w15:restartNumberingAfterBreak="0">
    <w:nsid w:val="5252BD0D"/>
    <w:multiLevelType w:val="hybridMultilevel"/>
    <w:tmpl w:val="AFCEFFDC"/>
    <w:lvl w:ilvl="0" w:tplc="4DDE93D0">
      <w:start w:val="1"/>
      <w:numFmt w:val="decimal"/>
      <w:lvlText w:val="%1."/>
      <w:lvlJc w:val="left"/>
      <w:pPr>
        <w:ind w:left="720" w:hanging="360"/>
      </w:pPr>
    </w:lvl>
    <w:lvl w:ilvl="1" w:tplc="1DEC667E">
      <w:start w:val="1"/>
      <w:numFmt w:val="lowerLetter"/>
      <w:lvlText w:val="%2."/>
      <w:lvlJc w:val="left"/>
      <w:pPr>
        <w:ind w:left="1440" w:hanging="360"/>
      </w:pPr>
    </w:lvl>
    <w:lvl w:ilvl="2" w:tplc="4F9C6F60">
      <w:start w:val="1"/>
      <w:numFmt w:val="lowerRoman"/>
      <w:lvlText w:val="%3."/>
      <w:lvlJc w:val="right"/>
      <w:pPr>
        <w:ind w:left="2160" w:hanging="180"/>
      </w:pPr>
    </w:lvl>
    <w:lvl w:ilvl="3" w:tplc="1BEC8E78">
      <w:start w:val="1"/>
      <w:numFmt w:val="decimal"/>
      <w:lvlText w:val="%4."/>
      <w:lvlJc w:val="left"/>
      <w:pPr>
        <w:ind w:left="2880" w:hanging="360"/>
      </w:pPr>
    </w:lvl>
    <w:lvl w:ilvl="4" w:tplc="1A02477A">
      <w:start w:val="1"/>
      <w:numFmt w:val="lowerLetter"/>
      <w:lvlText w:val="%5."/>
      <w:lvlJc w:val="left"/>
      <w:pPr>
        <w:ind w:left="3600" w:hanging="360"/>
      </w:pPr>
    </w:lvl>
    <w:lvl w:ilvl="5" w:tplc="5FD25BEE">
      <w:start w:val="1"/>
      <w:numFmt w:val="lowerRoman"/>
      <w:lvlText w:val="%6."/>
      <w:lvlJc w:val="right"/>
      <w:pPr>
        <w:ind w:left="4320" w:hanging="180"/>
      </w:pPr>
    </w:lvl>
    <w:lvl w:ilvl="6" w:tplc="1DC46D3C">
      <w:start w:val="1"/>
      <w:numFmt w:val="decimal"/>
      <w:lvlText w:val="%7."/>
      <w:lvlJc w:val="left"/>
      <w:pPr>
        <w:ind w:left="5040" w:hanging="360"/>
      </w:pPr>
    </w:lvl>
    <w:lvl w:ilvl="7" w:tplc="3A4A927C">
      <w:start w:val="1"/>
      <w:numFmt w:val="lowerLetter"/>
      <w:lvlText w:val="%8."/>
      <w:lvlJc w:val="left"/>
      <w:pPr>
        <w:ind w:left="5760" w:hanging="360"/>
      </w:pPr>
    </w:lvl>
    <w:lvl w:ilvl="8" w:tplc="1D7C655E">
      <w:start w:val="1"/>
      <w:numFmt w:val="lowerRoman"/>
      <w:lvlText w:val="%9."/>
      <w:lvlJc w:val="right"/>
      <w:pPr>
        <w:ind w:left="6480" w:hanging="180"/>
      </w:pPr>
    </w:lvl>
  </w:abstractNum>
  <w:num w:numId="1" w16cid:durableId="1323925047">
    <w:abstractNumId w:val="0"/>
  </w:num>
  <w:num w:numId="2" w16cid:durableId="216013633">
    <w:abstractNumId w:val="2"/>
  </w:num>
  <w:num w:numId="3" w16cid:durableId="1345013899">
    <w:abstractNumId w:val="1"/>
  </w:num>
  <w:num w:numId="4" w16cid:durableId="1162623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A6"/>
    <w:rsid w:val="000E028A"/>
    <w:rsid w:val="002338C2"/>
    <w:rsid w:val="00273F48"/>
    <w:rsid w:val="002D1703"/>
    <w:rsid w:val="00383663"/>
    <w:rsid w:val="00402D00"/>
    <w:rsid w:val="004A1739"/>
    <w:rsid w:val="004F018A"/>
    <w:rsid w:val="004F3235"/>
    <w:rsid w:val="0050565D"/>
    <w:rsid w:val="0055158C"/>
    <w:rsid w:val="005A6059"/>
    <w:rsid w:val="005F6EFB"/>
    <w:rsid w:val="006A5FEB"/>
    <w:rsid w:val="006B2008"/>
    <w:rsid w:val="007E1B67"/>
    <w:rsid w:val="00833013"/>
    <w:rsid w:val="008657EB"/>
    <w:rsid w:val="0093263B"/>
    <w:rsid w:val="00AE6529"/>
    <w:rsid w:val="00AF3E61"/>
    <w:rsid w:val="00BF6563"/>
    <w:rsid w:val="00C0213B"/>
    <w:rsid w:val="00CA3848"/>
    <w:rsid w:val="00DB75C5"/>
    <w:rsid w:val="00E459A6"/>
    <w:rsid w:val="00E57828"/>
    <w:rsid w:val="00F212E8"/>
    <w:rsid w:val="00F50E72"/>
    <w:rsid w:val="00FA26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72D283F-0EBA-2543-B4E3-6F84FB83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A6"/>
    <w:rPr>
      <w:rFonts w:ascii="Times New Roman" w:eastAsia="Times New Roman" w:hAnsi="Times New Roman" w:cs="Times New Roman"/>
      <w:kern w:val="0"/>
      <w:lang w:val="en-US"/>
      <w14:ligatures w14:val="none"/>
    </w:rPr>
  </w:style>
  <w:style w:type="paragraph" w:styleId="Ttulo1">
    <w:name w:val="heading 1"/>
    <w:basedOn w:val="Normal"/>
    <w:next w:val="Normal"/>
    <w:link w:val="Ttulo1Car"/>
    <w:uiPriority w:val="9"/>
    <w:qFormat/>
    <w:rsid w:val="00E459A6"/>
    <w:pPr>
      <w:keepNext/>
      <w:keepLines/>
      <w:spacing w:before="360" w:after="80" w:line="279" w:lineRule="auto"/>
      <w:outlineLvl w:val="0"/>
    </w:pPr>
    <w:rPr>
      <w:rFonts w:asciiTheme="majorHAnsi" w:eastAsiaTheme="majorEastAsia" w:hAnsiTheme="majorHAnsi" w:cstheme="majorBidi"/>
      <w:color w:val="2F5496" w:themeColor="accent1" w:themeShade="BF"/>
      <w:sz w:val="40"/>
      <w:szCs w:val="40"/>
      <w:lang w:eastAsia="ja-JP"/>
    </w:rPr>
  </w:style>
  <w:style w:type="paragraph" w:styleId="Ttulo2">
    <w:name w:val="heading 2"/>
    <w:basedOn w:val="Normal"/>
    <w:next w:val="Normal"/>
    <w:link w:val="Ttulo2Car"/>
    <w:uiPriority w:val="9"/>
    <w:unhideWhenUsed/>
    <w:qFormat/>
    <w:rsid w:val="00E459A6"/>
    <w:pPr>
      <w:keepNext/>
      <w:keepLines/>
      <w:spacing w:before="160" w:after="80" w:line="279" w:lineRule="auto"/>
      <w:outlineLvl w:val="1"/>
    </w:pPr>
    <w:rPr>
      <w:rFonts w:asciiTheme="majorHAnsi" w:eastAsiaTheme="majorEastAsia" w:hAnsiTheme="majorHAnsi" w:cstheme="majorBidi"/>
      <w:color w:val="2F5496" w:themeColor="accent1" w:themeShade="BF"/>
      <w:sz w:val="32"/>
      <w:szCs w:val="32"/>
      <w:lang w:eastAsia="ja-JP"/>
    </w:rPr>
  </w:style>
  <w:style w:type="paragraph" w:styleId="Ttulo3">
    <w:name w:val="heading 3"/>
    <w:basedOn w:val="Normal"/>
    <w:next w:val="Normal"/>
    <w:link w:val="Ttulo3Car"/>
    <w:uiPriority w:val="9"/>
    <w:unhideWhenUsed/>
    <w:qFormat/>
    <w:rsid w:val="00E459A6"/>
    <w:pPr>
      <w:keepNext/>
      <w:keepLines/>
      <w:spacing w:before="160" w:after="80" w:line="279" w:lineRule="auto"/>
      <w:outlineLvl w:val="2"/>
    </w:pPr>
    <w:rPr>
      <w:rFonts w:asciiTheme="minorHAnsi" w:eastAsiaTheme="majorEastAsia" w:hAnsiTheme="minorHAnsi" w:cstheme="majorBidi"/>
      <w:color w:val="2F5496" w:themeColor="accent1" w:themeShade="BF"/>
      <w:sz w:val="28"/>
      <w:szCs w:val="28"/>
      <w:lang w:eastAsia="ja-JP"/>
    </w:rPr>
  </w:style>
  <w:style w:type="paragraph" w:styleId="Ttulo4">
    <w:name w:val="heading 4"/>
    <w:basedOn w:val="Normal"/>
    <w:next w:val="Normal"/>
    <w:link w:val="Ttulo4Car"/>
    <w:uiPriority w:val="9"/>
    <w:unhideWhenUsed/>
    <w:qFormat/>
    <w:rsid w:val="00E459A6"/>
    <w:pPr>
      <w:keepNext/>
      <w:keepLines/>
      <w:spacing w:before="80" w:after="40" w:line="279" w:lineRule="auto"/>
      <w:outlineLvl w:val="3"/>
    </w:pPr>
    <w:rPr>
      <w:rFonts w:asciiTheme="minorHAnsi" w:eastAsiaTheme="majorEastAsia" w:hAnsiTheme="minorHAnsi" w:cstheme="majorBidi"/>
      <w:i/>
      <w:iCs/>
      <w:color w:val="2F5496" w:themeColor="accent1" w:themeShade="BF"/>
      <w:lang w:eastAsia="ja-JP"/>
    </w:rPr>
  </w:style>
  <w:style w:type="paragraph" w:styleId="Ttulo5">
    <w:name w:val="heading 5"/>
    <w:basedOn w:val="Normal"/>
    <w:next w:val="Normal"/>
    <w:link w:val="Ttulo5Car"/>
    <w:uiPriority w:val="9"/>
    <w:unhideWhenUsed/>
    <w:qFormat/>
    <w:rsid w:val="00E459A6"/>
    <w:pPr>
      <w:keepNext/>
      <w:keepLines/>
      <w:spacing w:before="80" w:after="40" w:line="279" w:lineRule="auto"/>
      <w:outlineLvl w:val="4"/>
    </w:pPr>
    <w:rPr>
      <w:rFonts w:asciiTheme="minorHAnsi" w:eastAsiaTheme="majorEastAsia" w:hAnsiTheme="minorHAnsi" w:cstheme="majorBidi"/>
      <w:color w:val="2F5496" w:themeColor="accent1" w:themeShade="BF"/>
      <w:lang w:eastAsia="ja-JP"/>
    </w:rPr>
  </w:style>
  <w:style w:type="paragraph" w:styleId="Ttulo6">
    <w:name w:val="heading 6"/>
    <w:basedOn w:val="Normal"/>
    <w:next w:val="Normal"/>
    <w:link w:val="Ttulo6Car"/>
    <w:uiPriority w:val="9"/>
    <w:unhideWhenUsed/>
    <w:qFormat/>
    <w:rsid w:val="00E459A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59A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59A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59A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59A6"/>
    <w:rPr>
      <w:rFonts w:asciiTheme="majorHAnsi" w:eastAsiaTheme="majorEastAsia" w:hAnsiTheme="majorHAnsi" w:cstheme="majorBidi"/>
      <w:color w:val="2F5496" w:themeColor="accent1" w:themeShade="BF"/>
      <w:kern w:val="0"/>
      <w:sz w:val="40"/>
      <w:szCs w:val="40"/>
      <w:lang w:val="en-US" w:eastAsia="ja-JP"/>
      <w14:ligatures w14:val="none"/>
    </w:rPr>
  </w:style>
  <w:style w:type="character" w:customStyle="1" w:styleId="Ttulo2Car">
    <w:name w:val="Título 2 Car"/>
    <w:basedOn w:val="Fuentedeprrafopredeter"/>
    <w:link w:val="Ttulo2"/>
    <w:uiPriority w:val="9"/>
    <w:rsid w:val="00E459A6"/>
    <w:rPr>
      <w:rFonts w:asciiTheme="majorHAnsi" w:eastAsiaTheme="majorEastAsia" w:hAnsiTheme="majorHAnsi" w:cstheme="majorBidi"/>
      <w:color w:val="2F5496" w:themeColor="accent1" w:themeShade="BF"/>
      <w:kern w:val="0"/>
      <w:sz w:val="32"/>
      <w:szCs w:val="32"/>
      <w:lang w:val="en-US" w:eastAsia="ja-JP"/>
      <w14:ligatures w14:val="none"/>
    </w:rPr>
  </w:style>
  <w:style w:type="character" w:customStyle="1" w:styleId="Ttulo3Car">
    <w:name w:val="Título 3 Car"/>
    <w:basedOn w:val="Fuentedeprrafopredeter"/>
    <w:link w:val="Ttulo3"/>
    <w:uiPriority w:val="9"/>
    <w:rsid w:val="00E459A6"/>
    <w:rPr>
      <w:rFonts w:eastAsiaTheme="majorEastAsia" w:cstheme="majorBidi"/>
      <w:color w:val="2F5496" w:themeColor="accent1" w:themeShade="BF"/>
      <w:kern w:val="0"/>
      <w:sz w:val="28"/>
      <w:szCs w:val="28"/>
      <w:lang w:val="en-US" w:eastAsia="ja-JP"/>
      <w14:ligatures w14:val="none"/>
    </w:rPr>
  </w:style>
  <w:style w:type="character" w:customStyle="1" w:styleId="Ttulo4Car">
    <w:name w:val="Título 4 Car"/>
    <w:basedOn w:val="Fuentedeprrafopredeter"/>
    <w:link w:val="Ttulo4"/>
    <w:uiPriority w:val="9"/>
    <w:rsid w:val="00E459A6"/>
    <w:rPr>
      <w:rFonts w:eastAsiaTheme="majorEastAsia" w:cstheme="majorBidi"/>
      <w:i/>
      <w:iCs/>
      <w:color w:val="2F5496" w:themeColor="accent1" w:themeShade="BF"/>
      <w:kern w:val="0"/>
      <w:lang w:val="en-US" w:eastAsia="ja-JP"/>
      <w14:ligatures w14:val="none"/>
    </w:rPr>
  </w:style>
  <w:style w:type="character" w:customStyle="1" w:styleId="Ttulo5Car">
    <w:name w:val="Título 5 Car"/>
    <w:basedOn w:val="Fuentedeprrafopredeter"/>
    <w:link w:val="Ttulo5"/>
    <w:uiPriority w:val="9"/>
    <w:rsid w:val="00E459A6"/>
    <w:rPr>
      <w:rFonts w:eastAsiaTheme="majorEastAsia" w:cstheme="majorBidi"/>
      <w:color w:val="2F5496" w:themeColor="accent1" w:themeShade="BF"/>
      <w:kern w:val="0"/>
      <w:lang w:val="en-US" w:eastAsia="ja-JP"/>
      <w14:ligatures w14:val="none"/>
    </w:rPr>
  </w:style>
  <w:style w:type="character" w:customStyle="1" w:styleId="Ttulo6Car">
    <w:name w:val="Título 6 Car"/>
    <w:basedOn w:val="Fuentedeprrafopredeter"/>
    <w:link w:val="Ttulo6"/>
    <w:uiPriority w:val="9"/>
    <w:rsid w:val="00E459A6"/>
    <w:rPr>
      <w:rFonts w:ascii="Times New Roman" w:eastAsiaTheme="majorEastAsia" w:hAnsi="Times New Roman" w:cstheme="majorBidi"/>
      <w:i/>
      <w:iCs/>
      <w:color w:val="595959" w:themeColor="text1" w:themeTint="A6"/>
      <w:kern w:val="0"/>
      <w:lang w:val="en-US"/>
      <w14:ligatures w14:val="none"/>
    </w:rPr>
  </w:style>
  <w:style w:type="character" w:customStyle="1" w:styleId="Ttulo7Car">
    <w:name w:val="Título 7 Car"/>
    <w:basedOn w:val="Fuentedeprrafopredeter"/>
    <w:link w:val="Ttulo7"/>
    <w:uiPriority w:val="9"/>
    <w:rsid w:val="00E459A6"/>
    <w:rPr>
      <w:rFonts w:ascii="Times New Roman" w:eastAsiaTheme="majorEastAsia" w:hAnsi="Times New Roman" w:cstheme="majorBidi"/>
      <w:color w:val="595959" w:themeColor="text1" w:themeTint="A6"/>
      <w:kern w:val="0"/>
      <w:lang w:val="en-US"/>
      <w14:ligatures w14:val="none"/>
    </w:rPr>
  </w:style>
  <w:style w:type="character" w:customStyle="1" w:styleId="Ttulo8Car">
    <w:name w:val="Título 8 Car"/>
    <w:basedOn w:val="Fuentedeprrafopredeter"/>
    <w:link w:val="Ttulo8"/>
    <w:uiPriority w:val="9"/>
    <w:rsid w:val="00E459A6"/>
    <w:rPr>
      <w:rFonts w:ascii="Times New Roman" w:eastAsiaTheme="majorEastAsia" w:hAnsi="Times New Roman" w:cstheme="majorBidi"/>
      <w:i/>
      <w:iCs/>
      <w:color w:val="272727" w:themeColor="text1" w:themeTint="D8"/>
      <w:kern w:val="0"/>
      <w:lang w:val="en-US"/>
      <w14:ligatures w14:val="none"/>
    </w:rPr>
  </w:style>
  <w:style w:type="character" w:customStyle="1" w:styleId="Ttulo9Car">
    <w:name w:val="Título 9 Car"/>
    <w:basedOn w:val="Fuentedeprrafopredeter"/>
    <w:link w:val="Ttulo9"/>
    <w:uiPriority w:val="9"/>
    <w:rsid w:val="00E459A6"/>
    <w:rPr>
      <w:rFonts w:ascii="Times New Roman" w:eastAsiaTheme="majorEastAsia" w:hAnsi="Times New Roman" w:cstheme="majorBidi"/>
      <w:color w:val="272727" w:themeColor="text1" w:themeTint="D8"/>
      <w:kern w:val="0"/>
      <w:lang w:val="en-US"/>
      <w14:ligatures w14:val="none"/>
    </w:rPr>
  </w:style>
  <w:style w:type="character" w:customStyle="1" w:styleId="TtuloCar">
    <w:name w:val="Título Car"/>
    <w:basedOn w:val="Fuentedeprrafopredeter"/>
    <w:link w:val="Ttulo"/>
    <w:uiPriority w:val="10"/>
    <w:rsid w:val="00E459A6"/>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00E459A6"/>
    <w:pPr>
      <w:spacing w:after="80"/>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1">
    <w:name w:val="Título Car1"/>
    <w:basedOn w:val="Fuentedeprrafopredeter"/>
    <w:uiPriority w:val="10"/>
    <w:rsid w:val="00E459A6"/>
    <w:rPr>
      <w:rFonts w:asciiTheme="majorHAnsi" w:eastAsiaTheme="majorEastAsia" w:hAnsiTheme="majorHAnsi" w:cstheme="majorBidi"/>
      <w:spacing w:val="-10"/>
      <w:kern w:val="28"/>
      <w:sz w:val="56"/>
      <w:szCs w:val="56"/>
      <w:lang w:val="en-US"/>
      <w14:ligatures w14:val="none"/>
    </w:rPr>
  </w:style>
  <w:style w:type="character" w:customStyle="1" w:styleId="SubttuloCar">
    <w:name w:val="Subtítulo Car"/>
    <w:basedOn w:val="Fuentedeprrafopredeter"/>
    <w:link w:val="Subttulo"/>
    <w:uiPriority w:val="11"/>
    <w:rsid w:val="00E459A6"/>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00E459A6"/>
    <w:pPr>
      <w:numPr>
        <w:ilvl w:val="1"/>
      </w:numPr>
      <w:spacing w:after="160" w:line="279"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1">
    <w:name w:val="Subtítulo Car1"/>
    <w:basedOn w:val="Fuentedeprrafopredeter"/>
    <w:uiPriority w:val="11"/>
    <w:rsid w:val="00E459A6"/>
    <w:rPr>
      <w:rFonts w:eastAsiaTheme="minorEastAsia"/>
      <w:color w:val="5A5A5A" w:themeColor="text1" w:themeTint="A5"/>
      <w:spacing w:val="15"/>
      <w:kern w:val="0"/>
      <w:sz w:val="22"/>
      <w:szCs w:val="22"/>
      <w:lang w:val="en-US"/>
      <w14:ligatures w14:val="none"/>
    </w:rPr>
  </w:style>
  <w:style w:type="character" w:styleId="nfasisintenso">
    <w:name w:val="Intense Emphasis"/>
    <w:basedOn w:val="Fuentedeprrafopredeter"/>
    <w:uiPriority w:val="21"/>
    <w:qFormat/>
    <w:rsid w:val="00E459A6"/>
    <w:rPr>
      <w:i/>
      <w:iCs/>
      <w:color w:val="2F5496" w:themeColor="accent1" w:themeShade="BF"/>
    </w:rPr>
  </w:style>
  <w:style w:type="character" w:customStyle="1" w:styleId="CitaCar">
    <w:name w:val="Cita Car"/>
    <w:basedOn w:val="Fuentedeprrafopredeter"/>
    <w:link w:val="Cita"/>
    <w:uiPriority w:val="29"/>
    <w:rsid w:val="00E459A6"/>
    <w:rPr>
      <w:i/>
      <w:iCs/>
      <w:color w:val="404040" w:themeColor="text1" w:themeTint="BF"/>
    </w:rPr>
  </w:style>
  <w:style w:type="paragraph" w:styleId="Cita">
    <w:name w:val="Quote"/>
    <w:basedOn w:val="Normal"/>
    <w:next w:val="Normal"/>
    <w:link w:val="CitaCar"/>
    <w:uiPriority w:val="29"/>
    <w:qFormat/>
    <w:rsid w:val="00E459A6"/>
    <w:pPr>
      <w:spacing w:before="160" w:after="160" w:line="279" w:lineRule="auto"/>
      <w:jc w:val="center"/>
    </w:pPr>
    <w:rPr>
      <w:rFonts w:asciiTheme="minorHAnsi" w:eastAsiaTheme="minorHAnsi" w:hAnsiTheme="minorHAnsi" w:cstheme="minorBidi"/>
      <w:i/>
      <w:iCs/>
      <w:color w:val="404040" w:themeColor="text1" w:themeTint="BF"/>
      <w:kern w:val="2"/>
      <w:lang w:val="es-CO"/>
      <w14:ligatures w14:val="standardContextual"/>
    </w:rPr>
  </w:style>
  <w:style w:type="character" w:customStyle="1" w:styleId="CitaCar1">
    <w:name w:val="Cita Car1"/>
    <w:basedOn w:val="Fuentedeprrafopredeter"/>
    <w:uiPriority w:val="29"/>
    <w:rsid w:val="00E459A6"/>
    <w:rPr>
      <w:rFonts w:ascii="Times New Roman" w:eastAsia="Times New Roman" w:hAnsi="Times New Roman" w:cs="Times New Roman"/>
      <w:i/>
      <w:iCs/>
      <w:color w:val="404040" w:themeColor="text1" w:themeTint="BF"/>
      <w:kern w:val="0"/>
      <w:lang w:val="en-US"/>
      <w14:ligatures w14:val="none"/>
    </w:rPr>
  </w:style>
  <w:style w:type="character" w:customStyle="1" w:styleId="CitadestacadaCar">
    <w:name w:val="Cita destacada Car"/>
    <w:basedOn w:val="Fuentedeprrafopredeter"/>
    <w:link w:val="Citadestacada"/>
    <w:uiPriority w:val="30"/>
    <w:rsid w:val="00E459A6"/>
    <w:rPr>
      <w:i/>
      <w:iCs/>
      <w:color w:val="2F5496" w:themeColor="accent1" w:themeShade="BF"/>
    </w:rPr>
  </w:style>
  <w:style w:type="paragraph" w:styleId="Citadestacada">
    <w:name w:val="Intense Quote"/>
    <w:basedOn w:val="Normal"/>
    <w:next w:val="Normal"/>
    <w:link w:val="CitadestacadaCar"/>
    <w:uiPriority w:val="30"/>
    <w:qFormat/>
    <w:rsid w:val="00E459A6"/>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eastAsiaTheme="minorHAnsi" w:hAnsiTheme="minorHAnsi" w:cstheme="minorBidi"/>
      <w:i/>
      <w:iCs/>
      <w:color w:val="2F5496" w:themeColor="accent1" w:themeShade="BF"/>
      <w:kern w:val="2"/>
      <w:lang w:val="es-CO"/>
      <w14:ligatures w14:val="standardContextual"/>
    </w:rPr>
  </w:style>
  <w:style w:type="character" w:customStyle="1" w:styleId="CitadestacadaCar1">
    <w:name w:val="Cita destacada Car1"/>
    <w:basedOn w:val="Fuentedeprrafopredeter"/>
    <w:uiPriority w:val="30"/>
    <w:rsid w:val="00E459A6"/>
    <w:rPr>
      <w:rFonts w:ascii="Times New Roman" w:eastAsia="Times New Roman" w:hAnsi="Times New Roman" w:cs="Times New Roman"/>
      <w:i/>
      <w:iCs/>
      <w:color w:val="4472C4" w:themeColor="accent1"/>
      <w:kern w:val="0"/>
      <w:lang w:val="en-US"/>
      <w14:ligatures w14:val="none"/>
    </w:rPr>
  </w:style>
  <w:style w:type="character" w:styleId="Referenciaintensa">
    <w:name w:val="Intense Reference"/>
    <w:basedOn w:val="Fuentedeprrafopredeter"/>
    <w:uiPriority w:val="32"/>
    <w:qFormat/>
    <w:rsid w:val="00E459A6"/>
    <w:rPr>
      <w:b/>
      <w:bCs/>
      <w:smallCaps/>
      <w:color w:val="2F5496" w:themeColor="accent1" w:themeShade="BF"/>
      <w:spacing w:val="5"/>
    </w:rPr>
  </w:style>
  <w:style w:type="paragraph" w:styleId="Prrafodelista">
    <w:name w:val="List Paragraph"/>
    <w:basedOn w:val="Normal"/>
    <w:uiPriority w:val="34"/>
    <w:qFormat/>
    <w:rsid w:val="00E459A6"/>
    <w:pPr>
      <w:spacing w:after="160" w:line="279" w:lineRule="auto"/>
      <w:ind w:left="720"/>
      <w:contextualSpacing/>
    </w:pPr>
    <w:rPr>
      <w:rFonts w:asciiTheme="minorHAnsi" w:eastAsiaTheme="minorEastAsia" w:hAnsiTheme="minorHAnsi" w:cstheme="minorBidi"/>
      <w:lang w:eastAsia="ja-JP"/>
    </w:rPr>
  </w:style>
  <w:style w:type="character" w:styleId="Hipervnculo">
    <w:name w:val="Hyperlink"/>
    <w:basedOn w:val="Fuentedeprrafopredeter"/>
    <w:uiPriority w:val="99"/>
    <w:unhideWhenUsed/>
    <w:rsid w:val="00E459A6"/>
    <w:rPr>
      <w:color w:val="0563C1" w:themeColor="hyperlink"/>
      <w:u w:val="single"/>
    </w:rPr>
  </w:style>
  <w:style w:type="table" w:styleId="Tablaconcuadrcula">
    <w:name w:val="Table Grid"/>
    <w:basedOn w:val="Tablanormal"/>
    <w:uiPriority w:val="59"/>
    <w:rsid w:val="00E459A6"/>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E459A6"/>
    <w:rPr>
      <w:sz w:val="16"/>
      <w:szCs w:val="16"/>
    </w:rPr>
  </w:style>
  <w:style w:type="paragraph" w:styleId="Textocomentario">
    <w:name w:val="annotation text"/>
    <w:basedOn w:val="Normal"/>
    <w:link w:val="TextocomentarioCar"/>
    <w:uiPriority w:val="99"/>
    <w:semiHidden/>
    <w:unhideWhenUsed/>
    <w:rsid w:val="00E459A6"/>
    <w:rPr>
      <w:sz w:val="20"/>
      <w:szCs w:val="20"/>
    </w:rPr>
  </w:style>
  <w:style w:type="character" w:customStyle="1" w:styleId="TextocomentarioCar">
    <w:name w:val="Texto comentario Car"/>
    <w:basedOn w:val="Fuentedeprrafopredeter"/>
    <w:link w:val="Textocomentario"/>
    <w:uiPriority w:val="99"/>
    <w:semiHidden/>
    <w:rsid w:val="00E459A6"/>
    <w:rPr>
      <w:rFonts w:ascii="Times New Roman" w:eastAsia="Times New Roman" w:hAnsi="Times New Roman" w:cs="Times New Roman"/>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E459A6"/>
    <w:rPr>
      <w:b/>
      <w:bCs/>
    </w:rPr>
  </w:style>
  <w:style w:type="character" w:customStyle="1" w:styleId="AsuntodelcomentarioCar">
    <w:name w:val="Asunto del comentario Car"/>
    <w:basedOn w:val="TextocomentarioCar"/>
    <w:link w:val="Asuntodelcomentario"/>
    <w:uiPriority w:val="99"/>
    <w:semiHidden/>
    <w:rsid w:val="00E459A6"/>
    <w:rPr>
      <w:rFonts w:ascii="Times New Roman" w:eastAsia="Times New Roman" w:hAnsi="Times New Roman" w:cs="Times New Roman"/>
      <w:b/>
      <w:bCs/>
      <w:kern w:val="0"/>
      <w:sz w:val="20"/>
      <w:szCs w:val="20"/>
      <w:lang w:val="en-US"/>
      <w14:ligatures w14:val="none"/>
    </w:rPr>
  </w:style>
  <w:style w:type="paragraph" w:styleId="Revisin">
    <w:name w:val="Revision"/>
    <w:hidden/>
    <w:uiPriority w:val="99"/>
    <w:semiHidden/>
    <w:rsid w:val="00E459A6"/>
    <w:rPr>
      <w:rFonts w:eastAsiaTheme="minorEastAsia"/>
      <w:kern w:val="0"/>
      <w:lang w:val="en-US" w:eastAsia="ja-JP"/>
      <w14:ligatures w14:val="none"/>
    </w:rPr>
  </w:style>
  <w:style w:type="character" w:styleId="Mencinsinresolver">
    <w:name w:val="Unresolved Mention"/>
    <w:basedOn w:val="Fuentedeprrafopredeter"/>
    <w:uiPriority w:val="99"/>
    <w:semiHidden/>
    <w:unhideWhenUsed/>
    <w:rsid w:val="00E459A6"/>
    <w:rPr>
      <w:color w:val="605E5C"/>
      <w:shd w:val="clear" w:color="auto" w:fill="E1DFDD"/>
    </w:rPr>
  </w:style>
  <w:style w:type="paragraph" w:customStyle="1" w:styleId="EndNoteBibliographyTitle">
    <w:name w:val="EndNote Bibliography Title"/>
    <w:basedOn w:val="Normal"/>
    <w:link w:val="EndNoteBibliographyTitleChar"/>
    <w:rsid w:val="00E459A6"/>
    <w:pPr>
      <w:jc w:val="center"/>
    </w:pPr>
    <w:rPr>
      <w:rFonts w:ascii="Aptos" w:hAnsi="Aptos"/>
    </w:rPr>
  </w:style>
  <w:style w:type="character" w:customStyle="1" w:styleId="EndNoteBibliographyTitleChar">
    <w:name w:val="EndNote Bibliography Title Char"/>
    <w:basedOn w:val="Fuentedeprrafopredeter"/>
    <w:link w:val="EndNoteBibliographyTitle"/>
    <w:rsid w:val="00E459A6"/>
    <w:rPr>
      <w:rFonts w:ascii="Aptos" w:eastAsia="Times New Roman" w:hAnsi="Aptos" w:cs="Times New Roman"/>
      <w:kern w:val="0"/>
      <w:lang w:val="en-US"/>
      <w14:ligatures w14:val="none"/>
    </w:rPr>
  </w:style>
  <w:style w:type="paragraph" w:customStyle="1" w:styleId="EndNoteBibliography">
    <w:name w:val="EndNote Bibliography"/>
    <w:basedOn w:val="Normal"/>
    <w:link w:val="EndNoteBibliographyChar"/>
    <w:rsid w:val="00E459A6"/>
    <w:pPr>
      <w:jc w:val="center"/>
    </w:pPr>
    <w:rPr>
      <w:rFonts w:ascii="Aptos" w:hAnsi="Aptos"/>
    </w:rPr>
  </w:style>
  <w:style w:type="character" w:customStyle="1" w:styleId="EndNoteBibliographyChar">
    <w:name w:val="EndNote Bibliography Char"/>
    <w:basedOn w:val="Fuentedeprrafopredeter"/>
    <w:link w:val="EndNoteBibliography"/>
    <w:rsid w:val="00E459A6"/>
    <w:rPr>
      <w:rFonts w:ascii="Aptos" w:eastAsia="Times New Roman" w:hAnsi="Aptos" w:cs="Times New Roman"/>
      <w:kern w:val="0"/>
      <w:lang w:val="en-US"/>
      <w14:ligatures w14:val="none"/>
    </w:rPr>
  </w:style>
  <w:style w:type="paragraph" w:styleId="Sinespaciado">
    <w:name w:val="No Spacing"/>
    <w:uiPriority w:val="1"/>
    <w:qFormat/>
    <w:rsid w:val="00E459A6"/>
    <w:rPr>
      <w:rFonts w:ascii="Times New Roman" w:eastAsia="Times New Roman" w:hAnsi="Times New Roman" w:cs="Times New Roman"/>
      <w:kern w:val="0"/>
      <w:lang w:val="en-US"/>
      <w14:ligatures w14:val="none"/>
    </w:rPr>
  </w:style>
  <w:style w:type="character" w:styleId="Hipervnculovisitado">
    <w:name w:val="FollowedHyperlink"/>
    <w:basedOn w:val="Fuentedeprrafopredeter"/>
    <w:uiPriority w:val="99"/>
    <w:semiHidden/>
    <w:unhideWhenUsed/>
    <w:rsid w:val="00E459A6"/>
    <w:rPr>
      <w:color w:val="954F72" w:themeColor="followedHyperlink"/>
      <w:u w:val="single"/>
    </w:rPr>
  </w:style>
  <w:style w:type="character" w:customStyle="1" w:styleId="normaltextrun">
    <w:name w:val="normaltextrun"/>
    <w:basedOn w:val="Fuentedeprrafopredeter"/>
    <w:rsid w:val="00E459A6"/>
  </w:style>
  <w:style w:type="character" w:customStyle="1" w:styleId="eop">
    <w:name w:val="eop"/>
    <w:basedOn w:val="Fuentedeprrafopredeter"/>
    <w:rsid w:val="00E459A6"/>
  </w:style>
  <w:style w:type="paragraph" w:customStyle="1" w:styleId="paragraph">
    <w:name w:val="paragraph"/>
    <w:basedOn w:val="Normal"/>
    <w:rsid w:val="00E459A6"/>
    <w:pPr>
      <w:spacing w:before="100" w:beforeAutospacing="1" w:after="100" w:afterAutospacing="1"/>
    </w:pPr>
    <w:rPr>
      <w:lang w:val="es-CO" w:eastAsia="es-MX"/>
    </w:rPr>
  </w:style>
  <w:style w:type="paragraph" w:styleId="NormalWeb">
    <w:name w:val="Normal (Web)"/>
    <w:basedOn w:val="Normal"/>
    <w:uiPriority w:val="99"/>
    <w:unhideWhenUsed/>
    <w:rsid w:val="00E459A6"/>
    <w:pPr>
      <w:spacing w:before="100" w:beforeAutospacing="1" w:after="100" w:afterAutospacing="1"/>
    </w:pPr>
    <w:rPr>
      <w:lang w:val="es-CO" w:eastAsia="es-MX"/>
    </w:rPr>
  </w:style>
  <w:style w:type="character" w:styleId="Textoennegrita">
    <w:name w:val="Strong"/>
    <w:basedOn w:val="Fuentedeprrafopredeter"/>
    <w:uiPriority w:val="22"/>
    <w:qFormat/>
    <w:rsid w:val="00E459A6"/>
    <w:rPr>
      <w:b/>
      <w:bCs/>
    </w:rPr>
  </w:style>
  <w:style w:type="table" w:styleId="Tablaconcuadrculaclara">
    <w:name w:val="Grid Table Light"/>
    <w:basedOn w:val="Tablanormal"/>
    <w:uiPriority w:val="40"/>
    <w:rsid w:val="00E459A6"/>
    <w:rPr>
      <w:rFonts w:eastAsiaTheme="minorEastAsia"/>
      <w:kern w:val="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1464</Words>
  <Characters>9507</Characters>
  <Application>Microsoft Office Word</Application>
  <DocSecurity>0</DocSecurity>
  <Lines>186</Lines>
  <Paragraphs>80</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Camilo Olivella Gomez</dc:creator>
  <cp:keywords/>
  <dc:description/>
  <cp:lastModifiedBy>Juan Camilo Olivella Gomez</cp:lastModifiedBy>
  <cp:revision>1</cp:revision>
  <dcterms:created xsi:type="dcterms:W3CDTF">2024-12-13T13:53:00Z</dcterms:created>
  <dcterms:modified xsi:type="dcterms:W3CDTF">2024-12-13T14:09:00Z</dcterms:modified>
</cp:coreProperties>
</file>