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FC201C" w:rsidRPr="00E47DC6" w:rsidP="00F67C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7DC6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Pr="00E47DC6">
        <w:rPr>
          <w:rFonts w:ascii="Times New Roman" w:hAnsi="Times New Roman" w:cs="Times New Roman"/>
          <w:b/>
          <w:bCs/>
          <w:sz w:val="20"/>
          <w:szCs w:val="20"/>
        </w:rPr>
        <w:t xml:space="preserve"> material 1.</w:t>
      </w:r>
      <w:r w:rsidRPr="00E47DC6">
        <w:rPr>
          <w:rFonts w:ascii="Times New Roman" w:hAnsi="Times New Roman" w:cs="Times New Roman"/>
          <w:sz w:val="20"/>
          <w:szCs w:val="20"/>
        </w:rPr>
        <w:t xml:space="preserve"> </w:t>
      </w:r>
      <w:r w:rsidRPr="00E47DC6">
        <w:rPr>
          <w:rFonts w:ascii="Times New Roman" w:hAnsi="Times New Roman" w:cs="Times New Roman"/>
          <w:sz w:val="20"/>
          <w:szCs w:val="20"/>
        </w:rPr>
        <w:t>Pairwise</w:t>
      </w:r>
      <w:r w:rsidRPr="00E47DC6">
        <w:rPr>
          <w:rFonts w:ascii="Times New Roman" w:hAnsi="Times New Roman" w:cs="Times New Roman"/>
          <w:sz w:val="20"/>
          <w:szCs w:val="20"/>
        </w:rPr>
        <w:t xml:space="preserve"> </w:t>
      </w:r>
      <w:r w:rsidRPr="00E47DC6">
        <w:rPr>
          <w:rFonts w:ascii="Times New Roman" w:hAnsi="Times New Roman" w:cs="Times New Roman"/>
          <w:sz w:val="20"/>
          <w:szCs w:val="20"/>
        </w:rPr>
        <w:t>comparisons</w:t>
      </w:r>
      <w:r w:rsidR="00E47DC6">
        <w:rPr>
          <w:rFonts w:ascii="Times New Roman" w:hAnsi="Times New Roman" w:cs="Times New Roman"/>
          <w:sz w:val="20"/>
          <w:szCs w:val="20"/>
        </w:rPr>
        <w:t>.</w:t>
      </w:r>
    </w:p>
    <w:p w:rsidR="00F67CD0" w:rsidRPr="00E47DC6" w:rsidP="00F67CD0">
      <w:pPr>
        <w:spacing w:after="0" w:line="240" w:lineRule="auto"/>
        <w:rPr>
          <w:sz w:val="20"/>
          <w:szCs w:val="20"/>
        </w:rPr>
      </w:pPr>
    </w:p>
    <w:p w:rsidR="00F67CD0" w:rsidRPr="00E47DC6" w:rsidP="00F67CD0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</w:p>
    <w:p w:rsidR="00F67CD0" w:rsidRPr="00E47DC6" w:rsidP="00F67CD0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E47D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Results of post-hoc comparisons for the biological zero (BZ) parameter across different AOP levels with Bonferroni-corrected p-values, effect size estimates (Hedges' g), and interpretation of the relevance of differences between pairs of conditions.</w:t>
      </w:r>
    </w:p>
    <w:tbl>
      <w:tblPr>
        <w:tblStyle w:val="TableGrid"/>
        <w:tblW w:w="37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4"/>
        <w:gridCol w:w="2126"/>
        <w:gridCol w:w="2126"/>
      </w:tblGrid>
      <w:tr w:rsidTr="00E47DC6">
        <w:tblPrEx>
          <w:tblW w:w="3749" w:type="pct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Pair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p-corrected</w:t>
            </w:r>
          </w:p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(Bonferroni)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Hedges's g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  <w:tcBorders>
              <w:top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80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3.72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100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9.07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130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9.10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100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7.37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130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7.42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vs 130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</w:tbl>
    <w:p w:rsidR="00F67CD0" w:rsidRPr="00E47DC6" w:rsidP="00F67CD0">
      <w:pPr>
        <w:spacing w:after="0" w:line="240" w:lineRule="auto"/>
        <w:rPr>
          <w:sz w:val="20"/>
          <w:szCs w:val="20"/>
        </w:rPr>
      </w:pPr>
    </w:p>
    <w:p w:rsidR="00F67CD0" w:rsidRPr="00E47DC6" w:rsidP="00F67CD0">
      <w:pPr>
        <w:spacing w:after="0" w:line="240" w:lineRule="auto"/>
        <w:rPr>
          <w:sz w:val="20"/>
          <w:szCs w:val="20"/>
        </w:rPr>
      </w:pPr>
    </w:p>
    <w:p w:rsidR="00F67CD0" w:rsidRPr="00E47DC6" w:rsidP="00F67CD0">
      <w:pPr>
        <w:pStyle w:val="Caption"/>
        <w:keepNext/>
        <w:spacing w:after="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E47D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Results of post-hoc comparisons for the </w:t>
      </w:r>
      <w:r w:rsidRPr="00E47D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Rhmax</w:t>
      </w:r>
      <w:r w:rsidRPr="00E47D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parameter across different AOP levels with Bonferroni-corrected p-values, effect size estimates (Hedges' g), and interpretation of the relevance of differences between pairs of conditions.</w:t>
      </w:r>
    </w:p>
    <w:tbl>
      <w:tblPr>
        <w:tblStyle w:val="TableGrid"/>
        <w:tblW w:w="37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4"/>
        <w:gridCol w:w="2126"/>
        <w:gridCol w:w="2126"/>
      </w:tblGrid>
      <w:tr w:rsidTr="00E47DC6">
        <w:tblPrEx>
          <w:tblW w:w="3749" w:type="pct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Pair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p-corrected</w:t>
            </w:r>
          </w:p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(Bonferroni)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Hedges's g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  <w:tcBorders>
              <w:top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80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-6.06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100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-8.11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130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-8.36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100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-5.44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130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-5.60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vs 130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</w:tr>
    </w:tbl>
    <w:p w:rsidR="00F67CD0" w:rsidRPr="00E47DC6" w:rsidP="00F67CD0">
      <w:pPr>
        <w:spacing w:after="0" w:line="240" w:lineRule="auto"/>
        <w:rPr>
          <w:sz w:val="20"/>
          <w:szCs w:val="20"/>
        </w:rPr>
      </w:pPr>
    </w:p>
    <w:p w:rsidR="00F67CD0" w:rsidRPr="00E47DC6" w:rsidP="00F67CD0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</w:p>
    <w:p w:rsidR="00F67CD0" w:rsidRPr="00E47DC6" w:rsidP="00F67CD0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E47D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Results of post-hoc comparisons for the time to peak (TP) parameter across different AOP levels with Bonferroni-corrected p-values, effect size estimates (Hedges' g), and interpretation of the relevance of differences between pairs of conditions.</w:t>
      </w:r>
    </w:p>
    <w:tbl>
      <w:tblPr>
        <w:tblStyle w:val="TableGrid"/>
        <w:tblW w:w="37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4"/>
        <w:gridCol w:w="2126"/>
        <w:gridCol w:w="2126"/>
      </w:tblGrid>
      <w:tr w:rsidTr="00E47DC6">
        <w:tblPrEx>
          <w:tblW w:w="3749" w:type="pct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Pair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p-corrected</w:t>
            </w:r>
          </w:p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(Bonferroni)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Hedges's g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  <w:tcBorders>
              <w:top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80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-2.65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100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-4.64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130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-5.44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100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-3.46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130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-4.26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vs 130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667" w:type="pct"/>
          </w:tcPr>
          <w:p w:rsidR="00E47DC6" w:rsidRPr="00E47DC6" w:rsidP="00F67CD0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</w:t>
            </w:r>
          </w:p>
        </w:tc>
      </w:tr>
    </w:tbl>
    <w:p w:rsidR="00F67CD0" w:rsidRPr="00E47DC6" w:rsidP="00F67CD0">
      <w:pPr>
        <w:spacing w:after="0" w:line="240" w:lineRule="auto"/>
        <w:rPr>
          <w:sz w:val="20"/>
          <w:szCs w:val="20"/>
        </w:rPr>
      </w:pPr>
    </w:p>
    <w:p w:rsidR="00E47DC6" w:rsidRPr="00E47DC6" w:rsidP="00E47DC6">
      <w:pPr>
        <w:spacing w:after="0" w:line="240" w:lineRule="auto"/>
        <w:rPr>
          <w:sz w:val="20"/>
          <w:szCs w:val="20"/>
        </w:rPr>
      </w:pPr>
    </w:p>
    <w:p w:rsidR="00E47DC6" w:rsidRPr="00E47DC6" w:rsidP="00E47DC6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E47D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Results of post-hoc comparisons for the Average NN Interval (AVNN) parameter across different AOP levels with Bonferroni-corrected p-values, effect size estimates (Hedges' g), and interpretation of the relevance of differences between pairs of conditions.</w:t>
      </w:r>
    </w:p>
    <w:tbl>
      <w:tblPr>
        <w:tblStyle w:val="TableGrid"/>
        <w:tblW w:w="37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4"/>
        <w:gridCol w:w="2126"/>
        <w:gridCol w:w="2126"/>
      </w:tblGrid>
      <w:tr w:rsidTr="00E47DC6">
        <w:tblPrEx>
          <w:tblW w:w="3749" w:type="pct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Pair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p-corrected</w:t>
            </w:r>
          </w:p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(Bonferroni)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Hedges's g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80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3.32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6.01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6.46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</w:tbl>
    <w:p w:rsidR="00E47DC6" w:rsidRPr="00E47DC6" w:rsidP="00E47DC6">
      <w:pPr>
        <w:tabs>
          <w:tab w:val="left" w:pos="2524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47DC6" w:rsidRPr="00E47DC6" w:rsidP="00E47DC6">
      <w:pPr>
        <w:spacing w:after="0" w:line="240" w:lineRule="auto"/>
        <w:rPr>
          <w:sz w:val="20"/>
          <w:szCs w:val="20"/>
        </w:rPr>
      </w:pPr>
    </w:p>
    <w:p w:rsidR="00E47DC6" w:rsidRPr="00E47DC6" w:rsidP="00E47DC6">
      <w:pPr>
        <w:spacing w:after="0" w:line="240" w:lineRule="auto"/>
        <w:rPr>
          <w:sz w:val="20"/>
          <w:szCs w:val="20"/>
        </w:rPr>
      </w:pPr>
    </w:p>
    <w:p w:rsidR="00E47DC6" w:rsidRPr="00E47DC6" w:rsidP="00E47DC6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E47D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Results of post-hoc comparisons for the Standard Deviation of NN Intervals (SDNN) parameter across different AOP levels with Bonferroni-corrected p-values, effect size estimates (Hedges' g), and interpretation of the relevance of differences between pairs of conditions.</w:t>
      </w:r>
    </w:p>
    <w:tbl>
      <w:tblPr>
        <w:tblStyle w:val="TableGrid"/>
        <w:tblW w:w="37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4"/>
        <w:gridCol w:w="2126"/>
        <w:gridCol w:w="2126"/>
      </w:tblGrid>
      <w:tr w:rsidTr="00E47DC6">
        <w:tblPrEx>
          <w:tblW w:w="3749" w:type="pct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Pair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p-corrected</w:t>
            </w:r>
          </w:p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(Bonferroni)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Hedges's g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80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-4.19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-7.88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-8.46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-1.89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-2.00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</w:tr>
    </w:tbl>
    <w:p w:rsidR="00E47DC6" w:rsidRPr="00E47DC6" w:rsidP="00E47DC6">
      <w:pPr>
        <w:tabs>
          <w:tab w:val="left" w:pos="2524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47DC6" w:rsidRPr="00E47DC6" w:rsidP="00E47DC6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E47D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Results of post-hoc comparisons for the Low/High Frequency Ratio (LF-HF) parameter across different AOP levels with Bonferroni-corrected p-values, effect size estimates (Hedges' g), and interpretation of the relevance of differences between pairs of conditions.</w:t>
      </w:r>
    </w:p>
    <w:tbl>
      <w:tblPr>
        <w:tblStyle w:val="TableGrid"/>
        <w:tblW w:w="37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4"/>
        <w:gridCol w:w="2126"/>
        <w:gridCol w:w="2126"/>
      </w:tblGrid>
      <w:tr w:rsidTr="00E47DC6">
        <w:tblPrEx>
          <w:tblW w:w="3749" w:type="pct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Pair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p-corrected</w:t>
            </w:r>
          </w:p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(Bonferroni)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Hedges's g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80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-5.43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-7.48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-7.58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-2.45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-2.69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0.137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</w:t>
            </w:r>
          </w:p>
        </w:tc>
      </w:tr>
    </w:tbl>
    <w:p w:rsidR="00E47DC6" w:rsidRPr="00E47DC6" w:rsidP="00E47DC6">
      <w:pPr>
        <w:tabs>
          <w:tab w:val="left" w:pos="2524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47DC6" w:rsidRPr="00E47DC6" w:rsidP="00E47DC6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E47D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Results of post-hoc comparisons for the heart rate (HR) parameter across different AOP levels with Bonferroni-corrected p-values, effect size estimates (Hedges' g), and interpretation of the relevance of differences between pairs of conditions.</w:t>
      </w:r>
    </w:p>
    <w:tbl>
      <w:tblPr>
        <w:tblStyle w:val="TableGrid"/>
        <w:tblW w:w="37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4"/>
        <w:gridCol w:w="2126"/>
        <w:gridCol w:w="2126"/>
      </w:tblGrid>
      <w:tr w:rsidTr="00E47DC6">
        <w:tblPrEx>
          <w:tblW w:w="3749" w:type="pct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Pair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p-corrected</w:t>
            </w:r>
          </w:p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(Bonferroni)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Hedges's g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80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-1.31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-1.47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100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-0.82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-0.96</w:t>
            </w:r>
          </w:p>
        </w:tc>
      </w:tr>
      <w:tr w:rsidTr="00E47DC6">
        <w:tblPrEx>
          <w:tblW w:w="3749" w:type="pct"/>
          <w:tblLook w:val="04A0"/>
        </w:tblPrEx>
        <w:tc>
          <w:tcPr>
            <w:tcW w:w="1666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vs 130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0.010</w:t>
            </w:r>
          </w:p>
        </w:tc>
        <w:tc>
          <w:tcPr>
            <w:tcW w:w="1667" w:type="pct"/>
          </w:tcPr>
          <w:p w:rsidR="00E47DC6" w:rsidRPr="00E47DC6" w:rsidP="00E47DC6">
            <w:pPr>
              <w:tabs>
                <w:tab w:val="left" w:pos="252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</w:t>
            </w:r>
          </w:p>
        </w:tc>
      </w:tr>
    </w:tbl>
    <w:p w:rsidR="00E47DC6" w:rsidRPr="00E47DC6" w:rsidP="00E47DC6">
      <w:pPr>
        <w:tabs>
          <w:tab w:val="left" w:pos="2524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47DC6" w:rsidRPr="00E47DC6" w:rsidP="00F67CD0">
      <w:pPr>
        <w:spacing w:after="0" w:line="240" w:lineRule="auto"/>
        <w:rPr>
          <w:sz w:val="20"/>
          <w:szCs w:val="20"/>
        </w:rPr>
      </w:pPr>
    </w:p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arter"/>
    <w:uiPriority w:val="9"/>
    <w:qFormat/>
    <w:rsid w:val="00F67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arter"/>
    <w:uiPriority w:val="9"/>
    <w:semiHidden/>
    <w:unhideWhenUsed/>
    <w:qFormat/>
    <w:rsid w:val="00F67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arter"/>
    <w:uiPriority w:val="9"/>
    <w:semiHidden/>
    <w:unhideWhenUsed/>
    <w:qFormat/>
    <w:rsid w:val="00F67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arter"/>
    <w:uiPriority w:val="9"/>
    <w:semiHidden/>
    <w:unhideWhenUsed/>
    <w:qFormat/>
    <w:rsid w:val="00F67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arter"/>
    <w:uiPriority w:val="9"/>
    <w:semiHidden/>
    <w:unhideWhenUsed/>
    <w:qFormat/>
    <w:rsid w:val="00F67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arter"/>
    <w:uiPriority w:val="9"/>
    <w:semiHidden/>
    <w:unhideWhenUsed/>
    <w:qFormat/>
    <w:rsid w:val="00F67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arter"/>
    <w:uiPriority w:val="9"/>
    <w:semiHidden/>
    <w:unhideWhenUsed/>
    <w:qFormat/>
    <w:rsid w:val="00F67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arter"/>
    <w:uiPriority w:val="9"/>
    <w:semiHidden/>
    <w:unhideWhenUsed/>
    <w:qFormat/>
    <w:rsid w:val="00F67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arter"/>
    <w:uiPriority w:val="9"/>
    <w:semiHidden/>
    <w:unhideWhenUsed/>
    <w:qFormat/>
    <w:rsid w:val="00F67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arter">
    <w:name w:val="Título 1 Caráter"/>
    <w:basedOn w:val="DefaultParagraphFont"/>
    <w:link w:val="Heading1"/>
    <w:uiPriority w:val="9"/>
    <w:rsid w:val="00F67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DefaultParagraphFont"/>
    <w:link w:val="Heading2"/>
    <w:uiPriority w:val="9"/>
    <w:semiHidden/>
    <w:rsid w:val="00F67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DefaultParagraphFont"/>
    <w:link w:val="Heading3"/>
    <w:uiPriority w:val="9"/>
    <w:semiHidden/>
    <w:rsid w:val="00F67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DefaultParagraphFont"/>
    <w:link w:val="Heading4"/>
    <w:uiPriority w:val="9"/>
    <w:semiHidden/>
    <w:rsid w:val="00F67C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DefaultParagraphFont"/>
    <w:link w:val="Heading5"/>
    <w:uiPriority w:val="9"/>
    <w:semiHidden/>
    <w:rsid w:val="00F67CD0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DefaultParagraphFont"/>
    <w:link w:val="Heading6"/>
    <w:uiPriority w:val="9"/>
    <w:semiHidden/>
    <w:rsid w:val="00F67C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DefaultParagraphFont"/>
    <w:link w:val="Heading7"/>
    <w:uiPriority w:val="9"/>
    <w:semiHidden/>
    <w:rsid w:val="00F67CD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DefaultParagraphFont"/>
    <w:link w:val="Heading8"/>
    <w:uiPriority w:val="9"/>
    <w:semiHidden/>
    <w:rsid w:val="00F67C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DefaultParagraphFont"/>
    <w:link w:val="Heading9"/>
    <w:uiPriority w:val="9"/>
    <w:semiHidden/>
    <w:rsid w:val="00F67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arter"/>
    <w:uiPriority w:val="10"/>
    <w:qFormat/>
    <w:rsid w:val="00F67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DefaultParagraphFont"/>
    <w:link w:val="Title"/>
    <w:uiPriority w:val="10"/>
    <w:rsid w:val="00F67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arter"/>
    <w:uiPriority w:val="11"/>
    <w:qFormat/>
    <w:rsid w:val="00F67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DefaultParagraphFont"/>
    <w:link w:val="Subtitle"/>
    <w:uiPriority w:val="11"/>
    <w:rsid w:val="00F67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arter"/>
    <w:uiPriority w:val="29"/>
    <w:qFormat/>
    <w:rsid w:val="00F67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DefaultParagraphFont"/>
    <w:link w:val="Quote"/>
    <w:uiPriority w:val="29"/>
    <w:rsid w:val="00F67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arter"/>
    <w:uiPriority w:val="30"/>
    <w:qFormat/>
    <w:rsid w:val="00F67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DefaultParagraphFont"/>
    <w:link w:val="IntenseQuote"/>
    <w:uiPriority w:val="30"/>
    <w:rsid w:val="00F67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C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7CD0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67CD0"/>
    <w:pPr>
      <w:spacing w:after="200" w:line="240" w:lineRule="auto"/>
    </w:pPr>
    <w:rPr>
      <w:i/>
      <w:iCs/>
      <w:color w:val="0E2841" w:themeColor="text2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