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DE7B" w14:textId="4C034EE0" w:rsidR="00E67B65" w:rsidRPr="00D821F2" w:rsidRDefault="00E67B65" w:rsidP="00D821F2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D821F2">
        <w:rPr>
          <w:rFonts w:asciiTheme="majorBidi" w:eastAsia="Calibri" w:hAnsiTheme="majorBidi" w:cstheme="majorBidi"/>
          <w:b/>
          <w:bCs/>
          <w:sz w:val="24"/>
          <w:szCs w:val="24"/>
          <w:lang w:bidi="ar-EG"/>
        </w:rPr>
        <w:t>Pilot Study</w:t>
      </w:r>
    </w:p>
    <w:p w14:paraId="5D669F74" w14:textId="77777777" w:rsidR="00E67B65" w:rsidRDefault="00E67B65" w:rsidP="00E67B65">
      <w:pPr>
        <w:spacing w:line="360" w:lineRule="auto"/>
        <w:jc w:val="both"/>
        <w:rPr>
          <w:rFonts w:ascii="Times New Roman" w:hAnsi="Times New Roman" w:cs="Times New Roman"/>
        </w:rPr>
      </w:pPr>
      <w:r w:rsidRPr="00B9006D">
        <w:rPr>
          <w:rFonts w:ascii="Times New Roman" w:hAnsi="Times New Roman" w:cs="Times New Roman"/>
        </w:rPr>
        <w:t xml:space="preserve"> In this preliminary experiment, three groups of infected mice (n = 3 per group) were treated with different doses of Cur-CSNPs: 0.5 mL, 1 mL, and 1.5 mL per mouse</w:t>
      </w:r>
      <w:r>
        <w:rPr>
          <w:rFonts w:ascii="Times New Roman" w:hAnsi="Times New Roman" w:cs="Times New Roman"/>
        </w:rPr>
        <w:t xml:space="preserve"> for </w:t>
      </w:r>
      <w:r w:rsidRPr="007F33B1">
        <w:rPr>
          <w:rFonts w:ascii="Times New Roman" w:hAnsi="Times New Roman" w:cs="Times New Roman"/>
        </w:rPr>
        <w:t>10 days to observe immediate clinical signs, survival, or efficacy markers.</w:t>
      </w:r>
      <w:r w:rsidRPr="00B9006D">
        <w:rPr>
          <w:rFonts w:ascii="Times New Roman" w:hAnsi="Times New Roman" w:cs="Times New Roman"/>
        </w:rPr>
        <w:t xml:space="preserve"> We observed mortality in the group receiving the highest dose (1.5 mL), while the 0.5 mL group showed the best safety profile and acceptable therapeutic response. </w:t>
      </w:r>
    </w:p>
    <w:p w14:paraId="6DEA87E3" w14:textId="2497D6C5" w:rsidR="00D374F9" w:rsidRPr="0031183E" w:rsidRDefault="00D374F9" w:rsidP="00E67B65">
      <w:pPr>
        <w:spacing w:line="360" w:lineRule="auto"/>
        <w:jc w:val="both"/>
        <w:rPr>
          <w:rFonts w:ascii="Times New Roman" w:hAnsi="Times New Roman" w:cs="Times New Roman"/>
        </w:rPr>
      </w:pPr>
      <w:r w:rsidRPr="00510EA9">
        <w:rPr>
          <w:rFonts w:ascii="Times New Roman" w:hAnsi="Times New Roman" w:cs="Times New Roman"/>
          <w:b/>
          <w:bCs/>
        </w:rPr>
        <w:t>Table S1:</w:t>
      </w:r>
      <w:r>
        <w:rPr>
          <w:rFonts w:ascii="Times New Roman" w:hAnsi="Times New Roman" w:cs="Times New Roman"/>
        </w:rPr>
        <w:t xml:space="preserve"> </w:t>
      </w:r>
      <w:r w:rsidRPr="00D374F9">
        <w:rPr>
          <w:rFonts w:ascii="Times New Roman" w:hAnsi="Times New Roman" w:cs="Times New Roman"/>
        </w:rPr>
        <w:t>Pilot study assessing the safety and efficacy of different Cur-CSNPs doses in experimentally infected mice</w:t>
      </w:r>
      <w:r>
        <w:rPr>
          <w:rFonts w:ascii="Times New Roman" w:hAnsi="Times New Roman" w:cs="Times New Roman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8"/>
        <w:gridCol w:w="2234"/>
        <w:gridCol w:w="1396"/>
        <w:gridCol w:w="1203"/>
        <w:gridCol w:w="3589"/>
      </w:tblGrid>
      <w:tr w:rsidR="00E67B65" w:rsidRPr="002A734A" w14:paraId="2DEC5FB0" w14:textId="77777777" w:rsidTr="002A734A">
        <w:trPr>
          <w:trHeight w:val="290"/>
        </w:trPr>
        <w:tc>
          <w:tcPr>
            <w:tcW w:w="600" w:type="pct"/>
            <w:shd w:val="clear" w:color="auto" w:fill="D9D9D9" w:themeFill="background1" w:themeFillShade="D9"/>
            <w:noWrap/>
            <w:vAlign w:val="center"/>
            <w:hideMark/>
          </w:tcPr>
          <w:p w14:paraId="45000ABE" w14:textId="77777777" w:rsidR="00E67B65" w:rsidRPr="002A734A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734A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059" w:type="pct"/>
            <w:shd w:val="clear" w:color="auto" w:fill="D9D9D9" w:themeFill="background1" w:themeFillShade="D9"/>
            <w:noWrap/>
            <w:vAlign w:val="center"/>
            <w:hideMark/>
          </w:tcPr>
          <w:p w14:paraId="2DA9008D" w14:textId="77777777" w:rsidR="00E67B65" w:rsidRPr="002A734A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734A">
              <w:rPr>
                <w:rFonts w:ascii="Times New Roman" w:hAnsi="Times New Roman" w:cs="Times New Roman"/>
                <w:b/>
                <w:bCs/>
              </w:rPr>
              <w:t>Dose of Cur-CSNPs</w:t>
            </w:r>
          </w:p>
        </w:tc>
        <w:tc>
          <w:tcPr>
            <w:tcW w:w="678" w:type="pct"/>
            <w:shd w:val="clear" w:color="auto" w:fill="D9D9D9" w:themeFill="background1" w:themeFillShade="D9"/>
            <w:noWrap/>
            <w:vAlign w:val="center"/>
            <w:hideMark/>
          </w:tcPr>
          <w:p w14:paraId="4786FFC8" w14:textId="77777777" w:rsidR="00E67B65" w:rsidRPr="002A734A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734A">
              <w:rPr>
                <w:rFonts w:ascii="Times New Roman" w:hAnsi="Times New Roman" w:cs="Times New Roman"/>
                <w:b/>
                <w:bCs/>
              </w:rPr>
              <w:t>No. of Mice</w:t>
            </w:r>
          </w:p>
        </w:tc>
        <w:tc>
          <w:tcPr>
            <w:tcW w:w="639" w:type="pct"/>
            <w:shd w:val="clear" w:color="auto" w:fill="D9D9D9" w:themeFill="background1" w:themeFillShade="D9"/>
            <w:noWrap/>
            <w:vAlign w:val="center"/>
            <w:hideMark/>
          </w:tcPr>
          <w:p w14:paraId="210F7E57" w14:textId="77777777" w:rsidR="00E67B65" w:rsidRPr="002A734A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734A">
              <w:rPr>
                <w:rFonts w:ascii="Times New Roman" w:hAnsi="Times New Roman" w:cs="Times New Roman"/>
                <w:b/>
                <w:bCs/>
              </w:rPr>
              <w:t>Mortality</w:t>
            </w:r>
          </w:p>
        </w:tc>
        <w:tc>
          <w:tcPr>
            <w:tcW w:w="2023" w:type="pct"/>
            <w:shd w:val="clear" w:color="auto" w:fill="D9D9D9" w:themeFill="background1" w:themeFillShade="D9"/>
            <w:noWrap/>
            <w:vAlign w:val="center"/>
            <w:hideMark/>
          </w:tcPr>
          <w:p w14:paraId="6A6E8B8C" w14:textId="27061575" w:rsidR="00E67B65" w:rsidRPr="002A734A" w:rsidRDefault="00FD2673" w:rsidP="006C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Observation</w:t>
            </w:r>
          </w:p>
        </w:tc>
      </w:tr>
      <w:tr w:rsidR="00E67B65" w:rsidRPr="002B3209" w14:paraId="38DFBD97" w14:textId="77777777" w:rsidTr="006C418C">
        <w:trPr>
          <w:trHeight w:val="290"/>
        </w:trPr>
        <w:tc>
          <w:tcPr>
            <w:tcW w:w="600" w:type="pct"/>
            <w:noWrap/>
            <w:vAlign w:val="center"/>
            <w:hideMark/>
          </w:tcPr>
          <w:p w14:paraId="601FB701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59" w:type="pct"/>
            <w:noWrap/>
            <w:vAlign w:val="center"/>
            <w:hideMark/>
          </w:tcPr>
          <w:p w14:paraId="3BBC99EC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0.5 mL</w:t>
            </w:r>
          </w:p>
        </w:tc>
        <w:tc>
          <w:tcPr>
            <w:tcW w:w="678" w:type="pct"/>
            <w:noWrap/>
            <w:vAlign w:val="center"/>
            <w:hideMark/>
          </w:tcPr>
          <w:p w14:paraId="4D69D68A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9" w:type="pct"/>
            <w:noWrap/>
            <w:vAlign w:val="center"/>
            <w:hideMark/>
          </w:tcPr>
          <w:p w14:paraId="705843DF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0/3</w:t>
            </w:r>
          </w:p>
        </w:tc>
        <w:tc>
          <w:tcPr>
            <w:tcW w:w="2023" w:type="pct"/>
            <w:noWrap/>
            <w:vAlign w:val="center"/>
            <w:hideMark/>
          </w:tcPr>
          <w:p w14:paraId="0530B6C1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Well-tolerated</w:t>
            </w:r>
            <w:r w:rsidRPr="001101B2">
              <w:rPr>
                <w:rFonts w:ascii="Times New Roman" w:hAnsi="Times New Roman" w:cs="Times New Roman"/>
              </w:rPr>
              <w:t>, mild</w:t>
            </w:r>
            <w:r w:rsidRPr="002B3209">
              <w:rPr>
                <w:rFonts w:ascii="Times New Roman" w:hAnsi="Times New Roman" w:cs="Times New Roman"/>
              </w:rPr>
              <w:t xml:space="preserve"> efficacy</w:t>
            </w:r>
          </w:p>
        </w:tc>
      </w:tr>
      <w:tr w:rsidR="00E67B65" w:rsidRPr="002B3209" w14:paraId="5A768C31" w14:textId="77777777" w:rsidTr="006C418C">
        <w:trPr>
          <w:trHeight w:val="290"/>
        </w:trPr>
        <w:tc>
          <w:tcPr>
            <w:tcW w:w="600" w:type="pct"/>
            <w:noWrap/>
            <w:vAlign w:val="center"/>
            <w:hideMark/>
          </w:tcPr>
          <w:p w14:paraId="7A791B86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59" w:type="pct"/>
            <w:noWrap/>
            <w:vAlign w:val="center"/>
            <w:hideMark/>
          </w:tcPr>
          <w:p w14:paraId="1321E36F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1.0 mL</w:t>
            </w:r>
          </w:p>
        </w:tc>
        <w:tc>
          <w:tcPr>
            <w:tcW w:w="678" w:type="pct"/>
            <w:noWrap/>
            <w:vAlign w:val="center"/>
            <w:hideMark/>
          </w:tcPr>
          <w:p w14:paraId="161EE7A1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9" w:type="pct"/>
            <w:noWrap/>
            <w:vAlign w:val="center"/>
            <w:hideMark/>
          </w:tcPr>
          <w:p w14:paraId="3AA8B7D9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B3209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2023" w:type="pct"/>
            <w:noWrap/>
            <w:vAlign w:val="center"/>
            <w:hideMark/>
          </w:tcPr>
          <w:p w14:paraId="75A1C7AF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Slight distress, moderate efficacy</w:t>
            </w:r>
          </w:p>
        </w:tc>
      </w:tr>
      <w:tr w:rsidR="00E67B65" w:rsidRPr="002B3209" w14:paraId="74C3EEAC" w14:textId="77777777" w:rsidTr="006C418C">
        <w:trPr>
          <w:trHeight w:val="290"/>
        </w:trPr>
        <w:tc>
          <w:tcPr>
            <w:tcW w:w="600" w:type="pct"/>
            <w:noWrap/>
            <w:vAlign w:val="center"/>
            <w:hideMark/>
          </w:tcPr>
          <w:p w14:paraId="10ED2B51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059" w:type="pct"/>
            <w:noWrap/>
            <w:vAlign w:val="center"/>
            <w:hideMark/>
          </w:tcPr>
          <w:p w14:paraId="75A36B09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1.5 mL</w:t>
            </w:r>
          </w:p>
        </w:tc>
        <w:tc>
          <w:tcPr>
            <w:tcW w:w="678" w:type="pct"/>
            <w:noWrap/>
            <w:vAlign w:val="center"/>
            <w:hideMark/>
          </w:tcPr>
          <w:p w14:paraId="194E2358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9" w:type="pct"/>
            <w:noWrap/>
            <w:vAlign w:val="center"/>
            <w:hideMark/>
          </w:tcPr>
          <w:p w14:paraId="65AEB02C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2023" w:type="pct"/>
            <w:noWrap/>
            <w:vAlign w:val="center"/>
            <w:hideMark/>
          </w:tcPr>
          <w:p w14:paraId="79A97394" w14:textId="77777777" w:rsidR="00E67B65" w:rsidRPr="002B3209" w:rsidRDefault="00E67B65" w:rsidP="006C41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B3209">
              <w:rPr>
                <w:rFonts w:ascii="Times New Roman" w:hAnsi="Times New Roman" w:cs="Times New Roman"/>
              </w:rPr>
              <w:t>Toxic effects, high mortality</w:t>
            </w:r>
          </w:p>
        </w:tc>
      </w:tr>
    </w:tbl>
    <w:p w14:paraId="1BA82AB5" w14:textId="77777777" w:rsidR="00E67B65" w:rsidRDefault="00E67B65" w:rsidP="00E67B65">
      <w:pPr>
        <w:spacing w:line="360" w:lineRule="auto"/>
        <w:jc w:val="center"/>
        <w:rPr>
          <w:rFonts w:ascii="Times New Roman" w:hAnsi="Times New Roman" w:cs="Times New Roman"/>
        </w:rPr>
      </w:pPr>
    </w:p>
    <w:p w14:paraId="1D7B1CBA" w14:textId="77777777" w:rsidR="00E67B65" w:rsidRDefault="00E67B65" w:rsidP="00E67B65">
      <w:pPr>
        <w:spacing w:line="360" w:lineRule="auto"/>
        <w:jc w:val="center"/>
        <w:rPr>
          <w:rFonts w:ascii="Times New Roman" w:hAnsi="Times New Roman" w:cs="Times New Roman"/>
        </w:rPr>
      </w:pPr>
      <w:r w:rsidRPr="002464A9">
        <w:rPr>
          <w:rFonts w:ascii="Times New Roman" w:hAnsi="Times New Roman" w:cs="Times New Roman"/>
          <w:noProof/>
        </w:rPr>
        <w:drawing>
          <wp:inline distT="0" distB="0" distL="0" distR="0" wp14:anchorId="1F9B1208" wp14:editId="1B0F81C5">
            <wp:extent cx="2882603" cy="1915897"/>
            <wp:effectExtent l="0" t="0" r="0" b="8255"/>
            <wp:docPr id="1682310925" name="Picture 4" descr="A mouse with its body and internal orga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10925" name="Picture 4" descr="A mouse with its body and internal orga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24" cy="192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9BD2D" w14:textId="0F752F4A" w:rsidR="00E67B65" w:rsidRPr="00735F08" w:rsidRDefault="00E67B65" w:rsidP="00E67B65">
      <w:pPr>
        <w:spacing w:line="360" w:lineRule="auto"/>
        <w:jc w:val="both"/>
        <w:rPr>
          <w:rFonts w:ascii="Times New Roman" w:hAnsi="Times New Roman" w:cs="Times New Roman"/>
        </w:rPr>
      </w:pPr>
      <w:r w:rsidRPr="00735F08">
        <w:rPr>
          <w:rFonts w:ascii="Times New Roman" w:hAnsi="Times New Roman" w:cs="Times New Roman"/>
          <w:b/>
          <w:bCs/>
        </w:rPr>
        <w:t>Figure</w:t>
      </w:r>
      <w:r w:rsidR="00D374F9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</w:rPr>
        <w:t xml:space="preserve">: </w:t>
      </w:r>
      <w:r w:rsidRPr="00735F08">
        <w:rPr>
          <w:rFonts w:ascii="Times New Roman" w:hAnsi="Times New Roman" w:cs="Times New Roman"/>
        </w:rPr>
        <w:t>Death of mice treated with 1 mL of Cur-CSNPs observed 4 days post-administration, showing intestinal bloating upon evisceration.</w:t>
      </w:r>
    </w:p>
    <w:p w14:paraId="6BAB2443" w14:textId="77777777" w:rsidR="00E67B65" w:rsidRPr="007A70DE" w:rsidRDefault="00E67B65" w:rsidP="00E67B65">
      <w:pPr>
        <w:spacing w:line="360" w:lineRule="auto"/>
        <w:jc w:val="both"/>
        <w:rPr>
          <w:rFonts w:ascii="Times New Roman" w:hAnsi="Times New Roman" w:cs="Times New Roman"/>
        </w:rPr>
      </w:pPr>
      <w:r w:rsidRPr="00B9006D">
        <w:rPr>
          <w:rFonts w:ascii="Times New Roman" w:hAnsi="Times New Roman" w:cs="Times New Roman"/>
        </w:rPr>
        <w:t>Based on these findings, we selected 0.5 mL as the optimal and safe dose for use in the main experiment. These details, including the observed mortality</w:t>
      </w:r>
      <w:r>
        <w:rPr>
          <w:rFonts w:ascii="Times New Roman" w:hAnsi="Times New Roman" w:cs="Times New Roman"/>
        </w:rPr>
        <w:t xml:space="preserve">. </w:t>
      </w:r>
    </w:p>
    <w:p w14:paraId="39ECEC38" w14:textId="77777777" w:rsidR="00B91D63" w:rsidRDefault="00B91D63" w:rsidP="00880584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EABB801" w14:textId="699BC41D" w:rsidR="00B91D63" w:rsidRDefault="00B91D63" w:rsidP="00880584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F140092" w14:textId="512EE248" w:rsidR="00E67B65" w:rsidRDefault="00B91D63" w:rsidP="0088058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CF0292B" wp14:editId="24684764">
            <wp:extent cx="3605530" cy="3478530"/>
            <wp:effectExtent l="0" t="0" r="0" b="7620"/>
            <wp:docPr id="15183161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316161" name="Picture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530" cy="34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18D98" w14:textId="77777777" w:rsidR="00B91D63" w:rsidRPr="00B91D63" w:rsidRDefault="00B91D63" w:rsidP="00B91D63">
      <w:pPr>
        <w:rPr>
          <w:rFonts w:asciiTheme="majorBidi" w:hAnsiTheme="majorBidi" w:cstheme="majorBidi"/>
          <w:sz w:val="24"/>
          <w:szCs w:val="24"/>
        </w:rPr>
      </w:pPr>
    </w:p>
    <w:p w14:paraId="7B8298FE" w14:textId="77777777" w:rsidR="00B91D63" w:rsidRPr="00B91D63" w:rsidRDefault="00B91D63" w:rsidP="00B91D63">
      <w:pPr>
        <w:rPr>
          <w:rFonts w:asciiTheme="majorBidi" w:hAnsiTheme="majorBidi" w:cstheme="majorBidi"/>
          <w:sz w:val="24"/>
          <w:szCs w:val="24"/>
        </w:rPr>
      </w:pPr>
    </w:p>
    <w:p w14:paraId="5C51A78D" w14:textId="77777777" w:rsidR="00B91D63" w:rsidRDefault="00B91D63" w:rsidP="00B91D63">
      <w:pPr>
        <w:rPr>
          <w:rFonts w:asciiTheme="majorBidi" w:hAnsiTheme="majorBidi" w:cstheme="majorBidi"/>
          <w:sz w:val="24"/>
          <w:szCs w:val="24"/>
        </w:rPr>
      </w:pPr>
    </w:p>
    <w:p w14:paraId="0F686370" w14:textId="679D52BF" w:rsidR="00B91D63" w:rsidRDefault="00B91D63" w:rsidP="00B91D63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C870ED">
        <w:rPr>
          <w:rFonts w:asciiTheme="majorBid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C870ED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Agarose (1.5%) gel showing the PCR products (195-bp) of amplified from positive samples. Lane (M) is DNA size marker, lane (P) is positive control, lane (N) is negative control, Lane (1) is the positive sample.</w:t>
      </w:r>
    </w:p>
    <w:p w14:paraId="32BB68F9" w14:textId="77777777" w:rsidR="00B91D63" w:rsidRDefault="00B91D63" w:rsidP="00B91D63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5AB6F584" w14:textId="77777777" w:rsidR="00B91D63" w:rsidRPr="00AF2728" w:rsidRDefault="00B91D63" w:rsidP="00B91D63">
      <w:pPr>
        <w:spacing w:line="276" w:lineRule="auto"/>
        <w:rPr>
          <w:rFonts w:asciiTheme="majorBidi" w:hAnsiTheme="majorBidi" w:cstheme="majorBidi"/>
          <w:sz w:val="24"/>
          <w:szCs w:val="24"/>
          <w:lang w:val="en-GB"/>
        </w:rPr>
      </w:pPr>
    </w:p>
    <w:p w14:paraId="37F5B9B9" w14:textId="77777777" w:rsidR="00B91D63" w:rsidRDefault="00B91D63" w:rsidP="00B91D63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68E2AFD8" w14:textId="77777777" w:rsidR="00B91D63" w:rsidRDefault="00B91D63" w:rsidP="00B91D63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7B0DF9C" wp14:editId="577F5257">
            <wp:extent cx="5943600" cy="4027805"/>
            <wp:effectExtent l="0" t="0" r="0" b="0"/>
            <wp:docPr id="468200677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00677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0CFCD" w14:textId="1A8385F3" w:rsidR="00B91D63" w:rsidRPr="00C870ED" w:rsidRDefault="00B91D63" w:rsidP="00B91D63">
      <w:pPr>
        <w:jc w:val="both"/>
        <w:rPr>
          <w:rFonts w:ascii="Times New Roman" w:hAnsi="Times New Roman" w:cs="Times New Roman"/>
          <w:sz w:val="24"/>
          <w:szCs w:val="24"/>
        </w:rPr>
      </w:pPr>
      <w:r w:rsidRPr="00C870ED">
        <w:rPr>
          <w:rFonts w:asciiTheme="majorBid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C870ED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870ED">
        <w:rPr>
          <w:rFonts w:ascii="Times New Roman" w:hAnsi="Times New Roman" w:cs="Times New Roman"/>
          <w:sz w:val="24"/>
          <w:szCs w:val="24"/>
        </w:rPr>
        <w:t>Portrays a phylogenetic tree constructed from B1 gene sequences, revealing distinct clades that signify discernible genetic lineages within Toxoplasma gondii. The bar denoting evolutionary distance divergence represents 0.005 substitutions per site.</w:t>
      </w:r>
    </w:p>
    <w:p w14:paraId="628E7D43" w14:textId="77777777" w:rsidR="00B91D63" w:rsidRPr="00B91D63" w:rsidRDefault="00B91D63" w:rsidP="00B91D63">
      <w:pPr>
        <w:rPr>
          <w:rFonts w:asciiTheme="majorBidi" w:hAnsiTheme="majorBidi" w:cstheme="majorBidi"/>
          <w:sz w:val="24"/>
          <w:szCs w:val="24"/>
        </w:rPr>
      </w:pPr>
    </w:p>
    <w:sectPr w:rsidR="00B91D63" w:rsidRPr="00B91D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A501D"/>
    <w:multiLevelType w:val="hybridMultilevel"/>
    <w:tmpl w:val="4BB6DA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1681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CD2"/>
    <w:rsid w:val="001101B2"/>
    <w:rsid w:val="001844FF"/>
    <w:rsid w:val="002A734A"/>
    <w:rsid w:val="002B5AA4"/>
    <w:rsid w:val="00381463"/>
    <w:rsid w:val="00462433"/>
    <w:rsid w:val="004C138C"/>
    <w:rsid w:val="00510EA9"/>
    <w:rsid w:val="005952D6"/>
    <w:rsid w:val="0064438A"/>
    <w:rsid w:val="006B4819"/>
    <w:rsid w:val="00880584"/>
    <w:rsid w:val="00923BFF"/>
    <w:rsid w:val="00B25CD2"/>
    <w:rsid w:val="00B91D63"/>
    <w:rsid w:val="00D374F9"/>
    <w:rsid w:val="00D821F2"/>
    <w:rsid w:val="00E67B65"/>
    <w:rsid w:val="00FD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40F07"/>
  <w15:chartTrackingRefBased/>
  <w15:docId w15:val="{04D610E7-2107-4F2F-BB56-72E8E761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CD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CD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CD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C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CD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CD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CD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CD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C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CD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CD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E67B6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241</Words>
  <Characters>1293</Characters>
  <Application>Microsoft Office Word</Application>
  <DocSecurity>0</DocSecurity>
  <Lines>51</Lines>
  <Paragraphs>31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Sara Salah</dc:creator>
  <cp:keywords/>
  <dc:description/>
  <cp:lastModifiedBy>salwa mahmoud</cp:lastModifiedBy>
  <cp:revision>3</cp:revision>
  <dcterms:created xsi:type="dcterms:W3CDTF">2025-09-25T10:22:00Z</dcterms:created>
  <dcterms:modified xsi:type="dcterms:W3CDTF">2025-10-11T13:24:00Z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34fd7444-c5b4-43cf-97bf-079fa51ce935</vt:lpwstr>
  </property>
</Properties>
</file>