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767E" w14:textId="00A04E49" w:rsidR="00544938" w:rsidRPr="000A21E1" w:rsidRDefault="00544938" w:rsidP="00544938">
      <w:pPr>
        <w:pStyle w:val="KeinLeerraum"/>
        <w:spacing w:line="360" w:lineRule="auto"/>
        <w:jc w:val="both"/>
        <w:rPr>
          <w:rFonts w:ascii="Times New Roman" w:eastAsia="Times New Roman" w:hAnsi="Times New Roman" w:cs="Times New Roman"/>
          <w:b/>
          <w:sz w:val="24"/>
          <w:szCs w:val="24"/>
          <w:lang w:val="en-US"/>
        </w:rPr>
      </w:pPr>
      <w:r w:rsidRPr="000A21E1">
        <w:rPr>
          <w:rFonts w:ascii="Times New Roman" w:eastAsia="Times New Roman" w:hAnsi="Times New Roman" w:cs="Times New Roman"/>
          <w:b/>
          <w:sz w:val="24"/>
          <w:szCs w:val="24"/>
          <w:lang w:val="en-US"/>
        </w:rPr>
        <w:t xml:space="preserve">Supplemental </w:t>
      </w:r>
      <w:r w:rsidR="00C03D37">
        <w:rPr>
          <w:rFonts w:ascii="Times New Roman" w:eastAsia="Times New Roman" w:hAnsi="Times New Roman" w:cs="Times New Roman"/>
          <w:b/>
          <w:sz w:val="24"/>
          <w:szCs w:val="24"/>
          <w:lang w:val="en-US"/>
        </w:rPr>
        <w:t>designation</w:t>
      </w:r>
      <w:r w:rsidR="002E5EFD" w:rsidRPr="000A21E1">
        <w:rPr>
          <w:rFonts w:ascii="Times New Roman" w:eastAsia="Times New Roman" w:hAnsi="Times New Roman" w:cs="Times New Roman"/>
          <w:b/>
          <w:sz w:val="24"/>
          <w:szCs w:val="24"/>
          <w:lang w:val="en-US"/>
        </w:rPr>
        <w:t xml:space="preserve">  </w:t>
      </w:r>
    </w:p>
    <w:p w14:paraId="40B5AEAA" w14:textId="77777777" w:rsidR="000A21E1" w:rsidRPr="00A21647" w:rsidRDefault="000A21E1" w:rsidP="000A21E1">
      <w:pPr>
        <w:pStyle w:val="SOMContent"/>
        <w:spacing w:line="360" w:lineRule="auto"/>
        <w:jc w:val="both"/>
        <w:rPr>
          <w:rFonts w:eastAsia="Calibri"/>
        </w:rPr>
      </w:pPr>
      <w:r w:rsidRPr="000A21E1">
        <w:rPr>
          <w:b/>
          <w:bCs/>
        </w:rPr>
        <w:t xml:space="preserve">Figure S1 </w:t>
      </w:r>
      <w:r w:rsidRPr="000A21E1">
        <w:rPr>
          <w:bCs/>
        </w:rPr>
        <w:t>provides data for the validation of the protocol for the generation of healthy control</w:t>
      </w:r>
      <w:r w:rsidRPr="000A21E1">
        <w:rPr>
          <w:rFonts w:eastAsia="Calibri"/>
        </w:rPr>
        <w:t xml:space="preserve"> hiPSC-Podocytes by tracking cell transformation during reprogramming and differentiation. </w:t>
      </w:r>
      <w:r w:rsidRPr="000A21E1">
        <w:rPr>
          <w:rFonts w:eastAsia="Calibri"/>
          <w:b/>
        </w:rPr>
        <w:t xml:space="preserve">Figure S2 </w:t>
      </w:r>
      <w:r w:rsidRPr="000A21E1">
        <w:rPr>
          <w:rFonts w:eastAsia="Calibri"/>
        </w:rPr>
        <w:t xml:space="preserve">compares the generated hiPSC-Podocytes derived from a healthy control donor with ciPodocytes regarding podocyte-associated marker expression and morphology. </w:t>
      </w:r>
      <w:r w:rsidRPr="000A21E1">
        <w:rPr>
          <w:rFonts w:eastAsia="Calibri"/>
          <w:b/>
          <w:bCs/>
        </w:rPr>
        <w:t>Figure S3</w:t>
      </w:r>
      <w:r w:rsidRPr="000A21E1">
        <w:rPr>
          <w:rFonts w:eastAsia="Calibri"/>
        </w:rPr>
        <w:t xml:space="preserve"> displays the differentiation efficiency of all three individual patient hiPSC clones by immunofluorescence staining of podocin and synaptopodin, as well as changes in transcriptomic expression of common pluripotency- and podocyte-related marker genes during differentiation. </w:t>
      </w:r>
      <w:r w:rsidRPr="000A21E1">
        <w:rPr>
          <w:rFonts w:eastAsia="Calibri"/>
          <w:b/>
        </w:rPr>
        <w:t>Figure S4</w:t>
      </w:r>
      <w:r w:rsidRPr="000A21E1">
        <w:rPr>
          <w:rFonts w:eastAsia="Calibri"/>
        </w:rPr>
        <w:t xml:space="preserve"> shows patient-specific and control hiPSC-Podocytes cultured in 3D with expression of podocyte markers but with structural alterations in the patient-specific spheres. </w:t>
      </w:r>
      <w:r w:rsidRPr="000A21E1">
        <w:rPr>
          <w:rFonts w:eastAsia="Calibri"/>
          <w:b/>
        </w:rPr>
        <w:t>Figure S5</w:t>
      </w:r>
      <w:r w:rsidRPr="000A21E1">
        <w:rPr>
          <w:rFonts w:eastAsia="Calibri"/>
        </w:rPr>
        <w:t xml:space="preserve"> displays t</w:t>
      </w:r>
      <w:r w:rsidRPr="000A21E1">
        <w:t xml:space="preserve">ranscriptomic </w:t>
      </w:r>
      <w:r w:rsidRPr="000A21E1">
        <w:rPr>
          <w:bCs/>
          <w:sz w:val="23"/>
          <w:szCs w:val="23"/>
        </w:rPr>
        <w:t>expression of cathepsin isoforms in control and patient hiPSC-Podocytes from bulk RNA sequencing data</w:t>
      </w:r>
      <w:r w:rsidRPr="000A21E1">
        <w:rPr>
          <w:rFonts w:eastAsia="Calibri"/>
        </w:rPr>
        <w:t xml:space="preserve">. </w:t>
      </w:r>
      <w:r w:rsidRPr="000A21E1">
        <w:rPr>
          <w:rFonts w:eastAsia="Calibri"/>
          <w:b/>
        </w:rPr>
        <w:t xml:space="preserve">Figure S6 </w:t>
      </w:r>
      <w:r w:rsidRPr="000A21E1">
        <w:rPr>
          <w:rFonts w:eastAsia="Calibri"/>
        </w:rPr>
        <w:t xml:space="preserve">demonstrates unaltered </w:t>
      </w:r>
      <w:r w:rsidRPr="000A21E1">
        <w:rPr>
          <w:bCs/>
          <w:sz w:val="23"/>
          <w:szCs w:val="23"/>
        </w:rPr>
        <w:t>actin filaments, INF2 and cathepsin L protein expression in control- and patient-derived dermal fibroblasts.</w:t>
      </w:r>
      <w:r w:rsidRPr="000A21E1">
        <w:rPr>
          <w:rFonts w:eastAsia="Calibri"/>
        </w:rPr>
        <w:t xml:space="preserve"> </w:t>
      </w:r>
      <w:r w:rsidRPr="000A21E1">
        <w:rPr>
          <w:rFonts w:eastAsia="Calibri"/>
          <w:b/>
          <w:bCs/>
        </w:rPr>
        <w:t>Figure S7</w:t>
      </w:r>
      <w:r w:rsidRPr="000A21E1">
        <w:rPr>
          <w:rFonts w:eastAsia="Calibri"/>
        </w:rPr>
        <w:t xml:space="preserve"> displays DAPI signal of control and patient hiPSC-Podocytes before and after treatment, with no significant changes in cell number.</w:t>
      </w:r>
      <w:r>
        <w:rPr>
          <w:rFonts w:eastAsia="Calibri"/>
        </w:rPr>
        <w:t xml:space="preserve"> </w:t>
      </w:r>
    </w:p>
    <w:p w14:paraId="14FA78E4" w14:textId="77777777" w:rsidR="000A21E1" w:rsidRDefault="000A21E1" w:rsidP="000A21E1">
      <w:pPr>
        <w:pStyle w:val="SOMContent"/>
        <w:spacing w:before="0" w:line="360" w:lineRule="auto"/>
        <w:ind w:left="720" w:hanging="720"/>
        <w:jc w:val="both"/>
      </w:pPr>
    </w:p>
    <w:p w14:paraId="09A19D13" w14:textId="77777777" w:rsidR="000A21E1" w:rsidRDefault="000A21E1" w:rsidP="00544938">
      <w:pPr>
        <w:pStyle w:val="KeinLeerraum"/>
        <w:spacing w:line="360" w:lineRule="auto"/>
        <w:jc w:val="both"/>
        <w:rPr>
          <w:rFonts w:ascii="Times New Roman" w:eastAsia="Times New Roman" w:hAnsi="Times New Roman" w:cs="Times New Roman"/>
          <w:b/>
          <w:sz w:val="24"/>
          <w:szCs w:val="24"/>
          <w:lang w:val="en-US"/>
        </w:rPr>
      </w:pPr>
    </w:p>
    <w:p w14:paraId="159D69A4" w14:textId="6A2E7F86" w:rsidR="003F2967" w:rsidRPr="004F6960" w:rsidRDefault="00A05CFE" w:rsidP="00544938">
      <w:pPr>
        <w:pStyle w:val="KeinLeerraum"/>
        <w:spacing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val="en-US"/>
        </w:rPr>
        <w:lastRenderedPageBreak/>
        <w:drawing>
          <wp:inline distT="0" distB="0" distL="0" distR="0" wp14:anchorId="14DF2155" wp14:editId="4C2FA236">
            <wp:extent cx="5760720" cy="83210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8321040"/>
                    </a:xfrm>
                    <a:prstGeom prst="rect">
                      <a:avLst/>
                    </a:prstGeom>
                  </pic:spPr>
                </pic:pic>
              </a:graphicData>
            </a:graphic>
          </wp:inline>
        </w:drawing>
      </w:r>
    </w:p>
    <w:p w14:paraId="3126847C" w14:textId="6DD9813C" w:rsidR="00544938" w:rsidRDefault="00544938" w:rsidP="00544938">
      <w:pPr>
        <w:pStyle w:val="SOMContent"/>
        <w:spacing w:before="0" w:line="360" w:lineRule="auto"/>
        <w:jc w:val="both"/>
      </w:pPr>
      <w:r w:rsidRPr="004F6960">
        <w:rPr>
          <w:bCs/>
          <w:lang w:val="en-GB"/>
        </w:rPr>
        <w:t>Figure S1.</w:t>
      </w:r>
      <w:r>
        <w:rPr>
          <w:bCs/>
          <w:lang w:val="en-GB"/>
        </w:rPr>
        <w:t xml:space="preserve"> </w:t>
      </w:r>
      <w:r w:rsidRPr="004F6960">
        <w:rPr>
          <w:b/>
        </w:rPr>
        <w:t xml:space="preserve">Validation of the protocol </w:t>
      </w:r>
      <w:r>
        <w:rPr>
          <w:b/>
        </w:rPr>
        <w:t>for the</w:t>
      </w:r>
      <w:r w:rsidRPr="004F6960">
        <w:rPr>
          <w:b/>
        </w:rPr>
        <w:t xml:space="preserve"> generat</w:t>
      </w:r>
      <w:r>
        <w:rPr>
          <w:b/>
        </w:rPr>
        <w:t>ion of</w:t>
      </w:r>
      <w:r w:rsidRPr="004F6960">
        <w:rPr>
          <w:b/>
        </w:rPr>
        <w:t xml:space="preserve"> </w:t>
      </w:r>
      <w:r>
        <w:rPr>
          <w:b/>
        </w:rPr>
        <w:t xml:space="preserve">healthy control </w:t>
      </w:r>
      <w:r w:rsidRPr="004F6960">
        <w:rPr>
          <w:b/>
        </w:rPr>
        <w:t xml:space="preserve">hiPSC-Podocytes </w:t>
      </w:r>
      <w:r>
        <w:rPr>
          <w:b/>
        </w:rPr>
        <w:t>by tracking cell transformation during reprogramming and differentiation</w:t>
      </w:r>
      <w:r w:rsidRPr="004F6960">
        <w:rPr>
          <w:b/>
        </w:rPr>
        <w:t>.</w:t>
      </w:r>
      <w:r w:rsidRPr="005E28FB">
        <w:rPr>
          <w:b/>
          <w:i/>
        </w:rPr>
        <w:t xml:space="preserve"> </w:t>
      </w:r>
      <w:r w:rsidRPr="004F6960">
        <w:rPr>
          <w:b/>
        </w:rPr>
        <w:t>(A)</w:t>
      </w:r>
      <w:r w:rsidRPr="005E28FB">
        <w:t xml:space="preserve"> </w:t>
      </w:r>
      <w:r w:rsidRPr="005E28FB">
        <w:lastRenderedPageBreak/>
        <w:t xml:space="preserve">The relation among nephron progenitor cells, hiPSC-Podocytes and ciPodocytes </w:t>
      </w:r>
      <w:r w:rsidR="00B77210">
        <w:t xml:space="preserve">is </w:t>
      </w:r>
      <w:r w:rsidRPr="005E28FB">
        <w:t xml:space="preserve">visualized by principal component (PC) analysis of bulk RNA sequencing data. Two different clones were analyzed for each cell type. </w:t>
      </w:r>
      <w:r w:rsidRPr="004F6960">
        <w:rPr>
          <w:b/>
        </w:rPr>
        <w:t>(B - D)</w:t>
      </w:r>
      <w:r w:rsidRPr="005E28FB">
        <w:t xml:space="preserve"> Heatmaps o</w:t>
      </w:r>
      <w:r>
        <w:t xml:space="preserve">f transcripts per million (TPM) </w:t>
      </w:r>
      <w:r w:rsidRPr="005E28FB">
        <w:t xml:space="preserve">from bulk RNA sequencing data demonstrating the expression of cell type-specific markers in control hiPSCs, nephron progenitor cells and hiPSC-Podocytes. Two different clones were analyzed for each cell type. Expression of </w:t>
      </w:r>
      <w:r w:rsidRPr="004F6960">
        <w:rPr>
          <w:b/>
        </w:rPr>
        <w:t>(B)</w:t>
      </w:r>
      <w:r w:rsidRPr="005E28FB">
        <w:t xml:space="preserve"> pluripotency, </w:t>
      </w:r>
      <w:r w:rsidRPr="004F6960">
        <w:rPr>
          <w:b/>
        </w:rPr>
        <w:t>(C)</w:t>
      </w:r>
      <w:r w:rsidRPr="005E28FB">
        <w:t xml:space="preserve"> nephron progenitor cells-related, and </w:t>
      </w:r>
      <w:r w:rsidRPr="004F6960">
        <w:rPr>
          <w:b/>
        </w:rPr>
        <w:t>(D)</w:t>
      </w:r>
      <w:r w:rsidRPr="005E28FB">
        <w:t xml:space="preserve"> podocyte-associated marker genes</w:t>
      </w:r>
      <w:r w:rsidRPr="00411C2F">
        <w:t xml:space="preserve">. </w:t>
      </w:r>
      <w:r w:rsidRPr="00411C2F">
        <w:rPr>
          <w:b/>
        </w:rPr>
        <w:t>(E)</w:t>
      </w:r>
      <w:r w:rsidRPr="00411C2F">
        <w:t xml:space="preserve"> Validation</w:t>
      </w:r>
      <w:r w:rsidRPr="005E28FB">
        <w:t xml:space="preserve"> of cell type-specific marker expression during the differentiation process </w:t>
      </w:r>
      <w:r w:rsidR="00567189">
        <w:t xml:space="preserve">was </w:t>
      </w:r>
      <w:r w:rsidRPr="005E28FB">
        <w:t xml:space="preserve">analyzed by qPCR </w:t>
      </w:r>
      <w:r>
        <w:t>in</w:t>
      </w:r>
      <w:r w:rsidRPr="005E28FB">
        <w:t xml:space="preserve"> dermal fibroblasts, hiPSCs, nephron progenitor cells and terminal differentiated hiPSC-Podocytes. The fibroblast marker </w:t>
      </w:r>
      <w:r w:rsidRPr="00411C2F">
        <w:rPr>
          <w:i/>
        </w:rPr>
        <w:t>ACTA</w:t>
      </w:r>
      <w:r w:rsidRPr="005E28FB">
        <w:t xml:space="preserve"> is upregulated in dermal fibroblasts, pluripotency marker </w:t>
      </w:r>
      <w:r w:rsidRPr="00411C2F">
        <w:rPr>
          <w:i/>
        </w:rPr>
        <w:t>NANOG</w:t>
      </w:r>
      <w:r w:rsidRPr="005E28FB">
        <w:t xml:space="preserve">, </w:t>
      </w:r>
      <w:r w:rsidRPr="00411C2F">
        <w:rPr>
          <w:i/>
        </w:rPr>
        <w:t>POU5F1</w:t>
      </w:r>
      <w:r w:rsidRPr="005E28FB">
        <w:t xml:space="preserve">, </w:t>
      </w:r>
      <w:r w:rsidRPr="00411C2F">
        <w:rPr>
          <w:i/>
        </w:rPr>
        <w:t>SOX2</w:t>
      </w:r>
      <w:r w:rsidRPr="005E28FB">
        <w:t xml:space="preserve"> and </w:t>
      </w:r>
      <w:r w:rsidRPr="00411C2F">
        <w:rPr>
          <w:i/>
        </w:rPr>
        <w:t>REX1</w:t>
      </w:r>
      <w:r w:rsidRPr="005E28FB">
        <w:t xml:space="preserve"> are expressed in hiPSCs </w:t>
      </w:r>
      <w:r>
        <w:t>only decrease and</w:t>
      </w:r>
      <w:r w:rsidRPr="005E28FB">
        <w:t xml:space="preserve"> podocyte-specific marker </w:t>
      </w:r>
      <w:r w:rsidRPr="0089039A">
        <w:rPr>
          <w:i/>
        </w:rPr>
        <w:t>SYNPO</w:t>
      </w:r>
      <w:r w:rsidRPr="005E28FB">
        <w:t xml:space="preserve"> and </w:t>
      </w:r>
      <w:r w:rsidRPr="0089039A">
        <w:rPr>
          <w:i/>
        </w:rPr>
        <w:t>MAFB</w:t>
      </w:r>
      <w:r w:rsidRPr="005E28FB">
        <w:t xml:space="preserve"> are </w:t>
      </w:r>
      <w:r>
        <w:t>upregulated</w:t>
      </w:r>
      <w:r w:rsidRPr="005E28FB">
        <w:t xml:space="preserve"> after initiation of differentiation. One-way ANOVA, ** p&lt;0.01, *** p&lt;0.001, **** p&lt;0.0001. </w:t>
      </w:r>
    </w:p>
    <w:p w14:paraId="74BBDA05" w14:textId="01064708" w:rsidR="003F2967" w:rsidRDefault="00A05CFE" w:rsidP="00544938">
      <w:pPr>
        <w:jc w:val="both"/>
        <w:rPr>
          <w:sz w:val="24"/>
          <w:szCs w:val="24"/>
        </w:rPr>
      </w:pPr>
      <w:r>
        <w:rPr>
          <w:noProof/>
          <w:sz w:val="24"/>
          <w:szCs w:val="24"/>
        </w:rPr>
        <w:lastRenderedPageBreak/>
        <w:drawing>
          <wp:inline distT="0" distB="0" distL="0" distR="0" wp14:anchorId="68DFBB92" wp14:editId="0478D2AD">
            <wp:extent cx="5760720" cy="6553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5" cstate="print">
                      <a:extLst>
                        <a:ext uri="{28A0092B-C50C-407E-A947-70E740481C1C}">
                          <a14:useLocalDpi xmlns:a14="http://schemas.microsoft.com/office/drawing/2010/main" val="0"/>
                        </a:ext>
                      </a:extLst>
                    </a:blip>
                    <a:srcRect b="21245"/>
                    <a:stretch/>
                  </pic:blipFill>
                  <pic:spPr bwMode="auto">
                    <a:xfrm>
                      <a:off x="0" y="0"/>
                      <a:ext cx="5760720" cy="6553200"/>
                    </a:xfrm>
                    <a:prstGeom prst="rect">
                      <a:avLst/>
                    </a:prstGeom>
                    <a:ln>
                      <a:noFill/>
                    </a:ln>
                    <a:extLst>
                      <a:ext uri="{53640926-AAD7-44D8-BBD7-CCE9431645EC}">
                        <a14:shadowObscured xmlns:a14="http://schemas.microsoft.com/office/drawing/2010/main"/>
                      </a:ext>
                    </a:extLst>
                  </pic:spPr>
                </pic:pic>
              </a:graphicData>
            </a:graphic>
          </wp:inline>
        </w:drawing>
      </w:r>
    </w:p>
    <w:p w14:paraId="201E6CFB" w14:textId="194DB64F" w:rsidR="00544938" w:rsidRDefault="00544938" w:rsidP="00544938">
      <w:pPr>
        <w:pStyle w:val="SOMContent"/>
        <w:spacing w:before="0" w:line="360" w:lineRule="auto"/>
        <w:jc w:val="both"/>
      </w:pPr>
      <w:r w:rsidRPr="004F6960">
        <w:rPr>
          <w:bCs/>
          <w:lang w:val="en-GB"/>
        </w:rPr>
        <w:t>Figure S2.</w:t>
      </w:r>
      <w:r>
        <w:rPr>
          <w:bCs/>
          <w:lang w:val="en-GB"/>
        </w:rPr>
        <w:t xml:space="preserve"> </w:t>
      </w:r>
      <w:r w:rsidRPr="00557269">
        <w:rPr>
          <w:b/>
          <w:bCs/>
          <w:lang w:val="en-GB"/>
        </w:rPr>
        <w:t xml:space="preserve">Generated </w:t>
      </w:r>
      <w:r>
        <w:rPr>
          <w:b/>
          <w:bCs/>
          <w:lang w:val="en-GB"/>
        </w:rPr>
        <w:t>hiPSC-Podocytes</w:t>
      </w:r>
      <w:r w:rsidRPr="00557269">
        <w:rPr>
          <w:b/>
          <w:bCs/>
          <w:lang w:val="en-GB"/>
        </w:rPr>
        <w:t xml:space="preserve"> </w:t>
      </w:r>
      <w:r>
        <w:rPr>
          <w:b/>
        </w:rPr>
        <w:t xml:space="preserve">derived </w:t>
      </w:r>
      <w:r w:rsidRPr="004F6960">
        <w:rPr>
          <w:b/>
        </w:rPr>
        <w:t xml:space="preserve">from a </w:t>
      </w:r>
      <w:r>
        <w:rPr>
          <w:b/>
        </w:rPr>
        <w:t xml:space="preserve">healthy </w:t>
      </w:r>
      <w:r w:rsidRPr="004F6960">
        <w:rPr>
          <w:b/>
        </w:rPr>
        <w:t xml:space="preserve">control donor </w:t>
      </w:r>
      <w:r>
        <w:rPr>
          <w:b/>
        </w:rPr>
        <w:t xml:space="preserve">in 2D culture </w:t>
      </w:r>
      <w:r w:rsidRPr="00557269">
        <w:rPr>
          <w:b/>
          <w:bCs/>
          <w:lang w:val="en-GB"/>
        </w:rPr>
        <w:t>can be defined as podocytes</w:t>
      </w:r>
      <w:r>
        <w:rPr>
          <w:b/>
          <w:bCs/>
          <w:lang w:val="en-GB"/>
        </w:rPr>
        <w:t xml:space="preserve"> with </w:t>
      </w:r>
      <w:r w:rsidR="00E4551F">
        <w:rPr>
          <w:b/>
          <w:bCs/>
          <w:lang w:val="en-GB"/>
        </w:rPr>
        <w:t xml:space="preserve">a </w:t>
      </w:r>
      <w:r>
        <w:rPr>
          <w:b/>
          <w:bCs/>
          <w:lang w:val="en-GB"/>
        </w:rPr>
        <w:t xml:space="preserve">more advanced </w:t>
      </w:r>
      <w:r w:rsidRPr="00557269">
        <w:rPr>
          <w:b/>
          <w:bCs/>
          <w:lang w:val="en-GB"/>
        </w:rPr>
        <w:t>phenotyp</w:t>
      </w:r>
      <w:r>
        <w:rPr>
          <w:b/>
          <w:bCs/>
          <w:lang w:val="en-GB"/>
        </w:rPr>
        <w:t>e</w:t>
      </w:r>
      <w:r w:rsidRPr="00557269">
        <w:rPr>
          <w:b/>
          <w:bCs/>
          <w:lang w:val="en-GB"/>
        </w:rPr>
        <w:t xml:space="preserve"> </w:t>
      </w:r>
      <w:r>
        <w:rPr>
          <w:b/>
        </w:rPr>
        <w:t>than</w:t>
      </w:r>
      <w:r w:rsidRPr="004F6960">
        <w:rPr>
          <w:b/>
        </w:rPr>
        <w:t xml:space="preserve"> ciPodocytes.</w:t>
      </w:r>
      <w:r>
        <w:rPr>
          <w:b/>
        </w:rPr>
        <w:t xml:space="preserve"> </w:t>
      </w:r>
      <w:r w:rsidRPr="004F6960">
        <w:rPr>
          <w:b/>
          <w:bCs/>
        </w:rPr>
        <w:t>(A)</w:t>
      </w:r>
      <w:r>
        <w:rPr>
          <w:bCs/>
        </w:rPr>
        <w:t xml:space="preserve"> Transcripts per million (TPM) </w:t>
      </w:r>
      <w:r w:rsidRPr="00EF186E">
        <w:t xml:space="preserve">from bulk RNA sequencing </w:t>
      </w:r>
      <w:r>
        <w:t>analysis</w:t>
      </w:r>
      <w:r>
        <w:rPr>
          <w:bCs/>
        </w:rPr>
        <w:t xml:space="preserve"> of many genes </w:t>
      </w:r>
      <w:r w:rsidRPr="00EF186E">
        <w:t xml:space="preserve">associated </w:t>
      </w:r>
      <w:r>
        <w:t xml:space="preserve">with </w:t>
      </w:r>
      <w:r w:rsidRPr="000A21E1">
        <w:t xml:space="preserve">the podocyte cell type </w:t>
      </w:r>
      <w:r w:rsidR="00E4551F" w:rsidRPr="000A21E1">
        <w:t xml:space="preserve">are </w:t>
      </w:r>
      <w:r w:rsidRPr="000A21E1">
        <w:rPr>
          <w:bCs/>
        </w:rPr>
        <w:t>displayed in a heatmap</w:t>
      </w:r>
      <w:r w:rsidRPr="000A21E1">
        <w:t xml:space="preserve">. Two different clones were analyzed for each cell line. </w:t>
      </w:r>
      <w:r w:rsidRPr="000A21E1">
        <w:rPr>
          <w:b/>
          <w:bCs/>
        </w:rPr>
        <w:t>(B)</w:t>
      </w:r>
      <w:r w:rsidRPr="000A21E1">
        <w:rPr>
          <w:bCs/>
        </w:rPr>
        <w:t xml:space="preserve"> </w:t>
      </w:r>
      <w:r w:rsidR="00E4551F" w:rsidRPr="000A21E1">
        <w:rPr>
          <w:bCs/>
        </w:rPr>
        <w:t xml:space="preserve">Fold change of mRNA levels of the podocyte-related markers </w:t>
      </w:r>
      <w:r w:rsidR="00E4551F" w:rsidRPr="000A21E1">
        <w:rPr>
          <w:bCs/>
          <w:i/>
        </w:rPr>
        <w:t>SYNPO</w:t>
      </w:r>
      <w:r w:rsidR="00E4551F" w:rsidRPr="000A21E1">
        <w:rPr>
          <w:bCs/>
        </w:rPr>
        <w:t>,</w:t>
      </w:r>
      <w:r w:rsidR="00E4551F" w:rsidRPr="000A21E1">
        <w:rPr>
          <w:bCs/>
          <w:i/>
        </w:rPr>
        <w:t xml:space="preserve"> MAFB</w:t>
      </w:r>
      <w:r w:rsidR="00E4551F" w:rsidRPr="000A21E1">
        <w:rPr>
          <w:bCs/>
        </w:rPr>
        <w:t>,</w:t>
      </w:r>
      <w:r w:rsidR="00E4551F" w:rsidRPr="000A21E1">
        <w:rPr>
          <w:bCs/>
          <w:i/>
        </w:rPr>
        <w:t xml:space="preserve"> VIM</w:t>
      </w:r>
      <w:r w:rsidR="00E4551F" w:rsidRPr="000A21E1">
        <w:rPr>
          <w:bCs/>
        </w:rPr>
        <w:t xml:space="preserve"> and </w:t>
      </w:r>
      <w:r w:rsidR="00E4551F" w:rsidRPr="000A21E1">
        <w:rPr>
          <w:bCs/>
          <w:i/>
        </w:rPr>
        <w:t>WT1</w:t>
      </w:r>
      <w:r w:rsidR="00E4551F" w:rsidRPr="000A21E1">
        <w:t xml:space="preserve">. </w:t>
      </w:r>
      <w:r w:rsidR="00E4551F" w:rsidRPr="000A21E1">
        <w:rPr>
          <w:bCs/>
        </w:rPr>
        <w:t xml:space="preserve">Data was normalized to </w:t>
      </w:r>
      <w:r w:rsidR="00E4551F" w:rsidRPr="000A21E1">
        <w:rPr>
          <w:bCs/>
          <w:i/>
        </w:rPr>
        <w:t>ACTB</w:t>
      </w:r>
      <w:r w:rsidR="00E4551F" w:rsidRPr="000A21E1">
        <w:rPr>
          <w:bCs/>
        </w:rPr>
        <w:t xml:space="preserve">. </w:t>
      </w:r>
      <w:r w:rsidR="00E4551F" w:rsidRPr="000A21E1">
        <w:t>Welch’s t-test,</w:t>
      </w:r>
      <w:r w:rsidR="00E4551F" w:rsidRPr="000A21E1">
        <w:rPr>
          <w:bCs/>
        </w:rPr>
        <w:t xml:space="preserve"> ** p&lt;0.01, p ***&lt;0.001, **** p&lt;0.0001. </w:t>
      </w:r>
      <w:r w:rsidR="00E4551F" w:rsidRPr="000A21E1">
        <w:rPr>
          <w:b/>
          <w:bCs/>
        </w:rPr>
        <w:t>(C)</w:t>
      </w:r>
      <w:r w:rsidR="00E4551F" w:rsidRPr="000A21E1">
        <w:rPr>
          <w:bCs/>
        </w:rPr>
        <w:t xml:space="preserve"> </w:t>
      </w:r>
      <w:r w:rsidRPr="000A21E1">
        <w:rPr>
          <w:bCs/>
        </w:rPr>
        <w:t>Scanning electron microscope images</w:t>
      </w:r>
      <w:r w:rsidRPr="000A21E1">
        <w:t xml:space="preserve"> show ultrastructural differences in cell morphology. Scale bars represent 30 µm. </w:t>
      </w:r>
      <w:r w:rsidR="00E4551F" w:rsidRPr="000A21E1">
        <w:rPr>
          <w:b/>
          <w:bCs/>
        </w:rPr>
        <w:t>(D)</w:t>
      </w:r>
      <w:r w:rsidR="00E4551F" w:rsidRPr="000A21E1">
        <w:rPr>
          <w:bCs/>
        </w:rPr>
        <w:t xml:space="preserve"> </w:t>
      </w:r>
      <w:r w:rsidRPr="000A21E1">
        <w:rPr>
          <w:bCs/>
        </w:rPr>
        <w:t xml:space="preserve">Quantification of </w:t>
      </w:r>
      <w:r w:rsidR="00E4551F" w:rsidRPr="000A21E1">
        <w:rPr>
          <w:bCs/>
        </w:rPr>
        <w:t xml:space="preserve">the </w:t>
      </w:r>
      <w:r w:rsidRPr="000A21E1">
        <w:rPr>
          <w:bCs/>
        </w:rPr>
        <w:t xml:space="preserve">mean length of primary and secondary protrusions </w:t>
      </w:r>
      <w:r w:rsidRPr="000A21E1">
        <w:t>given as length in µm. Welch’s t-test, ns: non-significant, * p&lt;0.05.</w:t>
      </w:r>
      <w:r w:rsidRPr="00EF186E">
        <w:t xml:space="preserve"> </w:t>
      </w:r>
      <w:r w:rsidRPr="004F6960">
        <w:rPr>
          <w:b/>
        </w:rPr>
        <w:lastRenderedPageBreak/>
        <w:t>(E)</w:t>
      </w:r>
      <w:r w:rsidRPr="00EF186E">
        <w:t xml:space="preserve"> </w:t>
      </w:r>
      <w:r w:rsidRPr="00EF186E">
        <w:rPr>
          <w:bCs/>
        </w:rPr>
        <w:t>Gene set enrichment analysis</w:t>
      </w:r>
      <w:r w:rsidRPr="00EF186E">
        <w:t xml:space="preserve"> of differentially expressed genes. A positive score indicates pathways that are more active in hiPSC-Podocytes, while a negative score indicates pathways that are more active in ciPodocytes. </w:t>
      </w:r>
    </w:p>
    <w:p w14:paraId="40CE1987" w14:textId="3DB63233" w:rsidR="008002FF" w:rsidRDefault="008002FF" w:rsidP="00544938">
      <w:pPr>
        <w:pStyle w:val="SOMContent"/>
        <w:spacing w:before="0" w:line="360" w:lineRule="auto"/>
        <w:jc w:val="both"/>
      </w:pPr>
    </w:p>
    <w:p w14:paraId="11B0A66C" w14:textId="1EBD8170" w:rsidR="008002FF" w:rsidRDefault="00A05CFE" w:rsidP="00544938">
      <w:pPr>
        <w:pStyle w:val="SOMContent"/>
        <w:spacing w:before="0" w:line="360" w:lineRule="auto"/>
        <w:jc w:val="both"/>
      </w:pPr>
      <w:r>
        <w:rPr>
          <w:noProof/>
        </w:rPr>
        <w:drawing>
          <wp:inline distT="0" distB="0" distL="0" distR="0" wp14:anchorId="671B6094" wp14:editId="07550D56">
            <wp:extent cx="5760720" cy="79248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6" cstate="print">
                      <a:extLst>
                        <a:ext uri="{28A0092B-C50C-407E-A947-70E740481C1C}">
                          <a14:useLocalDpi xmlns:a14="http://schemas.microsoft.com/office/drawing/2010/main" val="0"/>
                        </a:ext>
                      </a:extLst>
                    </a:blip>
                    <a:srcRect b="4762"/>
                    <a:stretch/>
                  </pic:blipFill>
                  <pic:spPr bwMode="auto">
                    <a:xfrm>
                      <a:off x="0" y="0"/>
                      <a:ext cx="5760720" cy="7924800"/>
                    </a:xfrm>
                    <a:prstGeom prst="rect">
                      <a:avLst/>
                    </a:prstGeom>
                    <a:ln>
                      <a:noFill/>
                    </a:ln>
                    <a:extLst>
                      <a:ext uri="{53640926-AAD7-44D8-BBD7-CCE9431645EC}">
                        <a14:shadowObscured xmlns:a14="http://schemas.microsoft.com/office/drawing/2010/main"/>
                      </a:ext>
                    </a:extLst>
                  </pic:spPr>
                </pic:pic>
              </a:graphicData>
            </a:graphic>
          </wp:inline>
        </w:drawing>
      </w:r>
    </w:p>
    <w:p w14:paraId="745EA20B" w14:textId="38557055" w:rsidR="008002FF" w:rsidRDefault="008002FF" w:rsidP="00544938">
      <w:pPr>
        <w:pStyle w:val="SOMContent"/>
        <w:spacing w:before="0" w:line="360" w:lineRule="auto"/>
        <w:jc w:val="both"/>
      </w:pPr>
      <w:r w:rsidRPr="000A21E1">
        <w:rPr>
          <w:bCs/>
          <w:lang w:val="en-GB"/>
        </w:rPr>
        <w:lastRenderedPageBreak/>
        <w:t>Figure S3.</w:t>
      </w:r>
      <w:r w:rsidR="00CD12A5" w:rsidRPr="000A21E1">
        <w:rPr>
          <w:b/>
          <w:bCs/>
          <w:lang w:val="en-GB"/>
        </w:rPr>
        <w:t xml:space="preserve"> </w:t>
      </w:r>
      <w:r w:rsidR="00A97DBE" w:rsidRPr="000A21E1">
        <w:rPr>
          <w:b/>
          <w:bCs/>
          <w:lang w:val="en-GB"/>
        </w:rPr>
        <w:t>Differentiation efficiency of pa</w:t>
      </w:r>
      <w:r w:rsidR="00CD12A5" w:rsidRPr="000A21E1">
        <w:rPr>
          <w:b/>
          <w:bCs/>
          <w:lang w:val="en-GB"/>
        </w:rPr>
        <w:t>tient-specific</w:t>
      </w:r>
      <w:r w:rsidRPr="000A21E1">
        <w:rPr>
          <w:b/>
        </w:rPr>
        <w:t xml:space="preserve"> hiPSC-Podocyte</w:t>
      </w:r>
      <w:r w:rsidR="00A97DBE" w:rsidRPr="000A21E1">
        <w:rPr>
          <w:b/>
        </w:rPr>
        <w:t>s</w:t>
      </w:r>
      <w:r w:rsidRPr="000A21E1">
        <w:rPr>
          <w:b/>
        </w:rPr>
        <w:t xml:space="preserve"> </w:t>
      </w:r>
      <w:r w:rsidR="00A97DBE" w:rsidRPr="000A21E1">
        <w:rPr>
          <w:b/>
        </w:rPr>
        <w:t>derived from three individual clones</w:t>
      </w:r>
      <w:r w:rsidRPr="000A21E1">
        <w:rPr>
          <w:b/>
        </w:rPr>
        <w:t>.</w:t>
      </w:r>
      <w:r w:rsidR="00CD12A5" w:rsidRPr="000A21E1">
        <w:rPr>
          <w:b/>
        </w:rPr>
        <w:t xml:space="preserve"> </w:t>
      </w:r>
      <w:r w:rsidR="00CD12A5" w:rsidRPr="000A21E1">
        <w:rPr>
          <w:b/>
          <w:bCs/>
        </w:rPr>
        <w:t>(A)</w:t>
      </w:r>
      <w:r w:rsidR="00CD12A5" w:rsidRPr="000A21E1">
        <w:rPr>
          <w:bCs/>
        </w:rPr>
        <w:t xml:space="preserve"> </w:t>
      </w:r>
      <w:r w:rsidR="00A97DBE" w:rsidRPr="000A21E1">
        <w:rPr>
          <w:bCs/>
        </w:rPr>
        <w:t>P</w:t>
      </w:r>
      <w:r w:rsidRPr="000A21E1">
        <w:t>odocyte marker proteins</w:t>
      </w:r>
      <w:r w:rsidR="00A97DBE" w:rsidRPr="000A21E1">
        <w:t>, such as</w:t>
      </w:r>
      <w:r w:rsidRPr="000A21E1">
        <w:t xml:space="preserve"> </w:t>
      </w:r>
      <w:r w:rsidR="00A97DBE" w:rsidRPr="000A21E1">
        <w:t xml:space="preserve">podocin and </w:t>
      </w:r>
      <w:r w:rsidRPr="000A21E1">
        <w:t>synaptopodin</w:t>
      </w:r>
      <w:r w:rsidR="00A97DBE" w:rsidRPr="000A21E1">
        <w:t>, are expressed in all patient-specific clones</w:t>
      </w:r>
      <w:r w:rsidRPr="000A21E1">
        <w:t xml:space="preserve">. </w:t>
      </w:r>
      <w:r w:rsidR="00A97DBE" w:rsidRPr="000A21E1">
        <w:rPr>
          <w:b/>
          <w:bCs/>
        </w:rPr>
        <w:t>(B)</w:t>
      </w:r>
      <w:r w:rsidR="00A97DBE" w:rsidRPr="000A21E1">
        <w:rPr>
          <w:bCs/>
        </w:rPr>
        <w:t xml:space="preserve"> Phalloidin (green) co-stained with DAPI (blue) to display the ability to form monolayers. </w:t>
      </w:r>
      <w:r w:rsidR="00A97DBE" w:rsidRPr="000A21E1">
        <w:t xml:space="preserve">Scale bars represent 100 µm. </w:t>
      </w:r>
      <w:r w:rsidR="00A97DBE" w:rsidRPr="000A21E1">
        <w:rPr>
          <w:b/>
          <w:bCs/>
        </w:rPr>
        <w:t>(C)</w:t>
      </w:r>
      <w:r w:rsidR="00A97DBE" w:rsidRPr="000A21E1">
        <w:rPr>
          <w:bCs/>
        </w:rPr>
        <w:t xml:space="preserve"> </w:t>
      </w:r>
      <w:r w:rsidR="00A97DBE" w:rsidRPr="000A21E1">
        <w:t>Heatmaps of transcripts per million (TPM) from bulk RNA sequencing analysis showing the expression of cell type-specific markers in patient-specific hiPSCs, nephron progenitor cells and hiPSC-Podocytes. Two different clones were analyzed for each cell type.</w:t>
      </w:r>
      <w:r w:rsidR="00A97DBE" w:rsidRPr="005E28FB">
        <w:t xml:space="preserve"> </w:t>
      </w:r>
    </w:p>
    <w:p w14:paraId="40C33B41" w14:textId="77777777" w:rsidR="00567189" w:rsidRDefault="00567189" w:rsidP="00544938">
      <w:pPr>
        <w:pStyle w:val="SOMContent"/>
        <w:spacing w:before="0" w:line="360" w:lineRule="auto"/>
        <w:jc w:val="both"/>
      </w:pPr>
    </w:p>
    <w:p w14:paraId="05808109" w14:textId="21F4BFF3" w:rsidR="008002FF" w:rsidRPr="00EF186E" w:rsidRDefault="00A05CFE" w:rsidP="00544938">
      <w:pPr>
        <w:pStyle w:val="SOMContent"/>
        <w:spacing w:before="0" w:line="360" w:lineRule="auto"/>
        <w:jc w:val="both"/>
      </w:pPr>
      <w:r>
        <w:rPr>
          <w:noProof/>
        </w:rPr>
        <w:drawing>
          <wp:inline distT="0" distB="0" distL="0" distR="0" wp14:anchorId="4574889F" wp14:editId="16748972">
            <wp:extent cx="5760720" cy="6467475"/>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7" cstate="print">
                      <a:extLst>
                        <a:ext uri="{28A0092B-C50C-407E-A947-70E740481C1C}">
                          <a14:useLocalDpi xmlns:a14="http://schemas.microsoft.com/office/drawing/2010/main" val="0"/>
                        </a:ext>
                      </a:extLst>
                    </a:blip>
                    <a:srcRect b="22276"/>
                    <a:stretch/>
                  </pic:blipFill>
                  <pic:spPr bwMode="auto">
                    <a:xfrm>
                      <a:off x="0" y="0"/>
                      <a:ext cx="5760720" cy="6467475"/>
                    </a:xfrm>
                    <a:prstGeom prst="rect">
                      <a:avLst/>
                    </a:prstGeom>
                    <a:ln>
                      <a:noFill/>
                    </a:ln>
                    <a:extLst>
                      <a:ext uri="{53640926-AAD7-44D8-BBD7-CCE9431645EC}">
                        <a14:shadowObscured xmlns:a14="http://schemas.microsoft.com/office/drawing/2010/main"/>
                      </a:ext>
                    </a:extLst>
                  </pic:spPr>
                </pic:pic>
              </a:graphicData>
            </a:graphic>
          </wp:inline>
        </w:drawing>
      </w:r>
    </w:p>
    <w:p w14:paraId="7FBD09DE" w14:textId="4D8FA212" w:rsidR="00CD12A5" w:rsidRPr="00CD12A5" w:rsidRDefault="00544938" w:rsidP="00CD12A5">
      <w:pPr>
        <w:pStyle w:val="SOMContent"/>
        <w:spacing w:before="0" w:line="360" w:lineRule="auto"/>
        <w:jc w:val="both"/>
        <w:rPr>
          <w:b/>
          <w:bCs/>
          <w:lang w:val="en-GB"/>
        </w:rPr>
      </w:pPr>
      <w:r w:rsidRPr="000A21E1">
        <w:rPr>
          <w:bCs/>
          <w:lang w:val="en-GB"/>
        </w:rPr>
        <w:lastRenderedPageBreak/>
        <w:t>Figure S</w:t>
      </w:r>
      <w:r w:rsidR="008002FF" w:rsidRPr="000A21E1">
        <w:rPr>
          <w:bCs/>
          <w:lang w:val="en-GB"/>
        </w:rPr>
        <w:t>4</w:t>
      </w:r>
      <w:r w:rsidRPr="000A21E1">
        <w:rPr>
          <w:bCs/>
          <w:lang w:val="en-GB"/>
        </w:rPr>
        <w:t>.</w:t>
      </w:r>
      <w:r w:rsidRPr="000A21E1">
        <w:rPr>
          <w:b/>
          <w:bCs/>
          <w:lang w:val="en-GB"/>
        </w:rPr>
        <w:t xml:space="preserve"> </w:t>
      </w:r>
      <w:r w:rsidR="00CD12A5" w:rsidRPr="000A21E1">
        <w:rPr>
          <w:b/>
          <w:bCs/>
          <w:lang w:val="en-GB"/>
        </w:rPr>
        <w:t>Patient-specific h</w:t>
      </w:r>
      <w:r w:rsidRPr="000A21E1">
        <w:rPr>
          <w:b/>
        </w:rPr>
        <w:t xml:space="preserve">iPSC-Podocyte </w:t>
      </w:r>
      <w:r w:rsidR="00CD12A5" w:rsidRPr="000A21E1">
        <w:rPr>
          <w:b/>
        </w:rPr>
        <w:t xml:space="preserve">differentiated in a 3D microenvironment </w:t>
      </w:r>
      <w:r w:rsidRPr="000A21E1">
        <w:rPr>
          <w:b/>
        </w:rPr>
        <w:t xml:space="preserve">exhibit podocyte </w:t>
      </w:r>
      <w:r w:rsidR="00567189" w:rsidRPr="000A21E1">
        <w:rPr>
          <w:b/>
        </w:rPr>
        <w:t>marker</w:t>
      </w:r>
      <w:r w:rsidRPr="000A21E1">
        <w:rPr>
          <w:b/>
        </w:rPr>
        <w:t>.</w:t>
      </w:r>
      <w:r w:rsidR="008002FF" w:rsidRPr="000A21E1">
        <w:rPr>
          <w:b/>
        </w:rPr>
        <w:t xml:space="preserve"> </w:t>
      </w:r>
      <w:r w:rsidR="008002FF" w:rsidRPr="000A21E1">
        <w:rPr>
          <w:b/>
          <w:bCs/>
        </w:rPr>
        <w:t>(A)</w:t>
      </w:r>
      <w:r w:rsidR="008002FF" w:rsidRPr="000A21E1">
        <w:rPr>
          <w:bCs/>
        </w:rPr>
        <w:t xml:space="preserve"> </w:t>
      </w:r>
      <w:r w:rsidRPr="000A21E1">
        <w:t xml:space="preserve">Immunofluorescent staining of the podocyte marker proteins synaptopodin (green), nephrin (magenta) and podocin (grey). The 3D cultures were derived from embryoid bodies formed from patient and control hiPSCs, following the same differentiation protocol used for 2D hiPSC-Podocytes at 60 rpm on a shaking platform. Scale bars represent 50 µm. </w:t>
      </w:r>
      <w:r w:rsidR="00CD12A5" w:rsidRPr="000A21E1">
        <w:rPr>
          <w:b/>
          <w:bCs/>
        </w:rPr>
        <w:t xml:space="preserve">(B - C) </w:t>
      </w:r>
      <w:r w:rsidR="008002FF" w:rsidRPr="000A21E1">
        <w:rPr>
          <w:bCs/>
        </w:rPr>
        <w:t xml:space="preserve">Transcripts per million (TPM) </w:t>
      </w:r>
      <w:r w:rsidR="008002FF" w:rsidRPr="000A21E1">
        <w:t>from bulk RNA sequencing analysis</w:t>
      </w:r>
      <w:r w:rsidR="008002FF" w:rsidRPr="000A21E1">
        <w:rPr>
          <w:bCs/>
        </w:rPr>
        <w:t xml:space="preserve"> of genes related to </w:t>
      </w:r>
      <w:r w:rsidR="008002FF" w:rsidRPr="000A21E1">
        <w:t xml:space="preserve">podocyte phenotype are </w:t>
      </w:r>
      <w:r w:rsidR="008002FF" w:rsidRPr="000A21E1">
        <w:rPr>
          <w:bCs/>
        </w:rPr>
        <w:t>displayed</w:t>
      </w:r>
      <w:r w:rsidR="00A97DBE" w:rsidRPr="000A21E1">
        <w:rPr>
          <w:bCs/>
        </w:rPr>
        <w:t xml:space="preserve"> as the mean</w:t>
      </w:r>
      <w:r w:rsidR="00CD12A5" w:rsidRPr="000A21E1">
        <w:rPr>
          <w:bCs/>
        </w:rPr>
        <w:t xml:space="preserve">. Here, </w:t>
      </w:r>
      <w:r w:rsidR="00CD12A5" w:rsidRPr="000A21E1">
        <w:t xml:space="preserve">control- and patient-specific 3D hiPSC-Podocyte cultures </w:t>
      </w:r>
      <w:r w:rsidR="00CD12A5" w:rsidRPr="000A21E1">
        <w:rPr>
          <w:b/>
          <w:bCs/>
        </w:rPr>
        <w:t xml:space="preserve">(B) </w:t>
      </w:r>
      <w:r w:rsidR="00CD12A5" w:rsidRPr="000A21E1">
        <w:t xml:space="preserve">or rather patient-specific hiPSC-Podocyte cultures differentiated in 2D and 3D cultures </w:t>
      </w:r>
      <w:r w:rsidR="00CD12A5" w:rsidRPr="000A21E1">
        <w:rPr>
          <w:b/>
          <w:bCs/>
        </w:rPr>
        <w:t xml:space="preserve">(C) </w:t>
      </w:r>
      <w:r w:rsidR="00CD12A5" w:rsidRPr="000A21E1">
        <w:t>were compared</w:t>
      </w:r>
      <w:r w:rsidR="008002FF" w:rsidRPr="000A21E1">
        <w:t>.</w:t>
      </w:r>
    </w:p>
    <w:p w14:paraId="54817566" w14:textId="09968D25" w:rsidR="003F2967" w:rsidRDefault="00A05CFE" w:rsidP="00544938">
      <w:pPr>
        <w:jc w:val="both"/>
        <w:rPr>
          <w:sz w:val="24"/>
          <w:szCs w:val="24"/>
        </w:rPr>
      </w:pPr>
      <w:r>
        <w:rPr>
          <w:noProof/>
          <w:sz w:val="24"/>
          <w:szCs w:val="24"/>
        </w:rPr>
        <w:drawing>
          <wp:inline distT="0" distB="0" distL="0" distR="0" wp14:anchorId="6FB168B4" wp14:editId="5177766D">
            <wp:extent cx="5760720" cy="37719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rotWithShape="1">
                    <a:blip r:embed="rId8" cstate="print">
                      <a:extLst>
                        <a:ext uri="{28A0092B-C50C-407E-A947-70E740481C1C}">
                          <a14:useLocalDpi xmlns:a14="http://schemas.microsoft.com/office/drawing/2010/main" val="0"/>
                        </a:ext>
                      </a:extLst>
                    </a:blip>
                    <a:srcRect b="54671"/>
                    <a:stretch/>
                  </pic:blipFill>
                  <pic:spPr bwMode="auto">
                    <a:xfrm>
                      <a:off x="0" y="0"/>
                      <a:ext cx="5760720" cy="3771900"/>
                    </a:xfrm>
                    <a:prstGeom prst="rect">
                      <a:avLst/>
                    </a:prstGeom>
                    <a:ln>
                      <a:noFill/>
                    </a:ln>
                    <a:extLst>
                      <a:ext uri="{53640926-AAD7-44D8-BBD7-CCE9431645EC}">
                        <a14:shadowObscured xmlns:a14="http://schemas.microsoft.com/office/drawing/2010/main"/>
                      </a:ext>
                    </a:extLst>
                  </pic:spPr>
                </pic:pic>
              </a:graphicData>
            </a:graphic>
          </wp:inline>
        </w:drawing>
      </w:r>
    </w:p>
    <w:p w14:paraId="2B1CED06" w14:textId="5646ED5F" w:rsidR="00544938" w:rsidRPr="004F6960" w:rsidRDefault="00544938" w:rsidP="00544938">
      <w:pPr>
        <w:pStyle w:val="SOMContent"/>
        <w:spacing w:before="0" w:line="360" w:lineRule="auto"/>
        <w:jc w:val="both"/>
        <w:rPr>
          <w:rFonts w:eastAsia="Calibri"/>
        </w:rPr>
      </w:pPr>
      <w:r w:rsidRPr="000A21E1">
        <w:rPr>
          <w:bCs/>
          <w:lang w:val="en-GB"/>
        </w:rPr>
        <w:t>Figure S</w:t>
      </w:r>
      <w:r w:rsidR="008002FF" w:rsidRPr="000A21E1">
        <w:rPr>
          <w:bCs/>
          <w:lang w:val="en-GB"/>
        </w:rPr>
        <w:t>5</w:t>
      </w:r>
      <w:r w:rsidRPr="000A21E1">
        <w:rPr>
          <w:bCs/>
          <w:lang w:val="en-GB"/>
        </w:rPr>
        <w:t>.</w:t>
      </w:r>
      <w:r w:rsidRPr="000A21E1">
        <w:rPr>
          <w:b/>
          <w:bCs/>
          <w:lang w:val="en-GB"/>
        </w:rPr>
        <w:t xml:space="preserve"> Transcriptomic </w:t>
      </w:r>
      <w:r w:rsidRPr="000A21E1">
        <w:rPr>
          <w:b/>
          <w:bCs/>
          <w:iCs/>
        </w:rPr>
        <w:t>expression of cathepsin isoforms in control and patient</w:t>
      </w:r>
      <w:r w:rsidRPr="000A21E1" w:rsidDel="00A64495">
        <w:rPr>
          <w:b/>
          <w:bCs/>
          <w:iCs/>
        </w:rPr>
        <w:t xml:space="preserve"> </w:t>
      </w:r>
      <w:r w:rsidRPr="000A21E1">
        <w:rPr>
          <w:b/>
          <w:bCs/>
          <w:iCs/>
        </w:rPr>
        <w:t>hiPSC-Podocytes from bulk RNA sequencing data.</w:t>
      </w:r>
      <w:r w:rsidRPr="000A21E1">
        <w:t xml:space="preserve"> </w:t>
      </w:r>
      <w:r w:rsidRPr="000A21E1">
        <w:rPr>
          <w:rFonts w:eastAsia="Calibri"/>
        </w:rPr>
        <w:t>Transcripts per million (TPM) were compared for the cathepsin isoforms L, B, D, Z, A, C, V, K, O, and H. While cathepsins L, B, D, Z, and A were less expressed in patient</w:t>
      </w:r>
      <w:r w:rsidRPr="000A21E1" w:rsidDel="00A64495">
        <w:rPr>
          <w:rFonts w:eastAsia="Calibri"/>
        </w:rPr>
        <w:t xml:space="preserve"> </w:t>
      </w:r>
      <w:r w:rsidRPr="000A21E1">
        <w:rPr>
          <w:rFonts w:eastAsia="Calibri"/>
        </w:rPr>
        <w:t>hiPSC</w:t>
      </w:r>
      <w:r w:rsidRPr="004F6960">
        <w:rPr>
          <w:rFonts w:eastAsia="Calibri"/>
        </w:rPr>
        <w:t>-Podocytes</w:t>
      </w:r>
      <w:r>
        <w:rPr>
          <w:rFonts w:eastAsia="Calibri"/>
        </w:rPr>
        <w:t>, cathepsin C and V were higher expressed compared to control hiPSC-Podocytes</w:t>
      </w:r>
      <w:r w:rsidRPr="004F6960">
        <w:rPr>
          <w:rFonts w:eastAsia="Calibri"/>
        </w:rPr>
        <w:t xml:space="preserve">. Bulk RNA </w:t>
      </w:r>
      <w:r w:rsidRPr="00EF186E">
        <w:rPr>
          <w:rFonts w:eastAsia="Calibri"/>
        </w:rPr>
        <w:t>sequencing</w:t>
      </w:r>
      <w:r w:rsidRPr="004F6960">
        <w:rPr>
          <w:rFonts w:eastAsia="Calibri"/>
        </w:rPr>
        <w:t xml:space="preserve"> was performed of two </w:t>
      </w:r>
      <w:r>
        <w:rPr>
          <w:rFonts w:eastAsia="Calibri"/>
        </w:rPr>
        <w:t>individual</w:t>
      </w:r>
      <w:r w:rsidRPr="004F6960">
        <w:rPr>
          <w:rFonts w:eastAsia="Calibri"/>
        </w:rPr>
        <w:t xml:space="preserve"> clones</w:t>
      </w:r>
      <w:r>
        <w:rPr>
          <w:rFonts w:eastAsia="Calibri"/>
        </w:rPr>
        <w:t xml:space="preserve"> for each cell line</w:t>
      </w:r>
      <w:r w:rsidRPr="004F6960">
        <w:rPr>
          <w:rFonts w:eastAsia="Calibri"/>
        </w:rPr>
        <w:t>.</w:t>
      </w:r>
    </w:p>
    <w:p w14:paraId="0FBDBDF9" w14:textId="2642E091" w:rsidR="00544938" w:rsidRDefault="00544938" w:rsidP="00544938">
      <w:pPr>
        <w:pStyle w:val="SOMContent"/>
        <w:spacing w:before="0" w:line="360" w:lineRule="auto"/>
        <w:jc w:val="both"/>
        <w:rPr>
          <w:noProof/>
        </w:rPr>
      </w:pPr>
    </w:p>
    <w:p w14:paraId="6EADD664" w14:textId="7D663A28" w:rsidR="003F2967" w:rsidRDefault="00A05CFE" w:rsidP="00544938">
      <w:pPr>
        <w:pStyle w:val="SOMContent"/>
        <w:spacing w:before="0" w:line="360" w:lineRule="auto"/>
        <w:jc w:val="both"/>
        <w:rPr>
          <w:noProof/>
        </w:rPr>
      </w:pPr>
      <w:r>
        <w:rPr>
          <w:noProof/>
        </w:rPr>
        <w:lastRenderedPageBreak/>
        <w:drawing>
          <wp:inline distT="0" distB="0" distL="0" distR="0" wp14:anchorId="55D2147B" wp14:editId="0A498226">
            <wp:extent cx="5760720" cy="32575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rotWithShape="1">
                    <a:blip r:embed="rId9" cstate="print">
                      <a:extLst>
                        <a:ext uri="{28A0092B-C50C-407E-A947-70E740481C1C}">
                          <a14:useLocalDpi xmlns:a14="http://schemas.microsoft.com/office/drawing/2010/main" val="0"/>
                        </a:ext>
                      </a:extLst>
                    </a:blip>
                    <a:srcRect b="60852"/>
                    <a:stretch/>
                  </pic:blipFill>
                  <pic:spPr bwMode="auto">
                    <a:xfrm>
                      <a:off x="0" y="0"/>
                      <a:ext cx="5760720" cy="3257550"/>
                    </a:xfrm>
                    <a:prstGeom prst="rect">
                      <a:avLst/>
                    </a:prstGeom>
                    <a:ln>
                      <a:noFill/>
                    </a:ln>
                    <a:extLst>
                      <a:ext uri="{53640926-AAD7-44D8-BBD7-CCE9431645EC}">
                        <a14:shadowObscured xmlns:a14="http://schemas.microsoft.com/office/drawing/2010/main"/>
                      </a:ext>
                    </a:extLst>
                  </pic:spPr>
                </pic:pic>
              </a:graphicData>
            </a:graphic>
          </wp:inline>
        </w:drawing>
      </w:r>
    </w:p>
    <w:p w14:paraId="7D2DB52C" w14:textId="1A496E2C" w:rsidR="00544938" w:rsidRDefault="00544938" w:rsidP="00544938">
      <w:pPr>
        <w:pStyle w:val="SOMContent"/>
        <w:spacing w:before="0" w:line="360" w:lineRule="auto"/>
        <w:jc w:val="both"/>
      </w:pPr>
      <w:r w:rsidRPr="000A21E1">
        <w:rPr>
          <w:bCs/>
          <w:lang w:val="en-GB"/>
        </w:rPr>
        <w:t>Figure S</w:t>
      </w:r>
      <w:r w:rsidR="008002FF" w:rsidRPr="000A21E1">
        <w:rPr>
          <w:bCs/>
          <w:lang w:val="en-GB"/>
        </w:rPr>
        <w:t>6</w:t>
      </w:r>
      <w:r w:rsidRPr="000A21E1">
        <w:rPr>
          <w:bCs/>
          <w:lang w:val="en-GB"/>
        </w:rPr>
        <w:t xml:space="preserve">. </w:t>
      </w:r>
      <w:r w:rsidRPr="000A21E1">
        <w:rPr>
          <w:b/>
          <w:bCs/>
          <w:iCs/>
        </w:rPr>
        <w:t>Healthy control- and patient-derived dermal fibroblast display no alterations of the actin filaments, INF2 and cathepsin L protein expression</w:t>
      </w:r>
      <w:r w:rsidRPr="000A21E1">
        <w:rPr>
          <w:b/>
          <w:iCs/>
        </w:rPr>
        <w:t>.</w:t>
      </w:r>
      <w:r w:rsidRPr="000A21E1">
        <w:rPr>
          <w:iCs/>
        </w:rPr>
        <w:t xml:space="preserve"> </w:t>
      </w:r>
      <w:r w:rsidRPr="000A21E1">
        <w:rPr>
          <w:b/>
        </w:rPr>
        <w:t>(A)</w:t>
      </w:r>
      <w:r w:rsidRPr="000A21E1">
        <w:t xml:space="preserve"> Phalloidin (red) and DAPI (blue) staining of dermal fibroblasts showing </w:t>
      </w:r>
      <w:r w:rsidR="00567189" w:rsidRPr="000A21E1">
        <w:t xml:space="preserve">an </w:t>
      </w:r>
      <w:r w:rsidRPr="000A21E1">
        <w:t xml:space="preserve">unaltered actin cytoskeleton in both cell lines. Scale bars represent </w:t>
      </w:r>
      <w:r w:rsidR="00A97DBE" w:rsidRPr="000A21E1">
        <w:t>10</w:t>
      </w:r>
      <w:r w:rsidRPr="000A21E1">
        <w:t xml:space="preserve">0 µm. </w:t>
      </w:r>
      <w:r w:rsidRPr="000A21E1">
        <w:rPr>
          <w:b/>
        </w:rPr>
        <w:t>(B)</w:t>
      </w:r>
      <w:r w:rsidRPr="000A21E1">
        <w:t xml:space="preserve"> INF2 and </w:t>
      </w:r>
      <w:r w:rsidRPr="000A21E1">
        <w:rPr>
          <w:b/>
        </w:rPr>
        <w:t>(C)</w:t>
      </w:r>
      <w:r w:rsidRPr="000A21E1">
        <w:t xml:space="preserve"> cathepsin L protein levels were analyzed by Western blot analysis and normalization to GAPDH</w:t>
      </w:r>
      <w:r w:rsidRPr="00EF186E">
        <w:t>. n=1.</w:t>
      </w:r>
    </w:p>
    <w:p w14:paraId="5D8C5045" w14:textId="1337BBB6" w:rsidR="005A0DCB" w:rsidRDefault="00C03D37"/>
    <w:p w14:paraId="5C28F5B4" w14:textId="67004B4F" w:rsidR="00A05CFE" w:rsidRDefault="00A05CFE">
      <w:r>
        <w:rPr>
          <w:noProof/>
        </w:rPr>
        <w:drawing>
          <wp:inline distT="0" distB="0" distL="0" distR="0" wp14:anchorId="6742A659" wp14:editId="2FE932D6">
            <wp:extent cx="5760720" cy="19812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0" cstate="print">
                      <a:extLst>
                        <a:ext uri="{28A0092B-C50C-407E-A947-70E740481C1C}">
                          <a14:useLocalDpi xmlns:a14="http://schemas.microsoft.com/office/drawing/2010/main" val="0"/>
                        </a:ext>
                      </a:extLst>
                    </a:blip>
                    <a:srcRect b="76190"/>
                    <a:stretch/>
                  </pic:blipFill>
                  <pic:spPr bwMode="auto">
                    <a:xfrm>
                      <a:off x="0" y="0"/>
                      <a:ext cx="5760720" cy="1981200"/>
                    </a:xfrm>
                    <a:prstGeom prst="rect">
                      <a:avLst/>
                    </a:prstGeom>
                    <a:ln>
                      <a:noFill/>
                    </a:ln>
                    <a:extLst>
                      <a:ext uri="{53640926-AAD7-44D8-BBD7-CCE9431645EC}">
                        <a14:shadowObscured xmlns:a14="http://schemas.microsoft.com/office/drawing/2010/main"/>
                      </a:ext>
                    </a:extLst>
                  </pic:spPr>
                </pic:pic>
              </a:graphicData>
            </a:graphic>
          </wp:inline>
        </w:drawing>
      </w:r>
    </w:p>
    <w:p w14:paraId="107ABC57" w14:textId="0470E772" w:rsidR="00263FC0" w:rsidRDefault="00A05CFE" w:rsidP="00263FC0">
      <w:pPr>
        <w:spacing w:line="360" w:lineRule="auto"/>
        <w:jc w:val="both"/>
        <w:rPr>
          <w:bCs/>
          <w:sz w:val="24"/>
          <w:szCs w:val="24"/>
        </w:rPr>
      </w:pPr>
      <w:r w:rsidRPr="000A21E1">
        <w:rPr>
          <w:bCs/>
          <w:sz w:val="24"/>
          <w:szCs w:val="24"/>
          <w:lang w:val="en-GB"/>
        </w:rPr>
        <w:t>Figure S7.</w:t>
      </w:r>
      <w:r w:rsidRPr="000A21E1">
        <w:rPr>
          <w:b/>
          <w:sz w:val="24"/>
          <w:szCs w:val="24"/>
          <w:lang w:val="en-GB"/>
        </w:rPr>
        <w:t xml:space="preserve"> </w:t>
      </w:r>
      <w:r w:rsidR="00263FC0" w:rsidRPr="000A21E1">
        <w:rPr>
          <w:b/>
          <w:sz w:val="24"/>
          <w:szCs w:val="24"/>
          <w:lang w:val="en-GB"/>
        </w:rPr>
        <w:t xml:space="preserve">Equal cell number </w:t>
      </w:r>
      <w:r w:rsidR="00567189" w:rsidRPr="000A21E1">
        <w:rPr>
          <w:b/>
          <w:sz w:val="24"/>
          <w:szCs w:val="24"/>
          <w:lang w:val="en-GB"/>
        </w:rPr>
        <w:t>after</w:t>
      </w:r>
      <w:r w:rsidR="00263FC0" w:rsidRPr="000A21E1">
        <w:rPr>
          <w:b/>
          <w:sz w:val="24"/>
          <w:szCs w:val="24"/>
          <w:lang w:val="en-GB"/>
        </w:rPr>
        <w:t xml:space="preserve"> treatment experiments visualized by quantified </w:t>
      </w:r>
      <w:r w:rsidR="00263FC0" w:rsidRPr="000A21E1">
        <w:rPr>
          <w:b/>
          <w:sz w:val="24"/>
          <w:szCs w:val="24"/>
        </w:rPr>
        <w:t>DAPI signal</w:t>
      </w:r>
      <w:r w:rsidRPr="000A21E1">
        <w:rPr>
          <w:b/>
          <w:iCs/>
        </w:rPr>
        <w:t>.</w:t>
      </w:r>
      <w:r w:rsidRPr="000A21E1">
        <w:rPr>
          <w:iCs/>
        </w:rPr>
        <w:t xml:space="preserve"> </w:t>
      </w:r>
      <w:r w:rsidR="00263FC0" w:rsidRPr="000A21E1">
        <w:rPr>
          <w:bCs/>
          <w:sz w:val="24"/>
          <w:szCs w:val="24"/>
        </w:rPr>
        <w:t xml:space="preserve">Quantification of </w:t>
      </w:r>
      <w:r w:rsidR="00263FC0" w:rsidRPr="000A21E1">
        <w:rPr>
          <w:sz w:val="24"/>
          <w:szCs w:val="24"/>
        </w:rPr>
        <w:t>relative fluorescence units</w:t>
      </w:r>
      <w:r w:rsidR="00263FC0" w:rsidRPr="000A21E1" w:rsidDel="001C1A56">
        <w:rPr>
          <w:bCs/>
          <w:sz w:val="24"/>
          <w:szCs w:val="24"/>
        </w:rPr>
        <w:t xml:space="preserve"> </w:t>
      </w:r>
      <w:r w:rsidR="00263FC0" w:rsidRPr="000A21E1">
        <w:rPr>
          <w:bCs/>
          <w:sz w:val="24"/>
          <w:szCs w:val="24"/>
        </w:rPr>
        <w:t xml:space="preserve">(RFU) of DAPI in control and </w:t>
      </w:r>
      <w:r w:rsidR="00263FC0" w:rsidRPr="000A21E1">
        <w:rPr>
          <w:sz w:val="24"/>
          <w:szCs w:val="24"/>
        </w:rPr>
        <w:t>patient</w:t>
      </w:r>
      <w:r w:rsidR="00263FC0" w:rsidRPr="000A21E1">
        <w:rPr>
          <w:bCs/>
          <w:sz w:val="24"/>
          <w:szCs w:val="24"/>
        </w:rPr>
        <w:t xml:space="preserve"> hiPSC-Podocytes, both untreated and after 1 hour of treatment with Bis-T-23 (30 µM), tacrolimus (10 µg/mL), and SDH (1 µg/mL) in 96-well format. This analysis was performed in triplicate for each of the three clones using a plate reader. </w:t>
      </w:r>
      <w:r w:rsidR="00263FC0" w:rsidRPr="000A21E1">
        <w:rPr>
          <w:sz w:val="24"/>
          <w:szCs w:val="24"/>
        </w:rPr>
        <w:t>One-way ANOVA showing no significant differences</w:t>
      </w:r>
      <w:r w:rsidR="00263FC0" w:rsidRPr="000A21E1">
        <w:rPr>
          <w:bCs/>
          <w:sz w:val="24"/>
          <w:szCs w:val="24"/>
        </w:rPr>
        <w:t xml:space="preserve">, n=3. </w:t>
      </w:r>
    </w:p>
    <w:p w14:paraId="2318FBA5" w14:textId="77777777" w:rsidR="00263FC0" w:rsidRDefault="00263FC0" w:rsidP="00A05CFE">
      <w:pPr>
        <w:pStyle w:val="SOMContent"/>
        <w:spacing w:before="0" w:line="360" w:lineRule="auto"/>
        <w:jc w:val="both"/>
      </w:pPr>
    </w:p>
    <w:p w14:paraId="1155FF6D" w14:textId="77777777" w:rsidR="00A05CFE" w:rsidRDefault="00A05CFE"/>
    <w:sectPr w:rsidR="00A05C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38"/>
    <w:rsid w:val="000A21E1"/>
    <w:rsid w:val="000D1C19"/>
    <w:rsid w:val="00263FC0"/>
    <w:rsid w:val="002E5EFD"/>
    <w:rsid w:val="003B0B45"/>
    <w:rsid w:val="003F2967"/>
    <w:rsid w:val="004E4A85"/>
    <w:rsid w:val="00544938"/>
    <w:rsid w:val="00567189"/>
    <w:rsid w:val="00636DB2"/>
    <w:rsid w:val="007C3FA4"/>
    <w:rsid w:val="008002FF"/>
    <w:rsid w:val="0087497F"/>
    <w:rsid w:val="008A36AB"/>
    <w:rsid w:val="008A5892"/>
    <w:rsid w:val="00A05CFE"/>
    <w:rsid w:val="00A97DBE"/>
    <w:rsid w:val="00AF3483"/>
    <w:rsid w:val="00B77210"/>
    <w:rsid w:val="00C03D37"/>
    <w:rsid w:val="00CB4430"/>
    <w:rsid w:val="00CD12A5"/>
    <w:rsid w:val="00D901CF"/>
    <w:rsid w:val="00D91CD6"/>
    <w:rsid w:val="00E4551F"/>
    <w:rsid w:val="00ED5E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3CA93"/>
  <w15:chartTrackingRefBased/>
  <w15:docId w15:val="{AE6C932D-58D1-44D9-8124-902BCD3F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4938"/>
    <w:pPr>
      <w:spacing w:after="0" w:line="240" w:lineRule="auto"/>
    </w:pPr>
    <w:rPr>
      <w:rFonts w:ascii="Times New Roman" w:eastAsia="Calibri" w:hAnsi="Times New Roman" w:cs="Times New Roman"/>
      <w:sz w:val="20"/>
      <w:szCs w:val="20"/>
      <w:lang w:val="en-US"/>
    </w:rPr>
  </w:style>
  <w:style w:type="paragraph" w:styleId="berschrift3">
    <w:name w:val="heading 3"/>
    <w:aliases w:val="Ebene 3"/>
    <w:basedOn w:val="Standard"/>
    <w:next w:val="Standard"/>
    <w:link w:val="berschrift3Zchn"/>
    <w:autoRedefine/>
    <w:uiPriority w:val="9"/>
    <w:unhideWhenUsed/>
    <w:qFormat/>
    <w:rsid w:val="004E4A85"/>
    <w:pPr>
      <w:keepNext/>
      <w:keepLines/>
      <w:shd w:val="clear" w:color="auto" w:fill="FFFFFF"/>
      <w:spacing w:after="160" w:line="360" w:lineRule="auto"/>
      <w:jc w:val="both"/>
      <w:outlineLvl w:val="2"/>
    </w:pPr>
    <w:rPr>
      <w:rFonts w:ascii="Arial" w:eastAsiaTheme="majorEastAsia" w:hAnsi="Arial" w:cs="Arial"/>
      <w:color w:val="212529"/>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aliases w:val="Ebene 3 Zchn"/>
    <w:basedOn w:val="Absatz-Standardschriftart"/>
    <w:link w:val="berschrift3"/>
    <w:uiPriority w:val="9"/>
    <w:rsid w:val="004E4A85"/>
    <w:rPr>
      <w:rFonts w:ascii="Arial" w:eastAsiaTheme="majorEastAsia" w:hAnsi="Arial" w:cs="Arial"/>
      <w:color w:val="212529"/>
      <w:sz w:val="24"/>
      <w:szCs w:val="24"/>
      <w:shd w:val="clear" w:color="auto" w:fill="FFFFFF"/>
      <w:lang w:val="en-US"/>
    </w:rPr>
  </w:style>
  <w:style w:type="paragraph" w:styleId="HTMLVorformatiert">
    <w:name w:val="HTML Preformatted"/>
    <w:basedOn w:val="Standard"/>
    <w:link w:val="HTMLVorformatiertZchn"/>
    <w:uiPriority w:val="99"/>
    <w:rsid w:val="00544938"/>
    <w:rPr>
      <w:rFonts w:ascii="Consolas" w:eastAsia="Times New Roman" w:hAnsi="Consolas"/>
    </w:rPr>
  </w:style>
  <w:style w:type="character" w:customStyle="1" w:styleId="HTMLVorformatiertZchn">
    <w:name w:val="HTML Vorformatiert Zchn"/>
    <w:basedOn w:val="Absatz-Standardschriftart"/>
    <w:link w:val="HTMLVorformatiert"/>
    <w:uiPriority w:val="99"/>
    <w:rsid w:val="00544938"/>
    <w:rPr>
      <w:rFonts w:ascii="Consolas" w:eastAsia="Times New Roman" w:hAnsi="Consolas" w:cs="Times New Roman"/>
      <w:sz w:val="20"/>
      <w:szCs w:val="20"/>
      <w:lang w:val="en-US"/>
    </w:rPr>
  </w:style>
  <w:style w:type="paragraph" w:customStyle="1" w:styleId="SOMContent">
    <w:name w:val="SOMContent"/>
    <w:basedOn w:val="Standard"/>
    <w:rsid w:val="00544938"/>
    <w:pPr>
      <w:spacing w:before="120"/>
    </w:pPr>
    <w:rPr>
      <w:rFonts w:eastAsia="Times New Roman"/>
      <w:sz w:val="24"/>
      <w:szCs w:val="24"/>
    </w:rPr>
  </w:style>
  <w:style w:type="paragraph" w:styleId="KeinLeerraum">
    <w:name w:val="No Spacing"/>
    <w:uiPriority w:val="1"/>
    <w:qFormat/>
    <w:rsid w:val="00544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890</Words>
  <Characters>5445</Characters>
  <Application>Microsoft Office Word</Application>
  <DocSecurity>0</DocSecurity>
  <Lines>90</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Victoria</dc:creator>
  <cp:keywords/>
  <dc:description/>
  <cp:lastModifiedBy>Rose, Victoria</cp:lastModifiedBy>
  <cp:revision>3</cp:revision>
  <dcterms:created xsi:type="dcterms:W3CDTF">2025-09-24T08:48:00Z</dcterms:created>
  <dcterms:modified xsi:type="dcterms:W3CDTF">2025-09-24T08:52:00Z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d4af4519-ed38-48f3-8326-e04ee772a9fa</vt:lpwstr>
  </property>
</Properties>
</file>