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20E6C" w14:textId="0CC87ADC" w:rsidR="00C03039" w:rsidRPr="00EA0FED" w:rsidRDefault="00C03039" w:rsidP="00C03039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0E53FE">
        <w:rPr>
          <w:rFonts w:ascii="Times New Roman" w:eastAsia="Times New Roman" w:hAnsi="Times New Roman" w:cs="Times New Roman"/>
          <w:b/>
          <w:sz w:val="24"/>
          <w:szCs w:val="24"/>
        </w:rPr>
        <w:t>revalence, bacterial etiology,</w:t>
      </w:r>
      <w:r w:rsidR="00532D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53FE">
        <w:rPr>
          <w:rFonts w:ascii="Times New Roman" w:eastAsia="Times New Roman" w:hAnsi="Times New Roman" w:cs="Times New Roman"/>
          <w:b/>
          <w:sz w:val="24"/>
          <w:szCs w:val="24"/>
        </w:rPr>
        <w:t xml:space="preserve">and antimicrobial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susceptibility </w:t>
      </w:r>
      <w:r w:rsidRPr="000E53FE">
        <w:rPr>
          <w:rFonts w:ascii="Times New Roman" w:eastAsia="Times New Roman" w:hAnsi="Times New Roman" w:cs="Times New Roman"/>
          <w:b/>
          <w:sz w:val="24"/>
          <w:szCs w:val="24"/>
        </w:rPr>
        <w:t xml:space="preserve">patterns of urinary tract infections among pregnant women in rural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</w:t>
      </w:r>
      <w:r w:rsidRPr="000E53FE">
        <w:rPr>
          <w:rFonts w:ascii="Times New Roman" w:eastAsia="Times New Roman" w:hAnsi="Times New Roman" w:cs="Times New Roman"/>
          <w:b/>
          <w:sz w:val="24"/>
          <w:szCs w:val="24"/>
        </w:rPr>
        <w:t xml:space="preserve">est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0E53FE">
        <w:rPr>
          <w:rFonts w:ascii="Times New Roman" w:eastAsia="Times New Roman" w:hAnsi="Times New Roman" w:cs="Times New Roman"/>
          <w:b/>
          <w:sz w:val="24"/>
          <w:szCs w:val="24"/>
        </w:rPr>
        <w:t xml:space="preserve">mhara,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0E53FE">
        <w:rPr>
          <w:rFonts w:ascii="Times New Roman" w:eastAsia="Times New Roman" w:hAnsi="Times New Roman" w:cs="Times New Roman"/>
          <w:b/>
          <w:sz w:val="24"/>
          <w:szCs w:val="24"/>
        </w:rPr>
        <w:t>thiopia</w:t>
      </w:r>
    </w:p>
    <w:p w14:paraId="5811871E" w14:textId="77777777" w:rsidR="00C03039" w:rsidRPr="00EA0FED" w:rsidRDefault="00C03039" w:rsidP="00140C6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558B7B" w14:textId="4BB21238" w:rsidR="00140C6A" w:rsidRPr="00EA0FED" w:rsidRDefault="00140C6A" w:rsidP="00140C6A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</w:rPr>
        <w:t>Mulatu Melese Derebe, MSc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="002E0C03" w:rsidRPr="002E0C03">
        <w:rPr>
          <w:rFonts w:ascii="Times New Roman" w:eastAsia="Times New Roman" w:hAnsi="Times New Roman" w:cs="Times New Roman"/>
          <w:bCs/>
          <w:color w:val="131413"/>
          <w:sz w:val="24"/>
          <w:szCs w:val="24"/>
          <w:vertAlign w:val="superscript"/>
        </w:rPr>
        <w:t>†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, Unmesha Roy </w:t>
      </w:r>
      <w:proofErr w:type="spellStart"/>
      <w:r w:rsidRPr="00EA0FED">
        <w:rPr>
          <w:rFonts w:ascii="Times New Roman" w:eastAsia="Times New Roman" w:hAnsi="Times New Roman" w:cs="Times New Roman"/>
          <w:sz w:val="24"/>
          <w:szCs w:val="24"/>
        </w:rPr>
        <w:t>Paladhi</w:t>
      </w:r>
      <w:proofErr w:type="spellEnd"/>
      <w:r w:rsidRPr="00EA0FED">
        <w:rPr>
          <w:rFonts w:ascii="Times New Roman" w:eastAsia="Times New Roman" w:hAnsi="Times New Roman" w:cs="Times New Roman"/>
          <w:sz w:val="24"/>
          <w:szCs w:val="24"/>
        </w:rPr>
        <w:t>, PhD, MPH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Firehiwot Workneh, PhD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0FED">
        <w:rPr>
          <w:rFonts w:ascii="Times New Roman" w:eastAsia="Times New Roman" w:hAnsi="Times New Roman" w:cs="Times New Roman"/>
          <w:sz w:val="24"/>
          <w:szCs w:val="24"/>
        </w:rPr>
        <w:t>Abaineh</w:t>
      </w:r>
      <w:proofErr w:type="spellEnd"/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A0FED">
        <w:rPr>
          <w:rFonts w:ascii="Times New Roman" w:eastAsia="Times New Roman" w:hAnsi="Times New Roman" w:cs="Times New Roman"/>
          <w:sz w:val="24"/>
          <w:szCs w:val="24"/>
        </w:rPr>
        <w:t>Munshea</w:t>
      </w:r>
      <w:proofErr w:type="spellEnd"/>
      <w:r w:rsidRPr="00EA0FED">
        <w:rPr>
          <w:rFonts w:ascii="Times New Roman" w:eastAsia="Times New Roman" w:hAnsi="Times New Roman" w:cs="Times New Roman"/>
          <w:sz w:val="24"/>
          <w:szCs w:val="24"/>
        </w:rPr>
        <w:t>, PhD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, Gizachew </w:t>
      </w:r>
      <w:proofErr w:type="spellStart"/>
      <w:r w:rsidRPr="00EA0FED">
        <w:rPr>
          <w:rFonts w:ascii="Times New Roman" w:eastAsia="Times New Roman" w:hAnsi="Times New Roman" w:cs="Times New Roman"/>
          <w:sz w:val="24"/>
          <w:szCs w:val="24"/>
        </w:rPr>
        <w:t>Yismaw</w:t>
      </w:r>
      <w:proofErr w:type="spellEnd"/>
      <w:r w:rsidRPr="00EA0FED">
        <w:rPr>
          <w:rFonts w:ascii="Times New Roman" w:eastAsia="Times New Roman" w:hAnsi="Times New Roman" w:cs="Times New Roman"/>
          <w:sz w:val="24"/>
          <w:szCs w:val="24"/>
        </w:rPr>
        <w:t>, PhD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, Kalkidan </w:t>
      </w:r>
      <w:proofErr w:type="spellStart"/>
      <w:r w:rsidRPr="00EA0FED">
        <w:rPr>
          <w:rFonts w:ascii="Times New Roman" w:eastAsia="Times New Roman" w:hAnsi="Times New Roman" w:cs="Times New Roman"/>
          <w:sz w:val="24"/>
          <w:szCs w:val="24"/>
        </w:rPr>
        <w:t>Yibeltal</w:t>
      </w:r>
      <w:proofErr w:type="spellEnd"/>
      <w:r w:rsidRPr="00EA0FED">
        <w:rPr>
          <w:rFonts w:ascii="Times New Roman" w:eastAsia="Times New Roman" w:hAnsi="Times New Roman" w:cs="Times New Roman"/>
          <w:sz w:val="24"/>
          <w:szCs w:val="24"/>
        </w:rPr>
        <w:t>, MD, MPH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Nebiyou Fasil, PhD, MPH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Alemayehu Worku, PhD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Tsehaynesh Gebreyesus, MSc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, Wudu </w:t>
      </w:r>
      <w:proofErr w:type="spellStart"/>
      <w:r w:rsidRPr="00EA0FED">
        <w:rPr>
          <w:rFonts w:ascii="Times New Roman" w:eastAsia="Times New Roman" w:hAnsi="Times New Roman" w:cs="Times New Roman"/>
          <w:sz w:val="24"/>
          <w:szCs w:val="24"/>
        </w:rPr>
        <w:t>Tafere</w:t>
      </w:r>
      <w:proofErr w:type="spellEnd"/>
      <w:r w:rsidRPr="00EA0FED">
        <w:rPr>
          <w:rFonts w:ascii="Times New Roman" w:eastAsia="Times New Roman" w:hAnsi="Times New Roman" w:cs="Times New Roman"/>
          <w:sz w:val="24"/>
          <w:szCs w:val="24"/>
        </w:rPr>
        <w:t>, MSc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Alem Tsega, MSc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Parul Christian, PhD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7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Rose L. Molina, MD, MPH,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 Blair J. Wylie, MD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, Yemane Berhane, MD, MPH, PhD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EA0FED">
        <w:rPr>
          <w:rFonts w:ascii="Times New Roman" w:eastAsia="Times New Roman" w:hAnsi="Times New Roman" w:cs="Times New Roman"/>
          <w:color w:val="222222"/>
          <w:sz w:val="24"/>
          <w:szCs w:val="24"/>
        </w:rPr>
        <w:t>*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A0FED">
        <w:rPr>
          <w:rFonts w:ascii="Times New Roman" w:eastAsia="Times New Roman" w:hAnsi="Times New Roman" w:cs="Times New Roman"/>
          <w:color w:val="222222"/>
          <w:sz w:val="24"/>
          <w:szCs w:val="24"/>
        </w:rPr>
        <w:t>Anne CC Lee, MD, MPH</w:t>
      </w: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EA0FED">
        <w:rPr>
          <w:rFonts w:ascii="Times New Roman" w:eastAsia="Times New Roman" w:hAnsi="Times New Roman" w:cs="Times New Roman"/>
          <w:color w:val="222222"/>
          <w:sz w:val="24"/>
          <w:szCs w:val="24"/>
        </w:rPr>
        <w:t>*</w:t>
      </w:r>
    </w:p>
    <w:p w14:paraId="16D4AA01" w14:textId="77777777" w:rsidR="00140C6A" w:rsidRPr="00EA0FED" w:rsidRDefault="00140C6A" w:rsidP="00140C6A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78AA44E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Health Biotechnology Division, Institute of Biotechnology, Bahir Dar University, Bahir Dar, Ethiopia</w:t>
      </w:r>
    </w:p>
    <w:p w14:paraId="1CCE2A2A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Amhara Public Health Institute, Bahir Dar, Ethiopia</w:t>
      </w:r>
    </w:p>
    <w:p w14:paraId="2C346167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Global Alliance for Infant and Maternal Health, Warren Alpert Medical School, Department of Pediatrics, Brown University, Providence, RI, USA</w:t>
      </w:r>
    </w:p>
    <w:p w14:paraId="70898594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Department of Epidemiology and Biostatistics, Addis Continental Institute of Public Health, Addis Ababa, Ethiopia</w:t>
      </w:r>
    </w:p>
    <w:p w14:paraId="66D684CF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Department of Reproductive Health and Population, Addis Continental Institute of Public Health, Addis Ababa, Ethiopia</w:t>
      </w:r>
    </w:p>
    <w:p w14:paraId="4EB1F7C1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Department of Global Health and Health Policy, Addis Continental Institute of Public Health, Addis Ababa, Ethiopia</w:t>
      </w:r>
    </w:p>
    <w:p w14:paraId="1C7A78F0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7</w:t>
      </w:r>
      <w:r w:rsidRPr="00EA0FED">
        <w:rPr>
          <w:rFonts w:ascii="Times New Roman" w:eastAsia="Times New Roman" w:hAnsi="Times New Roman" w:cs="Times New Roman"/>
          <w:sz w:val="24"/>
          <w:szCs w:val="24"/>
        </w:rPr>
        <w:t>Department of Human Development, Teachers College, Columbia University, New York, USA</w:t>
      </w:r>
    </w:p>
    <w:p w14:paraId="217E5027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Pr="00EA0FED">
        <w:rPr>
          <w:rFonts w:ascii="Times New Roman" w:eastAsia="Times New Roman" w:hAnsi="Times New Roman" w:cs="Times New Roman"/>
          <w:sz w:val="24"/>
          <w:szCs w:val="24"/>
          <w:highlight w:val="white"/>
        </w:rPr>
        <w:t>Beth Israel Deaconess Medical Center, Boston, MA</w:t>
      </w:r>
    </w:p>
    <w:p w14:paraId="7186DAAB" w14:textId="77777777" w:rsidR="00140C6A" w:rsidRPr="00EA0FED" w:rsidRDefault="00140C6A" w:rsidP="002E0C0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sz w:val="24"/>
          <w:szCs w:val="24"/>
        </w:rPr>
        <w:t>*Co-senior authors</w:t>
      </w:r>
    </w:p>
    <w:p w14:paraId="09B9F3B5" w14:textId="09D14B7D" w:rsidR="00140C6A" w:rsidRDefault="002E0C03" w:rsidP="002E0C03">
      <w:pPr>
        <w:spacing w:line="480" w:lineRule="auto"/>
        <w:rPr>
          <w:rFonts w:ascii="Times New Roman" w:eastAsia="Times New Roman" w:hAnsi="Times New Roman" w:cs="Times New Roman"/>
          <w:b/>
          <w:color w:val="131413"/>
          <w:sz w:val="24"/>
          <w:szCs w:val="24"/>
        </w:rPr>
      </w:pPr>
      <w:r w:rsidRPr="002E0C03">
        <w:rPr>
          <w:rFonts w:ascii="Times New Roman" w:eastAsia="Times New Roman" w:hAnsi="Times New Roman" w:cs="Times New Roman"/>
          <w:bCs/>
          <w:color w:val="131413"/>
          <w:sz w:val="24"/>
          <w:szCs w:val="24"/>
        </w:rPr>
        <w:t>†Corresponding author: Mulatu Melese Derebe, MSc</w:t>
      </w:r>
      <w:r w:rsidRPr="002E0C03">
        <w:rPr>
          <w:rFonts w:ascii="Times New Roman" w:eastAsia="Times New Roman" w:hAnsi="Times New Roman" w:cs="Times New Roman"/>
          <w:bCs/>
          <w:color w:val="131413"/>
          <w:sz w:val="24"/>
          <w:szCs w:val="24"/>
        </w:rPr>
        <w:br/>
        <w:t>Institute of Biotechnology, Bahir Dar University, Bahir Dar, Ethiopia</w:t>
      </w:r>
      <w:r w:rsidRPr="002E0C03">
        <w:rPr>
          <w:rFonts w:ascii="Times New Roman" w:eastAsia="Times New Roman" w:hAnsi="Times New Roman" w:cs="Times New Roman"/>
          <w:bCs/>
          <w:color w:val="131413"/>
          <w:sz w:val="24"/>
          <w:szCs w:val="24"/>
        </w:rPr>
        <w:br/>
      </w:r>
      <w:hyperlink r:id="rId6" w:tgtFrame="_blank" w:history="1">
        <w:r w:rsidRPr="002E0C0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mulatumaciph@gmail.com</w:t>
        </w:r>
      </w:hyperlink>
      <w:r w:rsidRPr="002E0C03">
        <w:rPr>
          <w:rFonts w:ascii="Times New Roman" w:eastAsia="Times New Roman" w:hAnsi="Times New Roman" w:cs="Times New Roman"/>
          <w:b/>
          <w:color w:val="131413"/>
          <w:sz w:val="24"/>
          <w:szCs w:val="24"/>
        </w:rPr>
        <w:t>  </w:t>
      </w:r>
    </w:p>
    <w:p w14:paraId="6C8C990C" w14:textId="77777777" w:rsidR="00140C6A" w:rsidRDefault="00140C6A" w:rsidP="00140C6A">
      <w:pPr>
        <w:spacing w:line="240" w:lineRule="auto"/>
        <w:rPr>
          <w:rFonts w:ascii="Times New Roman" w:eastAsia="Times New Roman" w:hAnsi="Times New Roman" w:cs="Times New Roman"/>
          <w:b/>
          <w:color w:val="131413"/>
          <w:sz w:val="24"/>
          <w:szCs w:val="24"/>
        </w:rPr>
      </w:pPr>
    </w:p>
    <w:p w14:paraId="4F9259C0" w14:textId="77777777" w:rsidR="00140C6A" w:rsidRDefault="00140C6A" w:rsidP="00140C6A">
      <w:pPr>
        <w:spacing w:line="240" w:lineRule="auto"/>
        <w:rPr>
          <w:rFonts w:ascii="Times New Roman" w:eastAsia="Times New Roman" w:hAnsi="Times New Roman" w:cs="Times New Roman"/>
          <w:b/>
          <w:color w:val="131413"/>
          <w:sz w:val="24"/>
          <w:szCs w:val="24"/>
        </w:rPr>
      </w:pPr>
    </w:p>
    <w:p w14:paraId="5A5A909E" w14:textId="6FAD6A31" w:rsidR="00140C6A" w:rsidRPr="00EA0FED" w:rsidRDefault="00140C6A" w:rsidP="00140C6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b/>
          <w:color w:val="131413"/>
          <w:sz w:val="24"/>
          <w:szCs w:val="24"/>
        </w:rPr>
        <w:lastRenderedPageBreak/>
        <w:t xml:space="preserve">Supplementary documents: </w:t>
      </w:r>
    </w:p>
    <w:p w14:paraId="4D5972FA" w14:textId="637A56B9" w:rsidR="00C03039" w:rsidRDefault="00140C6A" w:rsidP="00140C6A">
      <w:pPr>
        <w:spacing w:before="240" w:line="240" w:lineRule="auto"/>
        <w:rPr>
          <w:rFonts w:ascii="Times New Roman" w:eastAsia="Times New Roman" w:hAnsi="Times New Roman" w:cs="Times New Roman"/>
          <w:color w:val="131413"/>
        </w:rPr>
      </w:pPr>
      <w:r w:rsidRPr="00C03039">
        <w:rPr>
          <w:rFonts w:ascii="Times New Roman" w:eastAsia="Times New Roman" w:hAnsi="Times New Roman" w:cs="Times New Roman"/>
          <w:b/>
          <w:color w:val="131413"/>
        </w:rPr>
        <w:t xml:space="preserve">Supplementary Table S1: </w:t>
      </w:r>
      <w:r w:rsidRPr="00C03039">
        <w:rPr>
          <w:rFonts w:ascii="Times New Roman" w:eastAsia="Times New Roman" w:hAnsi="Times New Roman" w:cs="Times New Roman"/>
          <w:bCs/>
        </w:rPr>
        <w:t xml:space="preserve">The etiology of </w:t>
      </w:r>
      <w:proofErr w:type="spellStart"/>
      <w:r w:rsidRPr="00C03039">
        <w:rPr>
          <w:rFonts w:ascii="Times New Roman" w:eastAsia="Times New Roman" w:hAnsi="Times New Roman" w:cs="Times New Roman"/>
          <w:bCs/>
        </w:rPr>
        <w:t>uropathogens</w:t>
      </w:r>
      <w:proofErr w:type="spellEnd"/>
      <w:r w:rsidRPr="00C03039">
        <w:rPr>
          <w:rFonts w:ascii="Times New Roman" w:eastAsia="Times New Roman" w:hAnsi="Times New Roman" w:cs="Times New Roman"/>
          <w:bCs/>
        </w:rPr>
        <w:t xml:space="preserve"> isolated </w:t>
      </w:r>
      <w:r w:rsidR="00C03039">
        <w:rPr>
          <w:rFonts w:ascii="Times New Roman" w:eastAsia="Times New Roman" w:hAnsi="Times New Roman" w:cs="Times New Roman"/>
          <w:bCs/>
        </w:rPr>
        <w:t>from</w:t>
      </w:r>
      <w:r w:rsidRPr="00C03039">
        <w:rPr>
          <w:rFonts w:ascii="Times New Roman" w:eastAsia="Times New Roman" w:hAnsi="Times New Roman" w:cs="Times New Roman"/>
          <w:bCs/>
        </w:rPr>
        <w:t xml:space="preserve"> symptomatic and asymptomatic pregnant women diagnosed with UTIs</w:t>
      </w:r>
      <w:r w:rsidR="00C03039">
        <w:rPr>
          <w:rFonts w:ascii="Times New Roman" w:eastAsia="Times New Roman" w:hAnsi="Times New Roman" w:cs="Times New Roman"/>
          <w:bCs/>
        </w:rPr>
        <w:t xml:space="preserve"> </w:t>
      </w:r>
      <w:r w:rsidRPr="00C03039">
        <w:rPr>
          <w:rFonts w:ascii="Times New Roman" w:eastAsia="Times New Roman" w:hAnsi="Times New Roman" w:cs="Times New Roman"/>
          <w:bCs/>
        </w:rPr>
        <w:t xml:space="preserve">in rural </w:t>
      </w:r>
      <w:r w:rsidR="00C03039" w:rsidRPr="00C03039">
        <w:rPr>
          <w:rFonts w:ascii="Times New Roman" w:eastAsia="Times New Roman" w:hAnsi="Times New Roman" w:cs="Times New Roman"/>
          <w:bCs/>
        </w:rPr>
        <w:t xml:space="preserve">West </w:t>
      </w:r>
      <w:r w:rsidRPr="00C03039">
        <w:rPr>
          <w:rFonts w:ascii="Times New Roman" w:eastAsia="Times New Roman" w:hAnsi="Times New Roman" w:cs="Times New Roman"/>
          <w:bCs/>
        </w:rPr>
        <w:t>Amhara, Ethiopia,</w:t>
      </w:r>
      <w:r w:rsidR="00C03039" w:rsidRPr="00C03039">
        <w:rPr>
          <w:rFonts w:ascii="Times New Roman" w:eastAsia="Times New Roman" w:hAnsi="Times New Roman" w:cs="Times New Roman"/>
          <w:bCs/>
        </w:rPr>
        <w:t xml:space="preserve"> </w:t>
      </w:r>
      <w:r w:rsidR="00C03039" w:rsidRPr="00C03039">
        <w:rPr>
          <w:rFonts w:ascii="Times New Roman" w:eastAsia="Times New Roman" w:hAnsi="Times New Roman" w:cs="Times New Roman"/>
          <w:color w:val="131413"/>
        </w:rPr>
        <w:t>(2020–2022).</w:t>
      </w:r>
    </w:p>
    <w:p w14:paraId="2498C540" w14:textId="77777777" w:rsidR="00140C6A" w:rsidRPr="003053C5" w:rsidRDefault="00140C6A" w:rsidP="00140C6A">
      <w:pPr>
        <w:spacing w:line="240" w:lineRule="auto"/>
        <w:rPr>
          <w:rFonts w:ascii="Times New Roman" w:eastAsia="Times New Roman" w:hAnsi="Times New Roman" w:cs="Times New Roman"/>
          <w:bCs/>
          <w:color w:val="131413"/>
          <w:sz w:val="24"/>
          <w:szCs w:val="24"/>
        </w:rPr>
      </w:pPr>
    </w:p>
    <w:tbl>
      <w:tblPr>
        <w:tblpPr w:leftFromText="180" w:rightFromText="180" w:topFromText="180" w:bottomFromText="180" w:vertAnchor="text" w:tblpXSpec="center"/>
        <w:tblW w:w="8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1755"/>
        <w:gridCol w:w="1935"/>
        <w:gridCol w:w="1770"/>
      </w:tblGrid>
      <w:tr w:rsidR="00140C6A" w:rsidRPr="003053C5" w14:paraId="2F1921E1" w14:textId="77777777" w:rsidTr="00C03039">
        <w:trPr>
          <w:trHeight w:val="615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13D3F9ED" w14:textId="77777777" w:rsidR="00140C6A" w:rsidRPr="003053C5" w:rsidRDefault="00140C6A" w:rsidP="00CF00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Bacterial Isolates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4627AC20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Asymptomatic</w:t>
            </w:r>
          </w:p>
          <w:p w14:paraId="7B0315D9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N= 12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406A17F3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Symptomatic</w:t>
            </w:r>
          </w:p>
          <w:p w14:paraId="41259154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N=9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59452B5D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Total</w:t>
            </w:r>
          </w:p>
          <w:p w14:paraId="4D9D858C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N=21</w:t>
            </w:r>
          </w:p>
        </w:tc>
      </w:tr>
      <w:tr w:rsidR="00140C6A" w:rsidRPr="003053C5" w14:paraId="722ACF45" w14:textId="77777777" w:rsidTr="00C03039">
        <w:trPr>
          <w:trHeight w:val="315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</w:tcPr>
          <w:p w14:paraId="72357C4B" w14:textId="77777777" w:rsidR="00140C6A" w:rsidRPr="003053C5" w:rsidRDefault="00140C6A" w:rsidP="00CF00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Escherichia coli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</w:tcPr>
          <w:p w14:paraId="08EE34FF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(41.7%)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</w:tcPr>
          <w:p w14:paraId="3573D5E8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(58.3%)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37E1F2C2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 (57.1%)</w:t>
            </w:r>
          </w:p>
        </w:tc>
      </w:tr>
      <w:tr w:rsidR="00140C6A" w:rsidRPr="003053C5" w14:paraId="192FB2AE" w14:textId="77777777" w:rsidTr="00C03039">
        <w:trPr>
          <w:trHeight w:val="315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</w:tcPr>
          <w:p w14:paraId="6F5E7F40" w14:textId="77777777" w:rsidR="00140C6A" w:rsidRPr="003053C5" w:rsidRDefault="00140C6A" w:rsidP="00CF00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Enterococcus faecalis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</w:tcPr>
          <w:p w14:paraId="1744BDC1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(100.0%)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</w:tcPr>
          <w:p w14:paraId="43304032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 (0.0)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2D1BA903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(1.3%)</w:t>
            </w:r>
          </w:p>
        </w:tc>
      </w:tr>
      <w:tr w:rsidR="00140C6A" w:rsidRPr="003053C5" w14:paraId="66F11367" w14:textId="77777777" w:rsidTr="00C03039">
        <w:trPr>
          <w:trHeight w:val="315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</w:tcPr>
          <w:p w14:paraId="55E687D7" w14:textId="77777777" w:rsidR="00140C6A" w:rsidRPr="003053C5" w:rsidRDefault="00140C6A" w:rsidP="00CF00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Klebsiella pneumoniae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</w:tcPr>
          <w:p w14:paraId="07F619A7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(66.7%)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</w:tcPr>
          <w:p w14:paraId="0742C748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(33.3%)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27E3BDB2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(1.3%)</w:t>
            </w:r>
          </w:p>
        </w:tc>
      </w:tr>
      <w:tr w:rsidR="00140C6A" w:rsidRPr="003053C5" w14:paraId="4669A984" w14:textId="77777777" w:rsidTr="00C03039">
        <w:trPr>
          <w:trHeight w:val="315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</w:tcPr>
          <w:p w14:paraId="49824A08" w14:textId="77777777" w:rsidR="00140C6A" w:rsidRPr="003053C5" w:rsidRDefault="00140C6A" w:rsidP="00CF00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Staphylococcus aureus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</w:tcPr>
          <w:p w14:paraId="265EF92A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 (0.0)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</w:tcPr>
          <w:p w14:paraId="24897516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(100.0%)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485D82A4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(4.8%)</w:t>
            </w:r>
          </w:p>
        </w:tc>
      </w:tr>
      <w:tr w:rsidR="00140C6A" w:rsidRPr="003053C5" w14:paraId="0507D873" w14:textId="77777777" w:rsidTr="00C03039">
        <w:trPr>
          <w:trHeight w:val="315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</w:tcPr>
          <w:p w14:paraId="5E9901EC" w14:textId="77777777" w:rsidR="00140C6A" w:rsidRPr="003053C5" w:rsidRDefault="00140C6A" w:rsidP="00CF00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Staphylococcus saprophyticus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</w:tcPr>
          <w:p w14:paraId="2EEB93D3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(100.0%)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</w:tcPr>
          <w:p w14:paraId="1E92DE5F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 (100.0%)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</w:tcPr>
          <w:p w14:paraId="03699864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(4.8%)</w:t>
            </w:r>
          </w:p>
        </w:tc>
      </w:tr>
      <w:tr w:rsidR="00140C6A" w:rsidRPr="003053C5" w14:paraId="360942E5" w14:textId="77777777" w:rsidTr="00C03039">
        <w:trPr>
          <w:trHeight w:val="405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</w:tcPr>
          <w:p w14:paraId="19075606" w14:textId="77777777" w:rsidR="00140C6A" w:rsidRPr="003053C5" w:rsidRDefault="00140C6A" w:rsidP="00CF00B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Other streptococcus species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</w:tcPr>
          <w:p w14:paraId="497BD808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(100.0%)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</w:tcPr>
          <w:p w14:paraId="2F1B790F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 (0.0)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</w:tcPr>
          <w:p w14:paraId="4BFFF93C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(4.8%)</w:t>
            </w:r>
          </w:p>
        </w:tc>
      </w:tr>
      <w:tr w:rsidR="00140C6A" w:rsidRPr="003053C5" w14:paraId="6E2161CF" w14:textId="77777777" w:rsidTr="00C03039">
        <w:trPr>
          <w:trHeight w:val="300"/>
        </w:trPr>
        <w:tc>
          <w:tcPr>
            <w:tcW w:w="3150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1C582BB4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755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7D914A11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 (57.1%)</w:t>
            </w:r>
          </w:p>
        </w:tc>
        <w:tc>
          <w:tcPr>
            <w:tcW w:w="1935" w:type="dxa"/>
            <w:shd w:val="clear" w:color="auto" w:fill="auto"/>
            <w:tcMar>
              <w:left w:w="100" w:type="dxa"/>
              <w:right w:w="100" w:type="dxa"/>
            </w:tcMar>
            <w:vAlign w:val="bottom"/>
          </w:tcPr>
          <w:p w14:paraId="49D3586D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(42.9%)</w:t>
            </w:r>
          </w:p>
        </w:tc>
        <w:tc>
          <w:tcPr>
            <w:tcW w:w="1770" w:type="dxa"/>
            <w:shd w:val="clear" w:color="auto" w:fill="auto"/>
            <w:tcMar>
              <w:left w:w="100" w:type="dxa"/>
              <w:right w:w="100" w:type="dxa"/>
            </w:tcMar>
          </w:tcPr>
          <w:p w14:paraId="4BF416F4" w14:textId="77777777" w:rsidR="00140C6A" w:rsidRPr="003053C5" w:rsidRDefault="00140C6A" w:rsidP="00CF00B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53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 (100.0%)</w:t>
            </w:r>
          </w:p>
        </w:tc>
      </w:tr>
    </w:tbl>
    <w:p w14:paraId="475339DD" w14:textId="77777777" w:rsidR="00C03039" w:rsidRDefault="00140C6A" w:rsidP="00C03039">
      <w:pPr>
        <w:spacing w:after="24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b/>
          <w:color w:val="131413"/>
          <w:sz w:val="24"/>
          <w:szCs w:val="24"/>
        </w:rPr>
        <w:t>Supplementary Figure S1</w:t>
      </w:r>
      <w:r w:rsidRPr="003053C5">
        <w:rPr>
          <w:rFonts w:ascii="Times New Roman" w:eastAsia="Times New Roman" w:hAnsi="Times New Roman" w:cs="Times New Roman"/>
          <w:bCs/>
          <w:sz w:val="24"/>
          <w:szCs w:val="24"/>
        </w:rPr>
        <w:t xml:space="preserve">. Antimicrobial susceptibility </w:t>
      </w:r>
      <w:r w:rsidR="00C03039">
        <w:rPr>
          <w:rFonts w:ascii="Times New Roman" w:eastAsia="Times New Roman" w:hAnsi="Times New Roman" w:cs="Times New Roman"/>
          <w:bCs/>
          <w:sz w:val="24"/>
          <w:szCs w:val="24"/>
        </w:rPr>
        <w:t>patterns</w:t>
      </w:r>
      <w:r w:rsidRPr="003053C5">
        <w:rPr>
          <w:rFonts w:ascii="Times New Roman" w:eastAsia="Times New Roman" w:hAnsi="Times New Roman" w:cs="Times New Roman"/>
          <w:bCs/>
          <w:sz w:val="24"/>
          <w:szCs w:val="24"/>
        </w:rPr>
        <w:t xml:space="preserve"> of UTI </w:t>
      </w:r>
      <w:proofErr w:type="spellStart"/>
      <w:r w:rsidRPr="003053C5">
        <w:rPr>
          <w:rFonts w:ascii="Times New Roman" w:eastAsia="Times New Roman" w:hAnsi="Times New Roman" w:cs="Times New Roman"/>
          <w:bCs/>
          <w:sz w:val="24"/>
          <w:szCs w:val="24"/>
        </w:rPr>
        <w:t>uropathogens</w:t>
      </w:r>
      <w:proofErr w:type="spellEnd"/>
      <w:r w:rsidRPr="003053C5">
        <w:rPr>
          <w:rFonts w:ascii="Times New Roman" w:eastAsia="Times New Roman" w:hAnsi="Times New Roman" w:cs="Times New Roman"/>
          <w:bCs/>
          <w:sz w:val="24"/>
          <w:szCs w:val="24"/>
        </w:rPr>
        <w:t xml:space="preserve"> (n=21) from urine culture among pregnant women </w:t>
      </w:r>
      <w:r w:rsidR="00C03039">
        <w:rPr>
          <w:rFonts w:ascii="Times New Roman" w:eastAsia="Times New Roman" w:hAnsi="Times New Roman" w:cs="Times New Roman"/>
          <w:bCs/>
          <w:sz w:val="24"/>
          <w:szCs w:val="24"/>
        </w:rPr>
        <w:t>receiving ANC visits</w:t>
      </w:r>
      <w:r w:rsidR="00C03039" w:rsidRPr="00531250">
        <w:rPr>
          <w:rFonts w:ascii="Times New Roman" w:eastAsia="Times New Roman" w:hAnsi="Times New Roman" w:cs="Times New Roman"/>
          <w:bCs/>
          <w:sz w:val="24"/>
          <w:szCs w:val="24"/>
        </w:rPr>
        <w:t xml:space="preserve"> in </w:t>
      </w:r>
      <w:r w:rsidR="00C03039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C03039" w:rsidRPr="00531250">
        <w:rPr>
          <w:rFonts w:ascii="Times New Roman" w:eastAsia="Times New Roman" w:hAnsi="Times New Roman" w:cs="Times New Roman"/>
          <w:bCs/>
          <w:sz w:val="24"/>
          <w:szCs w:val="24"/>
        </w:rPr>
        <w:t xml:space="preserve">rural </w:t>
      </w:r>
      <w:r w:rsidR="00C03039">
        <w:rPr>
          <w:rFonts w:ascii="Times New Roman" w:eastAsia="Times New Roman" w:hAnsi="Times New Roman" w:cs="Times New Roman"/>
          <w:bCs/>
          <w:sz w:val="24"/>
          <w:szCs w:val="24"/>
        </w:rPr>
        <w:t>West A</w:t>
      </w:r>
      <w:r w:rsidR="00C03039" w:rsidRPr="00531250">
        <w:rPr>
          <w:rFonts w:ascii="Times New Roman" w:eastAsia="Times New Roman" w:hAnsi="Times New Roman" w:cs="Times New Roman"/>
          <w:bCs/>
          <w:sz w:val="24"/>
          <w:szCs w:val="24"/>
        </w:rPr>
        <w:t xml:space="preserve">mhara, Ethiopia </w:t>
      </w:r>
      <w:r w:rsidR="00C03039" w:rsidRPr="003E18D6">
        <w:rPr>
          <w:rFonts w:ascii="Times New Roman" w:eastAsia="Times New Roman" w:hAnsi="Times New Roman" w:cs="Times New Roman"/>
          <w:color w:val="131413"/>
          <w:sz w:val="24"/>
          <w:szCs w:val="24"/>
        </w:rPr>
        <w:t>(2020–2022)</w:t>
      </w:r>
      <w:r w:rsidR="00C03039" w:rsidRPr="0053125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03039" w:rsidRPr="009277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C7C9440" w14:textId="77777777" w:rsidR="00140C6A" w:rsidRPr="00EA0FED" w:rsidRDefault="00140C6A" w:rsidP="00140C6A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0FED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6FDFA22A" wp14:editId="02456E43">
            <wp:extent cx="5943600" cy="3441700"/>
            <wp:effectExtent l="0" t="0" r="0" b="0"/>
            <wp:docPr id="2" name="image1.png" descr="A graph of numbers and a number of number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graph of numbers and a number of numbers&#10;&#10;Description automatically generated with medium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F685DB" w14:textId="74A3F664" w:rsidR="000904E2" w:rsidRDefault="00140C6A" w:rsidP="00140C6A">
      <w:pPr>
        <w:spacing w:line="240" w:lineRule="auto"/>
        <w:jc w:val="both"/>
      </w:pPr>
      <w:r w:rsidRPr="003053C5">
        <w:rPr>
          <w:rFonts w:ascii="Times New Roman" w:eastAsia="Times New Roman" w:hAnsi="Times New Roman" w:cs="Times New Roman"/>
          <w:sz w:val="24"/>
          <w:szCs w:val="24"/>
        </w:rPr>
        <w:t xml:space="preserve">Abbreviations: AMC- </w:t>
      </w:r>
      <w:proofErr w:type="spellStart"/>
      <w:r w:rsidRPr="003053C5">
        <w:rPr>
          <w:rFonts w:ascii="Times New Roman" w:eastAsia="Times New Roman" w:hAnsi="Times New Roman" w:cs="Times New Roman"/>
          <w:sz w:val="24"/>
          <w:szCs w:val="24"/>
        </w:rPr>
        <w:t>amoxacillin-clavilanic</w:t>
      </w:r>
      <w:proofErr w:type="spellEnd"/>
      <w:r w:rsidRPr="003053C5">
        <w:rPr>
          <w:rFonts w:ascii="Times New Roman" w:eastAsia="Times New Roman" w:hAnsi="Times New Roman" w:cs="Times New Roman"/>
          <w:sz w:val="24"/>
          <w:szCs w:val="24"/>
        </w:rPr>
        <w:t xml:space="preserve"> acid; AMP- ampicillin; CFZ- cefazolin; COT- cotrimoxazole; CPD- cefpodoxime; NFT- nitrofurantoin.</w:t>
      </w:r>
    </w:p>
    <w:sectPr w:rsidR="000904E2" w:rsidSect="00140C6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7E6C0" w14:textId="77777777" w:rsidR="006D4CCD" w:rsidRDefault="006D4CCD">
      <w:pPr>
        <w:spacing w:line="240" w:lineRule="auto"/>
      </w:pPr>
      <w:r>
        <w:separator/>
      </w:r>
    </w:p>
  </w:endnote>
  <w:endnote w:type="continuationSeparator" w:id="0">
    <w:p w14:paraId="3D0D4F26" w14:textId="77777777" w:rsidR="006D4CCD" w:rsidRDefault="006D4C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308213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EFF824" w14:textId="3FB4D2F8" w:rsidR="00C40439" w:rsidRDefault="00C404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8501A4" w14:textId="77777777" w:rsidR="00E070A2" w:rsidRDefault="00E070A2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1B892" w14:textId="77777777" w:rsidR="006D4CCD" w:rsidRDefault="006D4CCD">
      <w:pPr>
        <w:spacing w:line="240" w:lineRule="auto"/>
      </w:pPr>
      <w:r>
        <w:separator/>
      </w:r>
    </w:p>
  </w:footnote>
  <w:footnote w:type="continuationSeparator" w:id="0">
    <w:p w14:paraId="5BFC0D9B" w14:textId="77777777" w:rsidR="006D4CCD" w:rsidRDefault="006D4C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B3608" w14:textId="77777777" w:rsidR="00E070A2" w:rsidRDefault="00E070A2">
    <w:pPr>
      <w:spacing w:after="200" w:line="240" w:lineRule="aut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6A"/>
    <w:rsid w:val="000904E2"/>
    <w:rsid w:val="00140C6A"/>
    <w:rsid w:val="002D6523"/>
    <w:rsid w:val="002E0C03"/>
    <w:rsid w:val="00301692"/>
    <w:rsid w:val="00434A6B"/>
    <w:rsid w:val="00532D5A"/>
    <w:rsid w:val="00544B0A"/>
    <w:rsid w:val="006D4CCD"/>
    <w:rsid w:val="00737A76"/>
    <w:rsid w:val="007473ED"/>
    <w:rsid w:val="0075470F"/>
    <w:rsid w:val="008E17E9"/>
    <w:rsid w:val="00B81CCB"/>
    <w:rsid w:val="00C03039"/>
    <w:rsid w:val="00C40439"/>
    <w:rsid w:val="00CB609B"/>
    <w:rsid w:val="00E0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0BEFDC"/>
  <w15:chartTrackingRefBased/>
  <w15:docId w15:val="{24A13C39-D67D-4489-90A3-EA40672B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C6A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0C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C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C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C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C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C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C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C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C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C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C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C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C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C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C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C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C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0C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C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0C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C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C6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40C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C6A"/>
    <w:rPr>
      <w:rFonts w:ascii="Arial" w:eastAsia="Arial" w:hAnsi="Arial" w:cs="Arial"/>
      <w:kern w:val="0"/>
      <w:lang w:val="e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40C6A"/>
  </w:style>
  <w:style w:type="paragraph" w:styleId="Header">
    <w:name w:val="header"/>
    <w:basedOn w:val="Normal"/>
    <w:link w:val="HeaderChar"/>
    <w:uiPriority w:val="99"/>
    <w:unhideWhenUsed/>
    <w:rsid w:val="00C4043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439"/>
    <w:rPr>
      <w:rFonts w:ascii="Arial" w:eastAsia="Arial" w:hAnsi="Arial" w:cs="Arial"/>
      <w:kern w:val="0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2E0C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0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ulatumaciph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2192</Characters>
  <Application>Microsoft Office Word</Application>
  <DocSecurity>0</DocSecurity>
  <Lines>95</Lines>
  <Paragraphs>61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Mulatu Melese Derebe</dc:creator>
  <cp:keywords/>
  <dc:description/>
  <cp:lastModifiedBy>Mulatu Melese Derebe</cp:lastModifiedBy>
  <cp:revision>2</cp:revision>
  <dcterms:created xsi:type="dcterms:W3CDTF">2025-04-08T22:31:00Z</dcterms:created>
  <dcterms:modified xsi:type="dcterms:W3CDTF">2025-04-08T22:31:00Z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48de7de1-977b-4806-b3d5-5fe87802a228</vt:lpwstr>
  </property>
</Properties>
</file>