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1DD02" w14:textId="77777777" w:rsidR="002D423F" w:rsidRPr="004D5C50" w:rsidRDefault="002D423F" w:rsidP="00A70A93">
      <w:pPr>
        <w:spacing w:line="360" w:lineRule="auto"/>
        <w:rPr>
          <w:rFonts w:asciiTheme="majorBidi" w:hAnsiTheme="majorBidi" w:cstheme="majorBidi"/>
          <w:sz w:val="28"/>
          <w:szCs w:val="28"/>
          <w:lang w:val="en-GB"/>
        </w:rPr>
      </w:pPr>
      <w:r w:rsidRPr="004D5C50">
        <w:rPr>
          <w:rFonts w:asciiTheme="majorBidi" w:hAnsiTheme="majorBidi" w:cstheme="majorBidi"/>
          <w:sz w:val="28"/>
          <w:szCs w:val="28"/>
          <w:lang w:val="en-GB"/>
        </w:rPr>
        <w:t>SUPPLEMENTARY DATA TO:</w:t>
      </w:r>
    </w:p>
    <w:p w14:paraId="7CA04C26" w14:textId="313EB7C8" w:rsidR="002D423F" w:rsidRPr="004D5C50" w:rsidRDefault="007A2ABC" w:rsidP="003F535E">
      <w:pPr>
        <w:spacing w:line="360" w:lineRule="auto"/>
        <w:jc w:val="center"/>
        <w:rPr>
          <w:rFonts w:asciiTheme="majorBidi" w:hAnsiTheme="majorBidi" w:cstheme="majorBidi"/>
          <w:b/>
          <w:bCs/>
          <w:snapToGrid w:val="0"/>
          <w:sz w:val="28"/>
          <w:szCs w:val="28"/>
          <w:lang w:val="en-GB"/>
        </w:rPr>
      </w:pPr>
      <w:r w:rsidRPr="004D5C50">
        <w:rPr>
          <w:rFonts w:asciiTheme="majorBidi" w:hAnsiTheme="majorBidi" w:cstheme="majorBidi"/>
          <w:b/>
          <w:bCs/>
          <w:snapToGrid w:val="0"/>
          <w:sz w:val="28"/>
          <w:szCs w:val="28"/>
          <w:lang w:val="en-GB"/>
        </w:rPr>
        <w:t xml:space="preserve">Enhanced trace detection of </w:t>
      </w:r>
      <w:proofErr w:type="spellStart"/>
      <w:r w:rsidRPr="004D5C50">
        <w:rPr>
          <w:rFonts w:asciiTheme="majorBidi" w:hAnsiTheme="majorBidi" w:cstheme="majorBidi"/>
          <w:b/>
          <w:bCs/>
          <w:snapToGrid w:val="0"/>
          <w:sz w:val="28"/>
          <w:szCs w:val="28"/>
          <w:lang w:val="en-GB"/>
        </w:rPr>
        <w:t>haloacetic</w:t>
      </w:r>
      <w:proofErr w:type="spellEnd"/>
      <w:r w:rsidRPr="004D5C50">
        <w:rPr>
          <w:rFonts w:asciiTheme="majorBidi" w:hAnsiTheme="majorBidi" w:cstheme="majorBidi"/>
          <w:b/>
          <w:bCs/>
          <w:snapToGrid w:val="0"/>
          <w:sz w:val="28"/>
          <w:szCs w:val="28"/>
          <w:lang w:val="en-GB"/>
        </w:rPr>
        <w:t xml:space="preserve"> acids in water using on-line </w:t>
      </w:r>
      <w:proofErr w:type="spellStart"/>
      <w:r w:rsidRPr="004D5C50">
        <w:rPr>
          <w:rFonts w:asciiTheme="majorBidi" w:hAnsiTheme="majorBidi" w:cstheme="majorBidi"/>
          <w:b/>
          <w:bCs/>
          <w:snapToGrid w:val="0"/>
          <w:sz w:val="28"/>
          <w:szCs w:val="28"/>
          <w:lang w:val="en-GB"/>
        </w:rPr>
        <w:t>isotachophoresis</w:t>
      </w:r>
      <w:proofErr w:type="spellEnd"/>
      <w:r w:rsidRPr="004D5C50">
        <w:rPr>
          <w:rFonts w:asciiTheme="majorBidi" w:hAnsiTheme="majorBidi" w:cstheme="majorBidi"/>
          <w:b/>
          <w:bCs/>
          <w:snapToGrid w:val="0"/>
          <w:sz w:val="28"/>
          <w:szCs w:val="28"/>
          <w:lang w:val="en-GB"/>
        </w:rPr>
        <w:t>–capillary zone electrophoresis coupled with liquid–liquid extraction</w:t>
      </w:r>
    </w:p>
    <w:p w14:paraId="1B10AD83" w14:textId="77777777" w:rsidR="002D423F" w:rsidRPr="004D5C50" w:rsidRDefault="002D423F" w:rsidP="008F10A3">
      <w:pPr>
        <w:spacing w:line="360" w:lineRule="auto"/>
        <w:jc w:val="center"/>
        <w:rPr>
          <w:rFonts w:asciiTheme="majorBidi" w:hAnsiTheme="majorBidi" w:cstheme="majorBidi"/>
          <w:snapToGrid w:val="0"/>
          <w:sz w:val="24"/>
          <w:szCs w:val="24"/>
          <w:lang w:val="sk-SK"/>
        </w:rPr>
      </w:pPr>
      <w:r w:rsidRPr="004D5C50">
        <w:rPr>
          <w:rFonts w:asciiTheme="majorBidi" w:hAnsiTheme="majorBidi" w:cstheme="majorBidi"/>
          <w:snapToGrid w:val="0"/>
          <w:sz w:val="24"/>
          <w:szCs w:val="24"/>
          <w:lang w:val="sk-SK"/>
        </w:rPr>
        <w:t>Massoud Kaykhaii and Marián Masár</w:t>
      </w:r>
      <w:r w:rsidRPr="004D5C50">
        <w:rPr>
          <w:rStyle w:val="Odkaznapoznmkupodiarou"/>
          <w:rFonts w:asciiTheme="majorBidi" w:hAnsiTheme="majorBidi" w:cstheme="majorBidi"/>
          <w:snapToGrid w:val="0"/>
          <w:sz w:val="24"/>
          <w:szCs w:val="24"/>
          <w:lang w:val="sk-SK"/>
        </w:rPr>
        <w:footnoteReference w:id="1"/>
      </w:r>
    </w:p>
    <w:p w14:paraId="65B8AE49" w14:textId="725D9949" w:rsidR="002D423F" w:rsidRDefault="002D423F" w:rsidP="002D423F">
      <w:pPr>
        <w:spacing w:line="360" w:lineRule="auto"/>
        <w:jc w:val="both"/>
        <w:rPr>
          <w:rFonts w:asciiTheme="majorBidi" w:hAnsiTheme="majorBidi" w:cstheme="majorBidi"/>
          <w:i/>
          <w:iCs/>
          <w:snapToGrid w:val="0"/>
          <w:sz w:val="24"/>
          <w:szCs w:val="24"/>
          <w:lang w:val="en-GB"/>
        </w:rPr>
      </w:pPr>
      <w:r w:rsidRPr="004D5C50">
        <w:rPr>
          <w:rFonts w:asciiTheme="majorBidi" w:hAnsiTheme="majorBidi" w:cstheme="majorBidi"/>
          <w:i/>
          <w:iCs/>
          <w:snapToGrid w:val="0"/>
          <w:sz w:val="24"/>
          <w:szCs w:val="24"/>
          <w:lang w:val="en-GB"/>
        </w:rPr>
        <w:t xml:space="preserve">Department of Analytical Chemistry, Faculty of Natural Sciences, Comenius University Bratislava, </w:t>
      </w:r>
      <w:proofErr w:type="spellStart"/>
      <w:r w:rsidRPr="004D5C50">
        <w:rPr>
          <w:rFonts w:asciiTheme="majorBidi" w:hAnsiTheme="majorBidi" w:cstheme="majorBidi"/>
          <w:i/>
          <w:iCs/>
          <w:snapToGrid w:val="0"/>
          <w:sz w:val="24"/>
          <w:szCs w:val="24"/>
          <w:lang w:val="en-GB"/>
        </w:rPr>
        <w:t>Mlynská</w:t>
      </w:r>
      <w:proofErr w:type="spellEnd"/>
      <w:r w:rsidRPr="004D5C50">
        <w:rPr>
          <w:rFonts w:asciiTheme="majorBidi" w:hAnsiTheme="majorBidi" w:cstheme="majorBidi"/>
          <w:i/>
          <w:iCs/>
          <w:snapToGrid w:val="0"/>
          <w:sz w:val="24"/>
          <w:szCs w:val="24"/>
          <w:lang w:val="en-GB"/>
        </w:rPr>
        <w:t xml:space="preserve"> Dolina CH-2, </w:t>
      </w:r>
      <w:proofErr w:type="spellStart"/>
      <w:r w:rsidRPr="004D5C50">
        <w:rPr>
          <w:rFonts w:asciiTheme="majorBidi" w:hAnsiTheme="majorBidi" w:cstheme="majorBidi"/>
          <w:i/>
          <w:iCs/>
          <w:snapToGrid w:val="0"/>
          <w:sz w:val="24"/>
          <w:szCs w:val="24"/>
          <w:lang w:val="en-GB"/>
        </w:rPr>
        <w:t>Ilkovi</w:t>
      </w:r>
      <w:proofErr w:type="spellEnd"/>
      <w:r w:rsidRPr="004D5C50">
        <w:rPr>
          <w:rFonts w:asciiTheme="majorBidi" w:hAnsiTheme="majorBidi" w:cstheme="majorBidi"/>
          <w:i/>
          <w:iCs/>
          <w:snapToGrid w:val="0"/>
          <w:sz w:val="24"/>
          <w:szCs w:val="24"/>
          <w:lang w:val="sk-SK"/>
        </w:rPr>
        <w:t xml:space="preserve">čova 6, </w:t>
      </w:r>
      <w:r w:rsidRPr="004D5C50">
        <w:rPr>
          <w:rFonts w:asciiTheme="majorBidi" w:hAnsiTheme="majorBidi" w:cstheme="majorBidi"/>
          <w:i/>
          <w:iCs/>
          <w:snapToGrid w:val="0"/>
          <w:sz w:val="24"/>
          <w:szCs w:val="24"/>
          <w:lang w:val="en-GB"/>
        </w:rPr>
        <w:t>SK-842 15 Bratislava, Slovakia</w:t>
      </w:r>
    </w:p>
    <w:p w14:paraId="0BCE8D38" w14:textId="77777777" w:rsidR="004D5C50" w:rsidRPr="004D5C50" w:rsidRDefault="004D5C50" w:rsidP="002D423F">
      <w:pPr>
        <w:spacing w:line="360" w:lineRule="auto"/>
        <w:jc w:val="both"/>
        <w:rPr>
          <w:rFonts w:asciiTheme="majorBidi" w:hAnsiTheme="majorBidi" w:cstheme="majorBidi"/>
          <w:i/>
          <w:iCs/>
          <w:snapToGrid w:val="0"/>
          <w:sz w:val="24"/>
          <w:szCs w:val="24"/>
          <w:lang w:val="en-GB"/>
        </w:rPr>
      </w:pPr>
    </w:p>
    <w:p w14:paraId="525783BE" w14:textId="279675A6" w:rsidR="002D423F" w:rsidRPr="003F535E" w:rsidRDefault="002D423F" w:rsidP="007875E9">
      <w:pPr>
        <w:spacing w:line="360" w:lineRule="auto"/>
        <w:jc w:val="center"/>
        <w:rPr>
          <w:rFonts w:asciiTheme="majorBidi" w:hAnsiTheme="majorBidi" w:cstheme="majorBidi"/>
          <w:sz w:val="24"/>
          <w:szCs w:val="24"/>
        </w:rPr>
      </w:pPr>
      <w:r w:rsidRPr="003F535E">
        <w:rPr>
          <w:rFonts w:asciiTheme="majorBidi" w:hAnsiTheme="majorBidi" w:cstheme="majorBidi"/>
          <w:noProof/>
          <w:sz w:val="24"/>
          <w:szCs w:val="24"/>
        </w:rPr>
        <w:drawing>
          <wp:inline distT="0" distB="0" distL="0" distR="0" wp14:anchorId="3D3720BC" wp14:editId="7FEB2920">
            <wp:extent cx="4563325" cy="3051208"/>
            <wp:effectExtent l="0" t="0" r="8890" b="0"/>
            <wp:docPr id="881235802" name="Picture 18" descr="Obrázok, na ktorom je text, diagram, snímka obrazovky, rad&#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25609" name="Picture 18" descr="Obrázok, na ktorom je text, diagram, snímka obrazovky, rad&#10;&#10;Obsah vygenerovaný pomocou AI môže byť nesprávn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1863" cy="3056917"/>
                    </a:xfrm>
                    <a:prstGeom prst="rect">
                      <a:avLst/>
                    </a:prstGeom>
                    <a:noFill/>
                    <a:ln>
                      <a:noFill/>
                    </a:ln>
                  </pic:spPr>
                </pic:pic>
              </a:graphicData>
            </a:graphic>
          </wp:inline>
        </w:drawing>
      </w:r>
    </w:p>
    <w:p w14:paraId="0265E05A" w14:textId="66F9B5B6" w:rsidR="002D423F" w:rsidRPr="003F535E" w:rsidRDefault="002D423F" w:rsidP="00C82A82">
      <w:pPr>
        <w:spacing w:line="360" w:lineRule="auto"/>
        <w:ind w:left="1080" w:hanging="1080"/>
        <w:jc w:val="both"/>
        <w:rPr>
          <w:rFonts w:asciiTheme="majorBidi" w:hAnsiTheme="majorBidi" w:cstheme="majorBidi"/>
          <w:sz w:val="24"/>
          <w:szCs w:val="24"/>
        </w:rPr>
      </w:pPr>
      <w:r w:rsidRPr="003F535E">
        <w:rPr>
          <w:rFonts w:asciiTheme="majorBidi" w:hAnsiTheme="majorBidi" w:cstheme="majorBidi"/>
          <w:b/>
          <w:spacing w:val="-4"/>
          <w:sz w:val="24"/>
          <w:szCs w:val="24"/>
        </w:rPr>
        <w:t>Fig</w:t>
      </w:r>
      <w:r w:rsidR="00395425" w:rsidRPr="003F535E">
        <w:rPr>
          <w:rFonts w:asciiTheme="majorBidi" w:hAnsiTheme="majorBidi" w:cstheme="majorBidi"/>
          <w:b/>
          <w:spacing w:val="-4"/>
          <w:sz w:val="24"/>
          <w:szCs w:val="24"/>
        </w:rPr>
        <w:t>ure</w:t>
      </w:r>
      <w:r w:rsidRPr="003F535E">
        <w:rPr>
          <w:rFonts w:asciiTheme="majorBidi" w:hAnsiTheme="majorBidi" w:cstheme="majorBidi"/>
          <w:b/>
          <w:spacing w:val="-4"/>
          <w:sz w:val="24"/>
          <w:szCs w:val="24"/>
        </w:rPr>
        <w:t xml:space="preserve"> S1. </w:t>
      </w:r>
      <w:r w:rsidRPr="003F535E">
        <w:rPr>
          <w:rFonts w:asciiTheme="majorBidi" w:hAnsiTheme="majorBidi" w:cstheme="majorBidi"/>
          <w:bCs/>
          <w:spacing w:val="-4"/>
          <w:sz w:val="24"/>
          <w:szCs w:val="24"/>
        </w:rPr>
        <w:t xml:space="preserve">Schematic of ITP-CZE working steps. </w:t>
      </w:r>
      <w:r w:rsidRPr="003F535E">
        <w:rPr>
          <w:rFonts w:asciiTheme="majorBidi" w:hAnsiTheme="majorBidi" w:cstheme="majorBidi"/>
          <w:sz w:val="24"/>
          <w:szCs w:val="24"/>
        </w:rPr>
        <w:t xml:space="preserve">(a) basic arrangement of solutions in columns; (b) end of ITP separation with removal of </w:t>
      </w:r>
      <w:r w:rsidRPr="003F535E">
        <w:rPr>
          <w:rFonts w:asciiTheme="majorBidi" w:hAnsiTheme="majorBidi" w:cstheme="majorBidi"/>
          <w:spacing w:val="-2"/>
          <w:sz w:val="24"/>
          <w:szCs w:val="24"/>
        </w:rPr>
        <w:t xml:space="preserve">matrix components migrating ahead of the analytes; (c) electrophoretic transfer of concentrated </w:t>
      </w:r>
      <w:r w:rsidRPr="003F535E">
        <w:rPr>
          <w:rFonts w:asciiTheme="majorBidi" w:hAnsiTheme="majorBidi" w:cstheme="majorBidi"/>
          <w:sz w:val="24"/>
          <w:szCs w:val="24"/>
        </w:rPr>
        <w:t>sample components to the CZE stage (by switching the driving current direction); (d) separation and detection of transferred sample components in the CZE stage. BB – column coupling block; C-ITP, C-CZE – ITP and CZE separation columns; CD – conductivity detector in ITP column; UVD – photometric detector in CZE column; BE, LE, TE – background, leading and terminating electrolyte solutions; S – sample, A</w:t>
      </w:r>
      <w:r w:rsidRPr="003F535E">
        <w:rPr>
          <w:rFonts w:asciiTheme="majorBidi" w:hAnsiTheme="majorBidi" w:cstheme="majorBidi"/>
          <w:sz w:val="24"/>
          <w:szCs w:val="24"/>
          <w:vertAlign w:val="subscript"/>
        </w:rPr>
        <w:t>1</w:t>
      </w:r>
      <w:r w:rsidRPr="003F535E">
        <w:rPr>
          <w:rFonts w:asciiTheme="majorBidi" w:hAnsiTheme="majorBidi" w:cstheme="majorBidi"/>
          <w:sz w:val="24"/>
          <w:szCs w:val="24"/>
        </w:rPr>
        <w:t>-A</w:t>
      </w:r>
      <w:r w:rsidRPr="003F535E">
        <w:rPr>
          <w:rFonts w:asciiTheme="majorBidi" w:hAnsiTheme="majorBidi" w:cstheme="majorBidi"/>
          <w:sz w:val="24"/>
          <w:szCs w:val="24"/>
          <w:vertAlign w:val="subscript"/>
        </w:rPr>
        <w:t>n</w:t>
      </w:r>
      <w:r w:rsidRPr="003F535E">
        <w:rPr>
          <w:rFonts w:asciiTheme="majorBidi" w:hAnsiTheme="majorBidi" w:cstheme="majorBidi"/>
          <w:sz w:val="24"/>
          <w:szCs w:val="24"/>
        </w:rPr>
        <w:t xml:space="preserve"> – analytes.</w:t>
      </w:r>
    </w:p>
    <w:p w14:paraId="07DE332A" w14:textId="32A0A888" w:rsidR="004D5C50" w:rsidRPr="003F535E" w:rsidRDefault="004D5C50" w:rsidP="004D5C50">
      <w:pPr>
        <w:spacing w:line="360" w:lineRule="auto"/>
        <w:jc w:val="both"/>
        <w:rPr>
          <w:rFonts w:asciiTheme="majorBidi" w:hAnsiTheme="majorBidi" w:cstheme="majorBidi"/>
          <w:sz w:val="24"/>
          <w:szCs w:val="24"/>
        </w:rPr>
      </w:pPr>
      <w:r w:rsidRPr="003F535E">
        <w:rPr>
          <w:rFonts w:asciiTheme="majorBidi" w:hAnsiTheme="majorBidi" w:cstheme="majorBidi"/>
          <w:sz w:val="24"/>
          <w:szCs w:val="24"/>
        </w:rPr>
        <w:lastRenderedPageBreak/>
        <w:t xml:space="preserve">In this research, ITP was used as the injection technique for CZE. The first column was filled with a solution of the </w:t>
      </w:r>
      <w:r w:rsidR="00786555">
        <w:rPr>
          <w:rFonts w:asciiTheme="majorBidi" w:hAnsiTheme="majorBidi" w:cstheme="majorBidi"/>
          <w:sz w:val="24"/>
          <w:szCs w:val="24"/>
        </w:rPr>
        <w:t>LE</w:t>
      </w:r>
      <w:r w:rsidRPr="003F535E">
        <w:rPr>
          <w:rFonts w:asciiTheme="majorBidi" w:hAnsiTheme="majorBidi" w:cstheme="majorBidi"/>
          <w:sz w:val="24"/>
          <w:szCs w:val="24"/>
        </w:rPr>
        <w:t xml:space="preserve"> and the second column with a solution of the </w:t>
      </w:r>
      <w:r w:rsidR="00786555">
        <w:rPr>
          <w:rFonts w:asciiTheme="majorBidi" w:hAnsiTheme="majorBidi" w:cstheme="majorBidi"/>
          <w:sz w:val="24"/>
          <w:szCs w:val="24"/>
        </w:rPr>
        <w:t>BE</w:t>
      </w:r>
      <w:r w:rsidRPr="003F535E">
        <w:rPr>
          <w:rFonts w:asciiTheme="majorBidi" w:hAnsiTheme="majorBidi" w:cstheme="majorBidi"/>
          <w:sz w:val="24"/>
          <w:szCs w:val="24"/>
        </w:rPr>
        <w:t xml:space="preserve">. The sample components were concentrated between the leading and terminating ions in the ITP column (Fig. S1b). The sample was transferred into the CZE separation stage by switching the direction of the driving current into the CZE column just before the exit of the analyte zone from the ITP column to eliminate any analyte losses. (Fig. S1c). To prevent its losses in the CZE stage, the time for the analyte to pass from the conductivity detector (so-called CD, Fig. 1S) in the ITP stage to the bifurcation block (BB, Fig. 1Sa) was precisely determined. In this way, in addition to the analyte, a part of the leading ions, or ions migrating before the analyte, was transferred to the CZE separation stage (Fig. S1d). The </w:t>
      </w:r>
      <w:proofErr w:type="gramStart"/>
      <w:r w:rsidRPr="003F535E">
        <w:rPr>
          <w:rFonts w:asciiTheme="majorBidi" w:hAnsiTheme="majorBidi" w:cstheme="majorBidi"/>
          <w:sz w:val="24"/>
          <w:szCs w:val="24"/>
        </w:rPr>
        <w:t>amount</w:t>
      </w:r>
      <w:proofErr w:type="gramEnd"/>
      <w:r w:rsidRPr="003F535E">
        <w:rPr>
          <w:rFonts w:asciiTheme="majorBidi" w:hAnsiTheme="majorBidi" w:cstheme="majorBidi"/>
          <w:sz w:val="24"/>
          <w:szCs w:val="24"/>
        </w:rPr>
        <w:t xml:space="preserve"> of leading ions transferred to the CZE stage indicates the rate of “</w:t>
      </w:r>
      <w:proofErr w:type="spellStart"/>
      <w:r w:rsidRPr="003F535E">
        <w:rPr>
          <w:rFonts w:asciiTheme="majorBidi" w:hAnsiTheme="majorBidi" w:cstheme="majorBidi"/>
          <w:sz w:val="24"/>
          <w:szCs w:val="24"/>
        </w:rPr>
        <w:t>destacking</w:t>
      </w:r>
      <w:proofErr w:type="spellEnd"/>
      <w:r w:rsidRPr="003F535E">
        <w:rPr>
          <w:rFonts w:asciiTheme="majorBidi" w:hAnsiTheme="majorBidi" w:cstheme="majorBidi"/>
          <w:sz w:val="24"/>
          <w:szCs w:val="24"/>
        </w:rPr>
        <w:t>” (separation) of the analyte from the leading ions, or from other matrix components.</w:t>
      </w:r>
    </w:p>
    <w:p w14:paraId="195C8562" w14:textId="77777777" w:rsidR="002D423F" w:rsidRPr="003F535E" w:rsidRDefault="002D423F" w:rsidP="002D423F">
      <w:pPr>
        <w:spacing w:line="360" w:lineRule="auto"/>
        <w:jc w:val="both"/>
        <w:rPr>
          <w:rFonts w:asciiTheme="majorBidi" w:hAnsiTheme="majorBidi" w:cstheme="majorBidi"/>
          <w:sz w:val="24"/>
          <w:szCs w:val="24"/>
        </w:rPr>
      </w:pPr>
    </w:p>
    <w:p w14:paraId="7B2AC22A" w14:textId="77777777" w:rsidR="002D423F" w:rsidRPr="003F535E" w:rsidRDefault="002D423F" w:rsidP="002D423F">
      <w:pPr>
        <w:spacing w:line="360" w:lineRule="auto"/>
        <w:jc w:val="center"/>
        <w:rPr>
          <w:rFonts w:asciiTheme="majorBidi" w:hAnsiTheme="majorBidi" w:cstheme="majorBidi"/>
          <w:sz w:val="24"/>
          <w:szCs w:val="24"/>
        </w:rPr>
      </w:pPr>
      <w:r w:rsidRPr="003F535E">
        <w:rPr>
          <w:rFonts w:asciiTheme="majorBidi" w:hAnsiTheme="majorBidi" w:cstheme="majorBidi"/>
          <w:sz w:val="24"/>
          <w:szCs w:val="24"/>
        </w:rPr>
        <w:br w:type="page"/>
      </w:r>
      <w:r w:rsidRPr="003F535E">
        <w:rPr>
          <w:rFonts w:asciiTheme="majorBidi" w:hAnsiTheme="majorBidi" w:cstheme="majorBidi"/>
          <w:noProof/>
          <w:sz w:val="24"/>
          <w:szCs w:val="24"/>
        </w:rPr>
        <w:lastRenderedPageBreak/>
        <w:drawing>
          <wp:inline distT="0" distB="0" distL="0" distR="0" wp14:anchorId="34A288EB" wp14:editId="0A5B99A4">
            <wp:extent cx="3806945" cy="5542547"/>
            <wp:effectExtent l="0" t="0" r="3175" b="1270"/>
            <wp:docPr id="2011628763" name="Picture 7"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28763" name="Picture 7" descr="A diagram of a graph&#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5733" cy="5555342"/>
                    </a:xfrm>
                    <a:prstGeom prst="rect">
                      <a:avLst/>
                    </a:prstGeom>
                    <a:noFill/>
                    <a:ln>
                      <a:noFill/>
                    </a:ln>
                  </pic:spPr>
                </pic:pic>
              </a:graphicData>
            </a:graphic>
          </wp:inline>
        </w:drawing>
      </w:r>
    </w:p>
    <w:p w14:paraId="3267C78F" w14:textId="17676CF6" w:rsidR="002D423F" w:rsidRPr="003F535E" w:rsidRDefault="002D423F" w:rsidP="00C82A82">
      <w:pPr>
        <w:spacing w:line="360" w:lineRule="auto"/>
        <w:ind w:left="1170" w:hanging="1170"/>
        <w:jc w:val="both"/>
        <w:rPr>
          <w:rFonts w:asciiTheme="majorBidi" w:hAnsiTheme="majorBidi" w:cstheme="majorBidi"/>
          <w:sz w:val="24"/>
          <w:szCs w:val="24"/>
        </w:rPr>
      </w:pPr>
      <w:r w:rsidRPr="003F535E">
        <w:rPr>
          <w:rFonts w:asciiTheme="majorBidi" w:hAnsiTheme="majorBidi" w:cstheme="majorBidi"/>
          <w:b/>
          <w:sz w:val="24"/>
          <w:szCs w:val="24"/>
        </w:rPr>
        <w:t xml:space="preserve">Figure S2. </w:t>
      </w:r>
      <w:r w:rsidRPr="003F535E">
        <w:rPr>
          <w:rFonts w:asciiTheme="majorBidi" w:hAnsiTheme="majorBidi" w:cstheme="majorBidi"/>
          <w:bCs/>
          <w:sz w:val="24"/>
          <w:szCs w:val="24"/>
        </w:rPr>
        <w:t xml:space="preserve">ITP separation of HAAs at pH = 3.5 of the </w:t>
      </w:r>
      <w:r w:rsidR="00C842AB">
        <w:rPr>
          <w:rFonts w:asciiTheme="majorBidi" w:hAnsiTheme="majorBidi" w:cstheme="majorBidi"/>
          <w:bCs/>
          <w:sz w:val="24"/>
          <w:szCs w:val="24"/>
        </w:rPr>
        <w:t>LE</w:t>
      </w:r>
      <w:r w:rsidRPr="003F535E">
        <w:rPr>
          <w:rFonts w:asciiTheme="majorBidi" w:hAnsiTheme="majorBidi" w:cstheme="majorBidi"/>
          <w:bCs/>
          <w:sz w:val="24"/>
          <w:szCs w:val="24"/>
        </w:rPr>
        <w:t xml:space="preserve">. </w:t>
      </w:r>
      <w:r w:rsidRPr="003F535E">
        <w:rPr>
          <w:rFonts w:asciiTheme="majorBidi" w:hAnsiTheme="majorBidi" w:cstheme="majorBidi"/>
          <w:sz w:val="24"/>
          <w:szCs w:val="24"/>
        </w:rPr>
        <w:t xml:space="preserve">Sample: 50 mg/L MCA, DCA, TCA, MBA and DBA in 10% TE (ES1, Table 1). ITP separations were performed in ES1 (Table 1) at a driving current of 250 </w:t>
      </w:r>
      <w:r w:rsidR="00F34E93" w:rsidRPr="003F535E">
        <w:rPr>
          <w:rFonts w:asciiTheme="majorBidi" w:hAnsiTheme="majorBidi" w:cstheme="majorBidi"/>
          <w:sz w:val="24"/>
          <w:szCs w:val="24"/>
        </w:rPr>
        <w:t>µ</w:t>
      </w:r>
      <w:r w:rsidRPr="003F535E">
        <w:rPr>
          <w:rFonts w:asciiTheme="majorBidi" w:hAnsiTheme="majorBidi" w:cstheme="majorBidi"/>
          <w:sz w:val="24"/>
          <w:szCs w:val="24"/>
        </w:rPr>
        <w:t>A. L = leading anion; T = terminating anion; TE = terminating electrolyte. For analyte assignment, see Table S1.</w:t>
      </w:r>
    </w:p>
    <w:p w14:paraId="525F8DFE" w14:textId="77777777" w:rsidR="002D423F" w:rsidRPr="003F535E" w:rsidRDefault="002D423F" w:rsidP="002D423F">
      <w:pPr>
        <w:spacing w:line="360" w:lineRule="auto"/>
        <w:rPr>
          <w:rFonts w:asciiTheme="majorBidi" w:hAnsiTheme="majorBidi" w:cstheme="majorBidi"/>
          <w:sz w:val="24"/>
          <w:szCs w:val="24"/>
        </w:rPr>
      </w:pPr>
      <w:r w:rsidRPr="003F535E">
        <w:rPr>
          <w:rFonts w:asciiTheme="majorBidi" w:hAnsiTheme="majorBidi" w:cstheme="majorBidi"/>
          <w:sz w:val="24"/>
          <w:szCs w:val="24"/>
        </w:rPr>
        <w:br w:type="page"/>
      </w:r>
    </w:p>
    <w:p w14:paraId="36D72955" w14:textId="77777777" w:rsidR="002D423F" w:rsidRPr="003F535E" w:rsidRDefault="002D423F" w:rsidP="002D423F">
      <w:pPr>
        <w:spacing w:line="360" w:lineRule="auto"/>
        <w:jc w:val="center"/>
        <w:rPr>
          <w:rFonts w:asciiTheme="majorBidi" w:hAnsiTheme="majorBidi" w:cstheme="majorBidi"/>
          <w:sz w:val="24"/>
          <w:szCs w:val="24"/>
        </w:rPr>
      </w:pPr>
    </w:p>
    <w:p w14:paraId="77597678" w14:textId="77777777" w:rsidR="002D423F" w:rsidRPr="003F535E" w:rsidRDefault="002D423F" w:rsidP="002D423F">
      <w:pPr>
        <w:spacing w:line="360" w:lineRule="auto"/>
        <w:jc w:val="center"/>
        <w:rPr>
          <w:rFonts w:asciiTheme="majorBidi" w:hAnsiTheme="majorBidi" w:cstheme="majorBidi"/>
          <w:sz w:val="24"/>
          <w:szCs w:val="24"/>
        </w:rPr>
      </w:pPr>
      <w:r w:rsidRPr="003F535E">
        <w:rPr>
          <w:rFonts w:asciiTheme="majorBidi" w:hAnsiTheme="majorBidi" w:cstheme="majorBidi"/>
          <w:noProof/>
          <w:sz w:val="24"/>
          <w:szCs w:val="24"/>
        </w:rPr>
        <w:drawing>
          <wp:inline distT="0" distB="0" distL="0" distR="0" wp14:anchorId="68FBD3F1" wp14:editId="2679B8E2">
            <wp:extent cx="3875773" cy="5642754"/>
            <wp:effectExtent l="0" t="0" r="0" b="0"/>
            <wp:docPr id="1657366919" name="Picture 6" descr="A diagram of a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66919" name="Picture 6" descr="A diagram of a reactio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3136" cy="5653473"/>
                    </a:xfrm>
                    <a:prstGeom prst="rect">
                      <a:avLst/>
                    </a:prstGeom>
                    <a:noFill/>
                    <a:ln>
                      <a:noFill/>
                    </a:ln>
                  </pic:spPr>
                </pic:pic>
              </a:graphicData>
            </a:graphic>
          </wp:inline>
        </w:drawing>
      </w:r>
    </w:p>
    <w:p w14:paraId="3E22DC92" w14:textId="75CBD0BC" w:rsidR="002D423F" w:rsidRPr="003F535E" w:rsidRDefault="002D423F" w:rsidP="00C82A82">
      <w:pPr>
        <w:spacing w:line="360" w:lineRule="auto"/>
        <w:ind w:left="1260" w:hanging="1260"/>
        <w:jc w:val="both"/>
        <w:rPr>
          <w:rFonts w:asciiTheme="majorBidi" w:hAnsiTheme="majorBidi" w:cstheme="majorBidi"/>
          <w:sz w:val="24"/>
          <w:szCs w:val="24"/>
        </w:rPr>
      </w:pPr>
      <w:r w:rsidRPr="003F535E">
        <w:rPr>
          <w:rFonts w:asciiTheme="majorBidi" w:hAnsiTheme="majorBidi" w:cstheme="majorBidi"/>
          <w:b/>
          <w:sz w:val="24"/>
          <w:szCs w:val="24"/>
        </w:rPr>
        <w:t xml:space="preserve">Figure S3. </w:t>
      </w:r>
      <w:r w:rsidRPr="003F535E">
        <w:rPr>
          <w:rFonts w:asciiTheme="majorBidi" w:hAnsiTheme="majorBidi" w:cstheme="majorBidi"/>
          <w:bCs/>
          <w:sz w:val="24"/>
          <w:szCs w:val="24"/>
        </w:rPr>
        <w:t xml:space="preserve">ITP separation of HAAs with addition of phosphate to the acetate </w:t>
      </w:r>
      <w:r w:rsidR="00C842AB">
        <w:rPr>
          <w:rFonts w:asciiTheme="majorBidi" w:hAnsiTheme="majorBidi" w:cstheme="majorBidi"/>
          <w:sz w:val="24"/>
          <w:szCs w:val="24"/>
        </w:rPr>
        <w:t>TE</w:t>
      </w:r>
      <w:r w:rsidRPr="003F535E">
        <w:rPr>
          <w:rFonts w:asciiTheme="majorBidi" w:hAnsiTheme="majorBidi" w:cstheme="majorBidi"/>
          <w:bCs/>
          <w:sz w:val="24"/>
          <w:szCs w:val="24"/>
        </w:rPr>
        <w:t xml:space="preserve">. </w:t>
      </w:r>
      <w:r w:rsidRPr="003F535E">
        <w:rPr>
          <w:rFonts w:asciiTheme="majorBidi" w:hAnsiTheme="majorBidi" w:cstheme="majorBidi"/>
          <w:sz w:val="24"/>
          <w:szCs w:val="24"/>
        </w:rPr>
        <w:t xml:space="preserve">Sample: 50 mg/L MCA, DCA, TCA, MBA and DBA in 10% TE (ES3, Table 1). ITP separations were performed in ES3 at a driving current of 250 </w:t>
      </w:r>
      <w:r w:rsidR="001D12B3" w:rsidRPr="003F535E">
        <w:rPr>
          <w:rFonts w:asciiTheme="majorBidi" w:hAnsiTheme="majorBidi" w:cstheme="majorBidi"/>
          <w:sz w:val="24"/>
          <w:szCs w:val="24"/>
        </w:rPr>
        <w:t>µ</w:t>
      </w:r>
      <w:r w:rsidRPr="003F535E">
        <w:rPr>
          <w:rFonts w:asciiTheme="majorBidi" w:hAnsiTheme="majorBidi" w:cstheme="majorBidi"/>
          <w:sz w:val="24"/>
          <w:szCs w:val="24"/>
        </w:rPr>
        <w:t>A. L = leading anion; T = terminating anion; TE = terminating electrolyte. For analyte assignment, see Table S1.</w:t>
      </w:r>
    </w:p>
    <w:p w14:paraId="5A7493FF" w14:textId="77777777" w:rsidR="002D423F" w:rsidRPr="003F535E" w:rsidRDefault="002D423F" w:rsidP="002D423F">
      <w:pPr>
        <w:spacing w:line="360" w:lineRule="auto"/>
        <w:rPr>
          <w:rFonts w:asciiTheme="majorBidi" w:hAnsiTheme="majorBidi" w:cstheme="majorBidi"/>
          <w:sz w:val="24"/>
          <w:szCs w:val="24"/>
        </w:rPr>
      </w:pPr>
      <w:r w:rsidRPr="003F535E">
        <w:rPr>
          <w:rFonts w:asciiTheme="majorBidi" w:hAnsiTheme="majorBidi" w:cstheme="majorBidi"/>
          <w:sz w:val="24"/>
          <w:szCs w:val="24"/>
        </w:rPr>
        <w:br w:type="page"/>
      </w:r>
    </w:p>
    <w:p w14:paraId="455E7800" w14:textId="77777777" w:rsidR="002D423F" w:rsidRPr="003F535E" w:rsidRDefault="002D423F" w:rsidP="002D423F">
      <w:pPr>
        <w:spacing w:line="360" w:lineRule="auto"/>
        <w:jc w:val="center"/>
        <w:rPr>
          <w:rFonts w:asciiTheme="majorBidi" w:hAnsiTheme="majorBidi" w:cstheme="majorBidi"/>
          <w:sz w:val="24"/>
          <w:szCs w:val="24"/>
        </w:rPr>
      </w:pPr>
      <w:r w:rsidRPr="003F535E">
        <w:rPr>
          <w:rFonts w:asciiTheme="majorBidi" w:hAnsiTheme="majorBidi" w:cstheme="majorBidi"/>
          <w:noProof/>
          <w:sz w:val="24"/>
          <w:szCs w:val="24"/>
        </w:rPr>
        <w:lastRenderedPageBreak/>
        <w:drawing>
          <wp:inline distT="0" distB="0" distL="0" distR="0" wp14:anchorId="0853D9E1" wp14:editId="661B8BAE">
            <wp:extent cx="3817494" cy="6546244"/>
            <wp:effectExtent l="0" t="0" r="0" b="6985"/>
            <wp:docPr id="913072944" name="Picture 4" descr="A diagram of a normal pul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72944" name="Picture 4" descr="A diagram of a normal puls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1205" cy="6552608"/>
                    </a:xfrm>
                    <a:prstGeom prst="rect">
                      <a:avLst/>
                    </a:prstGeom>
                    <a:noFill/>
                    <a:ln>
                      <a:noFill/>
                    </a:ln>
                  </pic:spPr>
                </pic:pic>
              </a:graphicData>
            </a:graphic>
          </wp:inline>
        </w:drawing>
      </w:r>
    </w:p>
    <w:p w14:paraId="542E7416" w14:textId="3C895CEF" w:rsidR="002D423F" w:rsidRPr="003F535E" w:rsidRDefault="002D423F" w:rsidP="00C82A82">
      <w:pPr>
        <w:spacing w:line="360" w:lineRule="auto"/>
        <w:ind w:left="1080" w:hanging="1080"/>
        <w:jc w:val="both"/>
        <w:rPr>
          <w:rFonts w:asciiTheme="majorBidi" w:hAnsiTheme="majorBidi" w:cstheme="majorBidi"/>
          <w:sz w:val="24"/>
          <w:szCs w:val="24"/>
        </w:rPr>
      </w:pPr>
      <w:r w:rsidRPr="003F535E">
        <w:rPr>
          <w:rFonts w:asciiTheme="majorBidi" w:hAnsiTheme="majorBidi" w:cstheme="majorBidi"/>
          <w:b/>
          <w:bCs/>
          <w:sz w:val="24"/>
          <w:szCs w:val="24"/>
        </w:rPr>
        <w:t xml:space="preserve">Figure S4. </w:t>
      </w:r>
      <w:r w:rsidRPr="003F535E">
        <w:rPr>
          <w:rFonts w:asciiTheme="majorBidi" w:hAnsiTheme="majorBidi" w:cstheme="majorBidi"/>
          <w:sz w:val="24"/>
          <w:szCs w:val="24"/>
        </w:rPr>
        <w:t xml:space="preserve">Effect of DDAPS added to the </w:t>
      </w:r>
      <w:r w:rsidR="00C842AB">
        <w:rPr>
          <w:rFonts w:asciiTheme="majorBidi" w:hAnsiTheme="majorBidi" w:cstheme="majorBidi"/>
          <w:sz w:val="24"/>
          <w:szCs w:val="24"/>
        </w:rPr>
        <w:t>BE</w:t>
      </w:r>
      <w:r w:rsidRPr="003F535E">
        <w:rPr>
          <w:rFonts w:asciiTheme="majorBidi" w:hAnsiTheme="majorBidi" w:cstheme="majorBidi"/>
          <w:sz w:val="24"/>
          <w:szCs w:val="24"/>
        </w:rPr>
        <w:t xml:space="preserve"> on the resolution of HAAs. ITP-CZE separations were performed in ES3 without addition (a) and with the addition of 4 mmol/L DDAPS to the </w:t>
      </w:r>
      <w:r w:rsidR="00C842AB">
        <w:rPr>
          <w:rFonts w:asciiTheme="majorBidi" w:hAnsiTheme="majorBidi" w:cstheme="majorBidi"/>
          <w:sz w:val="24"/>
          <w:szCs w:val="24"/>
        </w:rPr>
        <w:t>BE</w:t>
      </w:r>
      <w:r w:rsidRPr="003F535E">
        <w:rPr>
          <w:rFonts w:asciiTheme="majorBidi" w:hAnsiTheme="majorBidi" w:cstheme="majorBidi"/>
          <w:sz w:val="24"/>
          <w:szCs w:val="24"/>
        </w:rPr>
        <w:t xml:space="preserve"> (b). Sample: 300 µg/L DCA, TCA, DBA, 250 µg/L MBA, 1 mg/L MCA in 10% TE (ES3, Table 1). CZE separations were monitored by a UV detector operating at a 200 nm detection wavelength. The driving current was 250 and 80</w:t>
      </w:r>
      <w:r w:rsidR="001D12B3" w:rsidRPr="003F535E">
        <w:rPr>
          <w:rFonts w:asciiTheme="majorBidi" w:hAnsiTheme="majorBidi" w:cstheme="majorBidi"/>
          <w:sz w:val="24"/>
          <w:szCs w:val="24"/>
        </w:rPr>
        <w:t xml:space="preserve"> </w:t>
      </w:r>
      <w:r w:rsidRPr="003F535E">
        <w:rPr>
          <w:rFonts w:asciiTheme="majorBidi" w:hAnsiTheme="majorBidi" w:cstheme="majorBidi"/>
          <w:sz w:val="24"/>
          <w:szCs w:val="24"/>
        </w:rPr>
        <w:t>µ</w:t>
      </w:r>
      <w:r w:rsidR="001D12B3" w:rsidRPr="003F535E">
        <w:rPr>
          <w:rFonts w:asciiTheme="majorBidi" w:hAnsiTheme="majorBidi" w:cstheme="majorBidi"/>
          <w:sz w:val="24"/>
          <w:szCs w:val="24"/>
        </w:rPr>
        <w:t>A</w:t>
      </w:r>
      <w:r w:rsidRPr="003F535E">
        <w:rPr>
          <w:rFonts w:asciiTheme="majorBidi" w:hAnsiTheme="majorBidi" w:cstheme="majorBidi"/>
          <w:sz w:val="24"/>
          <w:szCs w:val="24"/>
        </w:rPr>
        <w:t xml:space="preserve"> in the ITP and CZE stage, respectively. BE, TE – background and terminating electrolytes, respectively. For analyte assignment, see Table S1.</w:t>
      </w:r>
    </w:p>
    <w:p w14:paraId="47011267" w14:textId="1981D043" w:rsidR="002D423F" w:rsidRPr="003F535E" w:rsidRDefault="002D423F" w:rsidP="001D12B3">
      <w:pPr>
        <w:spacing w:line="360" w:lineRule="auto"/>
        <w:ind w:left="1080" w:hanging="1080"/>
        <w:jc w:val="center"/>
        <w:rPr>
          <w:rFonts w:asciiTheme="majorBidi" w:hAnsiTheme="majorBidi" w:cstheme="majorBidi"/>
          <w:sz w:val="24"/>
          <w:szCs w:val="24"/>
        </w:rPr>
      </w:pPr>
      <w:r w:rsidRPr="003F535E">
        <w:rPr>
          <w:rFonts w:asciiTheme="majorBidi" w:hAnsiTheme="majorBidi" w:cstheme="majorBidi"/>
          <w:sz w:val="24"/>
          <w:szCs w:val="24"/>
        </w:rPr>
        <w:br w:type="page"/>
      </w:r>
      <w:r w:rsidRPr="003F535E">
        <w:rPr>
          <w:rFonts w:asciiTheme="majorBidi" w:hAnsiTheme="majorBidi" w:cstheme="majorBidi"/>
          <w:noProof/>
          <w:sz w:val="24"/>
          <w:szCs w:val="24"/>
        </w:rPr>
        <w:lastRenderedPageBreak/>
        <w:drawing>
          <wp:inline distT="0" distB="0" distL="0" distR="0" wp14:anchorId="3887BC83" wp14:editId="131E471F">
            <wp:extent cx="4275221" cy="5660805"/>
            <wp:effectExtent l="0" t="0" r="0" b="0"/>
            <wp:docPr id="1757283294" name="Picture 1"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83294" name="Picture 1" descr="A graph of a graph of a graph of a graph of a graph of a graph of a graph of a graph of a graph of a graph of a graph of a graph of a graph of&#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861"/>
                    <a:stretch>
                      <a:fillRect/>
                    </a:stretch>
                  </pic:blipFill>
                  <pic:spPr bwMode="auto">
                    <a:xfrm>
                      <a:off x="0" y="0"/>
                      <a:ext cx="4277310" cy="5663571"/>
                    </a:xfrm>
                    <a:prstGeom prst="rect">
                      <a:avLst/>
                    </a:prstGeom>
                    <a:noFill/>
                    <a:ln>
                      <a:noFill/>
                    </a:ln>
                    <a:extLst>
                      <a:ext uri="{53640926-AAD7-44D8-BBD7-CCE9431645EC}">
                        <a14:shadowObscured xmlns:a14="http://schemas.microsoft.com/office/drawing/2010/main"/>
                      </a:ext>
                    </a:extLst>
                  </pic:spPr>
                </pic:pic>
              </a:graphicData>
            </a:graphic>
          </wp:inline>
        </w:drawing>
      </w:r>
    </w:p>
    <w:p w14:paraId="0F2BD2E3" w14:textId="06F9E751" w:rsidR="002D423F" w:rsidRPr="003F535E" w:rsidRDefault="002D423F" w:rsidP="001D12B3">
      <w:pPr>
        <w:spacing w:line="360" w:lineRule="auto"/>
        <w:ind w:left="1170" w:hanging="1170"/>
        <w:jc w:val="both"/>
        <w:rPr>
          <w:rFonts w:asciiTheme="majorBidi" w:hAnsiTheme="majorBidi" w:cstheme="majorBidi"/>
          <w:sz w:val="24"/>
          <w:szCs w:val="24"/>
        </w:rPr>
      </w:pPr>
      <w:r w:rsidRPr="003F535E">
        <w:rPr>
          <w:rFonts w:asciiTheme="majorBidi" w:hAnsiTheme="majorBidi" w:cstheme="majorBidi"/>
          <w:b/>
          <w:bCs/>
          <w:sz w:val="24"/>
          <w:szCs w:val="24"/>
        </w:rPr>
        <w:t xml:space="preserve">Figure S5. </w:t>
      </w:r>
      <w:r w:rsidRPr="003F535E">
        <w:rPr>
          <w:rFonts w:asciiTheme="majorBidi" w:hAnsiTheme="majorBidi" w:cstheme="majorBidi"/>
          <w:sz w:val="24"/>
          <w:szCs w:val="24"/>
        </w:rPr>
        <w:t xml:space="preserve">ITP-CZE separation of HAAs in bottled mineral water 2. ITP-CZE separations were performed in ES4 (Table 1). Sample: (a) blank (100% TE; ES4, Table 1); (b) bottled water 2 (9:10); (c) bottled water 2 (9:10) spiked with 250 </w:t>
      </w:r>
      <w:r w:rsidR="001D12B3" w:rsidRPr="003F535E">
        <w:rPr>
          <w:rFonts w:asciiTheme="majorBidi" w:hAnsiTheme="majorBidi" w:cstheme="majorBidi"/>
          <w:sz w:val="24"/>
          <w:szCs w:val="24"/>
        </w:rPr>
        <w:t>µ</w:t>
      </w:r>
      <w:r w:rsidRPr="003F535E">
        <w:rPr>
          <w:rFonts w:asciiTheme="majorBidi" w:hAnsiTheme="majorBidi" w:cstheme="majorBidi"/>
          <w:sz w:val="24"/>
          <w:szCs w:val="24"/>
        </w:rPr>
        <w:t xml:space="preserve">g/L MCA, 37 </w:t>
      </w:r>
      <w:r w:rsidR="001D12B3" w:rsidRPr="003F535E">
        <w:rPr>
          <w:rFonts w:asciiTheme="majorBidi" w:hAnsiTheme="majorBidi" w:cstheme="majorBidi"/>
          <w:sz w:val="24"/>
          <w:szCs w:val="24"/>
        </w:rPr>
        <w:t>µ</w:t>
      </w:r>
      <w:r w:rsidRPr="003F535E">
        <w:rPr>
          <w:rFonts w:asciiTheme="majorBidi" w:hAnsiTheme="majorBidi" w:cstheme="majorBidi"/>
          <w:sz w:val="24"/>
          <w:szCs w:val="24"/>
        </w:rPr>
        <w:t>g/L DBA, 50</w:t>
      </w:r>
      <w:r w:rsidR="001D12B3" w:rsidRPr="003F535E">
        <w:rPr>
          <w:rFonts w:asciiTheme="majorBidi" w:hAnsiTheme="majorBidi" w:cstheme="majorBidi"/>
          <w:sz w:val="24"/>
          <w:szCs w:val="24"/>
        </w:rPr>
        <w:t xml:space="preserve"> µ</w:t>
      </w:r>
      <w:r w:rsidRPr="003F535E">
        <w:rPr>
          <w:rFonts w:asciiTheme="majorBidi" w:hAnsiTheme="majorBidi" w:cstheme="majorBidi"/>
          <w:sz w:val="24"/>
          <w:szCs w:val="24"/>
        </w:rPr>
        <w:t xml:space="preserve">g/L DCA, TCA and 125 </w:t>
      </w:r>
      <w:r w:rsidR="001D12B3" w:rsidRPr="003F535E">
        <w:rPr>
          <w:rFonts w:asciiTheme="majorBidi" w:hAnsiTheme="majorBidi" w:cstheme="majorBidi"/>
          <w:sz w:val="24"/>
          <w:szCs w:val="24"/>
        </w:rPr>
        <w:t>µ</w:t>
      </w:r>
      <w:r w:rsidRPr="003F535E">
        <w:rPr>
          <w:rFonts w:asciiTheme="majorBidi" w:hAnsiTheme="majorBidi" w:cstheme="majorBidi"/>
          <w:sz w:val="24"/>
          <w:szCs w:val="24"/>
        </w:rPr>
        <w:t>g/L MBA. CZE separations were monitored by a UV detector operating at a 200 nm detection wavelength. The driving current was 250 and 100</w:t>
      </w:r>
      <w:r w:rsidR="001D12B3" w:rsidRPr="003F535E">
        <w:rPr>
          <w:rFonts w:asciiTheme="majorBidi" w:hAnsiTheme="majorBidi" w:cstheme="majorBidi"/>
          <w:sz w:val="24"/>
          <w:szCs w:val="24"/>
        </w:rPr>
        <w:t xml:space="preserve"> µA</w:t>
      </w:r>
      <w:r w:rsidRPr="003F535E">
        <w:rPr>
          <w:rFonts w:asciiTheme="majorBidi" w:hAnsiTheme="majorBidi" w:cstheme="majorBidi"/>
          <w:sz w:val="24"/>
          <w:szCs w:val="24"/>
        </w:rPr>
        <w:t xml:space="preserve"> in the ITP and CZE stage, respectively. TE – terminating electrolyte. For analyte assignment, see Table S1.</w:t>
      </w:r>
    </w:p>
    <w:p w14:paraId="5B13143D" w14:textId="3C2BD0BD" w:rsidR="002D423F" w:rsidRPr="003F535E" w:rsidRDefault="002D423F" w:rsidP="001D12B3">
      <w:pPr>
        <w:spacing w:line="360" w:lineRule="auto"/>
        <w:jc w:val="center"/>
        <w:rPr>
          <w:rFonts w:asciiTheme="majorBidi" w:hAnsiTheme="majorBidi" w:cstheme="majorBidi"/>
          <w:sz w:val="24"/>
          <w:szCs w:val="24"/>
        </w:rPr>
      </w:pPr>
      <w:r w:rsidRPr="003F535E">
        <w:rPr>
          <w:rFonts w:asciiTheme="majorBidi" w:hAnsiTheme="majorBidi" w:cstheme="majorBidi"/>
          <w:sz w:val="24"/>
          <w:szCs w:val="24"/>
        </w:rPr>
        <w:br w:type="page"/>
      </w:r>
      <w:r w:rsidRPr="003F535E">
        <w:rPr>
          <w:rFonts w:asciiTheme="majorBidi" w:hAnsiTheme="majorBidi" w:cstheme="majorBidi"/>
          <w:noProof/>
          <w:sz w:val="24"/>
          <w:szCs w:val="24"/>
        </w:rPr>
        <w:lastRenderedPageBreak/>
        <w:drawing>
          <wp:inline distT="0" distB="0" distL="0" distR="0" wp14:anchorId="250ED2B0" wp14:editId="1A297F95">
            <wp:extent cx="3550464" cy="5951621"/>
            <wp:effectExtent l="0" t="0" r="0" b="0"/>
            <wp:docPr id="1421011494" name="Picture 9" descr="A graph of different types of electrocardio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11494" name="Picture 9" descr="A graph of different types of electrocardiogram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416" cy="5971656"/>
                    </a:xfrm>
                    <a:prstGeom prst="rect">
                      <a:avLst/>
                    </a:prstGeom>
                    <a:noFill/>
                    <a:ln>
                      <a:noFill/>
                    </a:ln>
                  </pic:spPr>
                </pic:pic>
              </a:graphicData>
            </a:graphic>
          </wp:inline>
        </w:drawing>
      </w:r>
    </w:p>
    <w:p w14:paraId="473D5C4A" w14:textId="10D1AA42" w:rsidR="00552C47" w:rsidRPr="003F535E" w:rsidRDefault="002D423F" w:rsidP="00E5751C">
      <w:pPr>
        <w:spacing w:line="480" w:lineRule="auto"/>
        <w:ind w:left="1350" w:hanging="1350"/>
        <w:jc w:val="both"/>
        <w:rPr>
          <w:rFonts w:asciiTheme="majorBidi" w:hAnsiTheme="majorBidi" w:cstheme="majorBidi"/>
          <w:sz w:val="24"/>
          <w:szCs w:val="24"/>
          <w:lang w:val="en-GB"/>
        </w:rPr>
      </w:pPr>
      <w:r w:rsidRPr="003F535E">
        <w:rPr>
          <w:rFonts w:asciiTheme="majorBidi" w:hAnsiTheme="majorBidi" w:cstheme="majorBidi"/>
          <w:b/>
          <w:bCs/>
          <w:sz w:val="24"/>
          <w:szCs w:val="24"/>
        </w:rPr>
        <w:t>Figure S6.</w:t>
      </w:r>
      <w:r w:rsidRPr="003F535E">
        <w:rPr>
          <w:rFonts w:asciiTheme="majorBidi" w:hAnsiTheme="majorBidi" w:cstheme="majorBidi"/>
          <w:sz w:val="24"/>
          <w:szCs w:val="24"/>
        </w:rPr>
        <w:t xml:space="preserve"> LLE/ITP-CZE separations of HAAs in bottled mineral water 2. ITP-CZE separations were performed in ES4 (Table 1). Sample: (a) blank (100% TE; ES4, Table 1); (b) bottled water 2 (9:10); (c) bottled water 2 (9:10) with addition of 16.7</w:t>
      </w:r>
      <w:r w:rsidR="00E5751C" w:rsidRPr="003F535E">
        <w:rPr>
          <w:rFonts w:asciiTheme="majorBidi" w:hAnsiTheme="majorBidi" w:cstheme="majorBidi"/>
          <w:sz w:val="24"/>
          <w:szCs w:val="24"/>
        </w:rPr>
        <w:t xml:space="preserve"> µ</w:t>
      </w:r>
      <w:r w:rsidRPr="003F535E">
        <w:rPr>
          <w:rFonts w:asciiTheme="majorBidi" w:hAnsiTheme="majorBidi" w:cstheme="majorBidi"/>
          <w:sz w:val="24"/>
          <w:szCs w:val="24"/>
        </w:rPr>
        <w:t xml:space="preserve">g/L MCA, 5 </w:t>
      </w:r>
      <w:r w:rsidR="00E5751C" w:rsidRPr="003F535E">
        <w:rPr>
          <w:rFonts w:asciiTheme="majorBidi" w:hAnsiTheme="majorBidi" w:cstheme="majorBidi"/>
        </w:rPr>
        <w:t>µ</w:t>
      </w:r>
      <w:r w:rsidRPr="003F535E">
        <w:rPr>
          <w:rFonts w:asciiTheme="majorBidi" w:hAnsiTheme="majorBidi" w:cstheme="majorBidi"/>
          <w:sz w:val="24"/>
          <w:szCs w:val="24"/>
        </w:rPr>
        <w:t xml:space="preserve">g/L DBA and TCA, 3.5 </w:t>
      </w:r>
      <w:r w:rsidR="00E5751C" w:rsidRPr="003F535E">
        <w:rPr>
          <w:rFonts w:asciiTheme="majorBidi" w:hAnsiTheme="majorBidi" w:cstheme="majorBidi"/>
        </w:rPr>
        <w:t>µ</w:t>
      </w:r>
      <w:r w:rsidRPr="003F535E">
        <w:rPr>
          <w:rFonts w:asciiTheme="majorBidi" w:hAnsiTheme="majorBidi" w:cstheme="majorBidi"/>
          <w:sz w:val="24"/>
          <w:szCs w:val="24"/>
        </w:rPr>
        <w:t>g/L DCA, and 8.5</w:t>
      </w:r>
      <w:r w:rsidR="00E5751C" w:rsidRPr="003F535E">
        <w:rPr>
          <w:rFonts w:asciiTheme="majorBidi" w:hAnsiTheme="majorBidi" w:cstheme="majorBidi"/>
        </w:rPr>
        <w:t xml:space="preserve"> µ</w:t>
      </w:r>
      <w:r w:rsidRPr="003F535E">
        <w:rPr>
          <w:rFonts w:asciiTheme="majorBidi" w:hAnsiTheme="majorBidi" w:cstheme="majorBidi"/>
          <w:sz w:val="24"/>
          <w:szCs w:val="24"/>
        </w:rPr>
        <w:t>g/L MBA. For LLE sample pretreatment procedure, see Section 2.3. CZE separations were monitored by a UV detector operating at a 200 nm detection wavelength. The driving current was 250 and 100</w:t>
      </w:r>
      <w:r w:rsidR="00E5751C" w:rsidRPr="003F535E">
        <w:rPr>
          <w:rFonts w:asciiTheme="majorBidi" w:hAnsiTheme="majorBidi" w:cstheme="majorBidi"/>
          <w:sz w:val="24"/>
          <w:szCs w:val="24"/>
        </w:rPr>
        <w:t xml:space="preserve"> </w:t>
      </w:r>
      <w:r w:rsidR="00E5751C" w:rsidRPr="003F535E">
        <w:rPr>
          <w:rFonts w:asciiTheme="majorBidi" w:hAnsiTheme="majorBidi" w:cstheme="majorBidi"/>
        </w:rPr>
        <w:t>A</w:t>
      </w:r>
      <w:r w:rsidRPr="003F535E">
        <w:rPr>
          <w:rFonts w:asciiTheme="majorBidi" w:hAnsiTheme="majorBidi" w:cstheme="majorBidi"/>
          <w:sz w:val="24"/>
          <w:szCs w:val="24"/>
        </w:rPr>
        <w:t xml:space="preserve"> in the ITP and CZE stage, respectively. TE – terminating electrolyte. For analyte assignment, see Table S1.</w:t>
      </w:r>
    </w:p>
    <w:p w14:paraId="60F8925A" w14:textId="45102FED" w:rsidR="00552C47" w:rsidRPr="003F535E" w:rsidRDefault="00552C47" w:rsidP="00E5751C">
      <w:pPr>
        <w:rPr>
          <w:rFonts w:asciiTheme="majorBidi" w:hAnsiTheme="majorBidi" w:cstheme="majorBidi"/>
          <w:bCs/>
          <w:sz w:val="24"/>
          <w:szCs w:val="24"/>
          <w:lang w:val="en-GB"/>
        </w:rPr>
      </w:pPr>
      <w:r w:rsidRPr="003F535E">
        <w:rPr>
          <w:rFonts w:asciiTheme="majorBidi" w:hAnsiTheme="majorBidi" w:cstheme="majorBidi"/>
          <w:b/>
          <w:sz w:val="24"/>
          <w:szCs w:val="24"/>
          <w:lang w:val="en-GB"/>
        </w:rPr>
        <w:br w:type="page"/>
      </w:r>
      <w:r w:rsidRPr="003F535E">
        <w:rPr>
          <w:rFonts w:asciiTheme="majorBidi" w:hAnsiTheme="majorBidi" w:cstheme="majorBidi"/>
          <w:b/>
          <w:sz w:val="24"/>
          <w:szCs w:val="24"/>
          <w:lang w:val="en-GB"/>
        </w:rPr>
        <w:lastRenderedPageBreak/>
        <w:t xml:space="preserve">Table S1. </w:t>
      </w:r>
      <w:r w:rsidRPr="003F535E">
        <w:rPr>
          <w:rFonts w:asciiTheme="majorBidi" w:hAnsiTheme="majorBidi" w:cstheme="majorBidi"/>
          <w:bCs/>
          <w:sz w:val="24"/>
          <w:szCs w:val="24"/>
          <w:lang w:val="en-GB"/>
        </w:rPr>
        <w:t>Physicochemical properties of studied HAAs</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3"/>
        <w:gridCol w:w="1924"/>
        <w:gridCol w:w="1751"/>
        <w:gridCol w:w="2798"/>
      </w:tblGrid>
      <w:tr w:rsidR="00552C47" w:rsidRPr="003F535E" w14:paraId="229857AC" w14:textId="77777777" w:rsidTr="001A2EE2">
        <w:tc>
          <w:tcPr>
            <w:tcW w:w="1414" w:type="pct"/>
            <w:tcBorders>
              <w:top w:val="single" w:sz="4" w:space="0" w:color="auto"/>
              <w:bottom w:val="single" w:sz="4" w:space="0" w:color="auto"/>
            </w:tcBorders>
          </w:tcPr>
          <w:p w14:paraId="3B13694D" w14:textId="77777777" w:rsidR="00552C47" w:rsidRPr="003F535E" w:rsidRDefault="00552C47" w:rsidP="001A2EE2">
            <w:pPr>
              <w:autoSpaceDE w:val="0"/>
              <w:autoSpaceDN w:val="0"/>
              <w:adjustRightInd w:val="0"/>
              <w:spacing w:line="480" w:lineRule="auto"/>
              <w:jc w:val="both"/>
              <w:rPr>
                <w:rFonts w:asciiTheme="majorBidi" w:hAnsiTheme="majorBidi" w:cstheme="majorBidi"/>
                <w:bCs/>
                <w:sz w:val="24"/>
                <w:szCs w:val="24"/>
                <w:lang w:val="en-GB"/>
              </w:rPr>
            </w:pPr>
            <w:r w:rsidRPr="003F535E">
              <w:rPr>
                <w:rFonts w:asciiTheme="majorBidi" w:hAnsiTheme="majorBidi" w:cstheme="majorBidi"/>
                <w:bCs/>
                <w:sz w:val="24"/>
                <w:szCs w:val="24"/>
                <w:lang w:val="en-GB"/>
              </w:rPr>
              <w:t>Analyte</w:t>
            </w:r>
          </w:p>
        </w:tc>
        <w:tc>
          <w:tcPr>
            <w:tcW w:w="1066" w:type="pct"/>
            <w:tcBorders>
              <w:top w:val="single" w:sz="4" w:space="0" w:color="auto"/>
              <w:bottom w:val="single" w:sz="4" w:space="0" w:color="auto"/>
            </w:tcBorders>
          </w:tcPr>
          <w:p w14:paraId="72BB8A4F" w14:textId="77777777" w:rsidR="00552C47" w:rsidRPr="003F535E" w:rsidRDefault="00552C47" w:rsidP="001A2EE2">
            <w:pPr>
              <w:autoSpaceDE w:val="0"/>
              <w:autoSpaceDN w:val="0"/>
              <w:adjustRightInd w:val="0"/>
              <w:spacing w:line="480" w:lineRule="auto"/>
              <w:jc w:val="center"/>
              <w:rPr>
                <w:rFonts w:asciiTheme="majorBidi" w:hAnsiTheme="majorBidi" w:cstheme="majorBidi"/>
                <w:bCs/>
                <w:sz w:val="24"/>
                <w:szCs w:val="24"/>
                <w:lang w:val="en-GB"/>
              </w:rPr>
            </w:pPr>
            <w:r w:rsidRPr="003F535E">
              <w:rPr>
                <w:rFonts w:asciiTheme="majorBidi" w:hAnsiTheme="majorBidi" w:cstheme="majorBidi"/>
                <w:bCs/>
                <w:sz w:val="24"/>
                <w:szCs w:val="24"/>
                <w:lang w:val="en-GB"/>
              </w:rPr>
              <w:t>Abbreviation</w:t>
            </w:r>
          </w:p>
        </w:tc>
        <w:tc>
          <w:tcPr>
            <w:tcW w:w="970" w:type="pct"/>
            <w:tcBorders>
              <w:top w:val="single" w:sz="4" w:space="0" w:color="auto"/>
              <w:bottom w:val="single" w:sz="4" w:space="0" w:color="auto"/>
            </w:tcBorders>
          </w:tcPr>
          <w:p w14:paraId="1FB5E2A6" w14:textId="77777777" w:rsidR="00552C47" w:rsidRPr="003F535E" w:rsidRDefault="00552C47" w:rsidP="001A2EE2">
            <w:pPr>
              <w:autoSpaceDE w:val="0"/>
              <w:autoSpaceDN w:val="0"/>
              <w:adjustRightInd w:val="0"/>
              <w:spacing w:line="480" w:lineRule="auto"/>
              <w:jc w:val="center"/>
              <w:rPr>
                <w:rFonts w:asciiTheme="majorBidi" w:hAnsiTheme="majorBidi" w:cstheme="majorBidi"/>
                <w:bCs/>
                <w:sz w:val="24"/>
                <w:szCs w:val="24"/>
                <w:lang w:val="en-GB"/>
              </w:rPr>
            </w:pPr>
            <w:proofErr w:type="spellStart"/>
            <w:r w:rsidRPr="003F535E">
              <w:rPr>
                <w:rFonts w:asciiTheme="majorBidi" w:hAnsiTheme="majorBidi" w:cstheme="majorBidi"/>
                <w:bCs/>
                <w:sz w:val="24"/>
                <w:szCs w:val="24"/>
                <w:lang w:val="en-GB"/>
              </w:rPr>
              <w:t>pK</w:t>
            </w:r>
            <w:r w:rsidRPr="003F535E">
              <w:rPr>
                <w:rFonts w:asciiTheme="majorBidi" w:hAnsiTheme="majorBidi" w:cstheme="majorBidi"/>
                <w:bCs/>
                <w:sz w:val="24"/>
                <w:szCs w:val="24"/>
                <w:vertAlign w:val="subscript"/>
                <w:lang w:val="en-GB"/>
              </w:rPr>
              <w:t>a</w:t>
            </w:r>
            <w:proofErr w:type="spellEnd"/>
          </w:p>
        </w:tc>
        <w:tc>
          <w:tcPr>
            <w:tcW w:w="1550" w:type="pct"/>
            <w:tcBorders>
              <w:top w:val="single" w:sz="4" w:space="0" w:color="auto"/>
              <w:bottom w:val="single" w:sz="4" w:space="0" w:color="auto"/>
            </w:tcBorders>
          </w:tcPr>
          <w:p w14:paraId="1FC4CE27" w14:textId="77777777" w:rsidR="00552C47" w:rsidRPr="003F535E" w:rsidRDefault="00552C47" w:rsidP="001A2EE2">
            <w:pPr>
              <w:autoSpaceDE w:val="0"/>
              <w:autoSpaceDN w:val="0"/>
              <w:adjustRightInd w:val="0"/>
              <w:spacing w:line="480" w:lineRule="auto"/>
              <w:jc w:val="center"/>
              <w:rPr>
                <w:rFonts w:asciiTheme="majorBidi" w:hAnsiTheme="majorBidi" w:cstheme="majorBidi"/>
                <w:bCs/>
                <w:sz w:val="24"/>
                <w:szCs w:val="24"/>
                <w:lang w:val="en-GB"/>
              </w:rPr>
            </w:pPr>
            <w:r w:rsidRPr="003F535E">
              <w:rPr>
                <w:rFonts w:asciiTheme="majorBidi" w:hAnsiTheme="majorBidi" w:cstheme="majorBidi"/>
                <w:bCs/>
                <w:sz w:val="24"/>
                <w:szCs w:val="24"/>
                <w:lang w:val="en-GB"/>
              </w:rPr>
              <w:t>Absolute mobility</w:t>
            </w:r>
          </w:p>
          <w:p w14:paraId="5C256B75" w14:textId="77777777" w:rsidR="00552C47" w:rsidRPr="003F535E" w:rsidRDefault="00552C47" w:rsidP="001A2EE2">
            <w:pPr>
              <w:autoSpaceDE w:val="0"/>
              <w:autoSpaceDN w:val="0"/>
              <w:adjustRightInd w:val="0"/>
              <w:spacing w:line="480" w:lineRule="auto"/>
              <w:jc w:val="center"/>
              <w:rPr>
                <w:rFonts w:asciiTheme="majorBidi" w:hAnsiTheme="majorBidi" w:cstheme="majorBidi"/>
                <w:bCs/>
                <w:sz w:val="24"/>
                <w:szCs w:val="24"/>
                <w:lang w:val="en-GB"/>
              </w:rPr>
            </w:pPr>
            <w:r w:rsidRPr="003F535E">
              <w:rPr>
                <w:rFonts w:asciiTheme="majorBidi" w:hAnsiTheme="majorBidi" w:cstheme="majorBidi"/>
                <w:bCs/>
                <w:sz w:val="24"/>
                <w:szCs w:val="24"/>
                <w:lang w:val="en-GB"/>
              </w:rPr>
              <w:t>(10</w:t>
            </w:r>
            <w:r w:rsidRPr="003F535E">
              <w:rPr>
                <w:rFonts w:asciiTheme="majorBidi" w:hAnsiTheme="majorBidi" w:cstheme="majorBidi"/>
                <w:bCs/>
                <w:sz w:val="24"/>
                <w:szCs w:val="24"/>
                <w:vertAlign w:val="superscript"/>
                <w:lang w:val="en-GB"/>
              </w:rPr>
              <w:t>-9</w:t>
            </w:r>
            <w:r w:rsidRPr="003F535E">
              <w:rPr>
                <w:rFonts w:asciiTheme="majorBidi" w:hAnsiTheme="majorBidi" w:cstheme="majorBidi"/>
                <w:bCs/>
                <w:sz w:val="24"/>
                <w:szCs w:val="24"/>
                <w:lang w:val="en-GB"/>
              </w:rPr>
              <w:t>m</w:t>
            </w:r>
            <w:r w:rsidRPr="003F535E">
              <w:rPr>
                <w:rFonts w:asciiTheme="majorBidi" w:hAnsiTheme="majorBidi" w:cstheme="majorBidi"/>
                <w:bCs/>
                <w:sz w:val="24"/>
                <w:szCs w:val="24"/>
                <w:vertAlign w:val="superscript"/>
                <w:lang w:val="en-GB"/>
              </w:rPr>
              <w:t>2</w:t>
            </w:r>
            <w:r w:rsidRPr="003F535E">
              <w:rPr>
                <w:rFonts w:asciiTheme="majorBidi" w:hAnsiTheme="majorBidi" w:cstheme="majorBidi"/>
                <w:bCs/>
                <w:sz w:val="24"/>
                <w:szCs w:val="24"/>
                <w:lang w:val="en-GB"/>
              </w:rPr>
              <w:t>s</w:t>
            </w:r>
            <w:r w:rsidRPr="003F535E">
              <w:rPr>
                <w:rFonts w:asciiTheme="majorBidi" w:hAnsiTheme="majorBidi" w:cstheme="majorBidi"/>
                <w:bCs/>
                <w:sz w:val="24"/>
                <w:szCs w:val="24"/>
                <w:vertAlign w:val="superscript"/>
                <w:lang w:val="en-GB"/>
              </w:rPr>
              <w:t>-1</w:t>
            </w:r>
            <w:r w:rsidRPr="003F535E">
              <w:rPr>
                <w:rFonts w:asciiTheme="majorBidi" w:hAnsiTheme="majorBidi" w:cstheme="majorBidi"/>
                <w:bCs/>
                <w:sz w:val="24"/>
                <w:szCs w:val="24"/>
                <w:lang w:val="en-GB"/>
              </w:rPr>
              <w:t>V</w:t>
            </w:r>
            <w:r w:rsidRPr="003F535E">
              <w:rPr>
                <w:rFonts w:asciiTheme="majorBidi" w:hAnsiTheme="majorBidi" w:cstheme="majorBidi"/>
                <w:bCs/>
                <w:sz w:val="24"/>
                <w:szCs w:val="24"/>
                <w:vertAlign w:val="superscript"/>
                <w:lang w:val="en-GB"/>
              </w:rPr>
              <w:t>-1</w:t>
            </w:r>
            <w:r w:rsidRPr="003F535E">
              <w:rPr>
                <w:rFonts w:asciiTheme="majorBidi" w:hAnsiTheme="majorBidi" w:cstheme="majorBidi"/>
                <w:bCs/>
                <w:sz w:val="24"/>
                <w:szCs w:val="24"/>
                <w:lang w:val="en-GB"/>
              </w:rPr>
              <w:t>)</w:t>
            </w:r>
          </w:p>
        </w:tc>
      </w:tr>
      <w:tr w:rsidR="00552C47" w:rsidRPr="003F535E" w14:paraId="3D26F598" w14:textId="77777777" w:rsidTr="001A2EE2">
        <w:tc>
          <w:tcPr>
            <w:tcW w:w="1414" w:type="pct"/>
            <w:tcBorders>
              <w:top w:val="single" w:sz="4" w:space="0" w:color="auto"/>
            </w:tcBorders>
          </w:tcPr>
          <w:p w14:paraId="4968381A" w14:textId="77777777" w:rsidR="00552C47" w:rsidRPr="003F535E" w:rsidRDefault="00552C47" w:rsidP="001A2EE2">
            <w:pPr>
              <w:autoSpaceDE w:val="0"/>
              <w:autoSpaceDN w:val="0"/>
              <w:adjustRightInd w:val="0"/>
              <w:spacing w:line="480" w:lineRule="auto"/>
              <w:jc w:val="both"/>
              <w:rPr>
                <w:rFonts w:asciiTheme="majorBidi" w:hAnsiTheme="majorBidi" w:cstheme="majorBidi"/>
                <w:sz w:val="24"/>
                <w:szCs w:val="24"/>
                <w:lang w:val="en-GB"/>
              </w:rPr>
            </w:pPr>
            <w:bookmarkStart w:id="0" w:name="_Hlk193033488"/>
            <w:r w:rsidRPr="003F535E">
              <w:rPr>
                <w:rFonts w:asciiTheme="majorBidi" w:hAnsiTheme="majorBidi" w:cstheme="majorBidi"/>
                <w:sz w:val="24"/>
                <w:szCs w:val="24"/>
                <w:lang w:val="en-GB"/>
              </w:rPr>
              <w:t>Monochloroacetic acid</w:t>
            </w:r>
          </w:p>
        </w:tc>
        <w:tc>
          <w:tcPr>
            <w:tcW w:w="1066" w:type="pct"/>
            <w:tcBorders>
              <w:top w:val="single" w:sz="4" w:space="0" w:color="auto"/>
            </w:tcBorders>
          </w:tcPr>
          <w:p w14:paraId="3E3D1663"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MCA</w:t>
            </w:r>
          </w:p>
        </w:tc>
        <w:tc>
          <w:tcPr>
            <w:tcW w:w="970" w:type="pct"/>
            <w:tcBorders>
              <w:top w:val="single" w:sz="4" w:space="0" w:color="auto"/>
            </w:tcBorders>
          </w:tcPr>
          <w:p w14:paraId="48909EBE"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2.87</w:t>
            </w:r>
            <w:r w:rsidRPr="003F535E">
              <w:rPr>
                <w:rFonts w:asciiTheme="majorBidi" w:hAnsiTheme="majorBidi" w:cstheme="majorBidi"/>
                <w:sz w:val="24"/>
                <w:szCs w:val="24"/>
                <w:vertAlign w:val="superscript"/>
                <w:lang w:val="en-GB"/>
              </w:rPr>
              <w:t>a</w:t>
            </w:r>
          </w:p>
        </w:tc>
        <w:tc>
          <w:tcPr>
            <w:tcW w:w="1550" w:type="pct"/>
            <w:tcBorders>
              <w:top w:val="single" w:sz="4" w:space="0" w:color="auto"/>
            </w:tcBorders>
          </w:tcPr>
          <w:p w14:paraId="6F26C380"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43.7</w:t>
            </w:r>
            <w:r w:rsidRPr="003F535E">
              <w:rPr>
                <w:rFonts w:asciiTheme="majorBidi" w:hAnsiTheme="majorBidi" w:cstheme="majorBidi"/>
                <w:sz w:val="24"/>
                <w:szCs w:val="24"/>
                <w:vertAlign w:val="superscript"/>
                <w:lang w:val="en-GB"/>
              </w:rPr>
              <w:t>a</w:t>
            </w:r>
          </w:p>
        </w:tc>
      </w:tr>
      <w:tr w:rsidR="00552C47" w:rsidRPr="003F535E" w14:paraId="69223BC2" w14:textId="77777777" w:rsidTr="001A2EE2">
        <w:tc>
          <w:tcPr>
            <w:tcW w:w="1414" w:type="pct"/>
          </w:tcPr>
          <w:p w14:paraId="1AA897DF" w14:textId="77777777" w:rsidR="00552C47" w:rsidRPr="003F535E" w:rsidRDefault="00552C47" w:rsidP="001A2EE2">
            <w:pPr>
              <w:autoSpaceDE w:val="0"/>
              <w:autoSpaceDN w:val="0"/>
              <w:adjustRightInd w:val="0"/>
              <w:spacing w:line="480" w:lineRule="auto"/>
              <w:jc w:val="both"/>
              <w:rPr>
                <w:rFonts w:asciiTheme="majorBidi" w:hAnsiTheme="majorBidi" w:cstheme="majorBidi"/>
                <w:sz w:val="24"/>
                <w:szCs w:val="24"/>
                <w:lang w:val="en-GB"/>
              </w:rPr>
            </w:pPr>
            <w:r w:rsidRPr="003F535E">
              <w:rPr>
                <w:rFonts w:asciiTheme="majorBidi" w:hAnsiTheme="majorBidi" w:cstheme="majorBidi"/>
                <w:sz w:val="24"/>
                <w:szCs w:val="24"/>
                <w:lang w:val="en-GB"/>
              </w:rPr>
              <w:t>Dichloroacetic acid</w:t>
            </w:r>
          </w:p>
        </w:tc>
        <w:tc>
          <w:tcPr>
            <w:tcW w:w="1066" w:type="pct"/>
          </w:tcPr>
          <w:p w14:paraId="50D6FCB5"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DCA</w:t>
            </w:r>
          </w:p>
        </w:tc>
        <w:tc>
          <w:tcPr>
            <w:tcW w:w="970" w:type="pct"/>
          </w:tcPr>
          <w:p w14:paraId="62A99C85"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1.26</w:t>
            </w:r>
            <w:r w:rsidRPr="003F535E">
              <w:rPr>
                <w:rFonts w:asciiTheme="majorBidi" w:hAnsiTheme="majorBidi" w:cstheme="majorBidi"/>
                <w:sz w:val="24"/>
                <w:szCs w:val="24"/>
                <w:vertAlign w:val="superscript"/>
                <w:lang w:val="en-GB"/>
              </w:rPr>
              <w:t>a</w:t>
            </w:r>
          </w:p>
        </w:tc>
        <w:tc>
          <w:tcPr>
            <w:tcW w:w="1550" w:type="pct"/>
          </w:tcPr>
          <w:p w14:paraId="1FE68252"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39.7</w:t>
            </w:r>
            <w:r w:rsidRPr="003F535E">
              <w:rPr>
                <w:rFonts w:asciiTheme="majorBidi" w:hAnsiTheme="majorBidi" w:cstheme="majorBidi"/>
                <w:sz w:val="24"/>
                <w:szCs w:val="24"/>
                <w:vertAlign w:val="superscript"/>
                <w:lang w:val="en-GB"/>
              </w:rPr>
              <w:t>a</w:t>
            </w:r>
          </w:p>
        </w:tc>
      </w:tr>
      <w:tr w:rsidR="00552C47" w:rsidRPr="003F535E" w14:paraId="1ECEBD59" w14:textId="77777777" w:rsidTr="001A2EE2">
        <w:tc>
          <w:tcPr>
            <w:tcW w:w="1414" w:type="pct"/>
          </w:tcPr>
          <w:p w14:paraId="615B759D" w14:textId="77777777" w:rsidR="00552C47" w:rsidRPr="003F535E" w:rsidRDefault="00552C47" w:rsidP="001A2EE2">
            <w:pPr>
              <w:autoSpaceDE w:val="0"/>
              <w:autoSpaceDN w:val="0"/>
              <w:adjustRightInd w:val="0"/>
              <w:spacing w:line="480" w:lineRule="auto"/>
              <w:jc w:val="both"/>
              <w:rPr>
                <w:rFonts w:asciiTheme="majorBidi" w:hAnsiTheme="majorBidi" w:cstheme="majorBidi"/>
                <w:sz w:val="24"/>
                <w:szCs w:val="24"/>
                <w:lang w:val="en-GB"/>
              </w:rPr>
            </w:pPr>
            <w:r w:rsidRPr="003F535E">
              <w:rPr>
                <w:rFonts w:asciiTheme="majorBidi" w:hAnsiTheme="majorBidi" w:cstheme="majorBidi"/>
                <w:sz w:val="24"/>
                <w:szCs w:val="24"/>
                <w:lang w:val="en-GB"/>
              </w:rPr>
              <w:t>Trichloroacetic acid</w:t>
            </w:r>
          </w:p>
        </w:tc>
        <w:tc>
          <w:tcPr>
            <w:tcW w:w="1066" w:type="pct"/>
          </w:tcPr>
          <w:p w14:paraId="0CBBF6B5"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TCA</w:t>
            </w:r>
          </w:p>
        </w:tc>
        <w:tc>
          <w:tcPr>
            <w:tcW w:w="970" w:type="pct"/>
          </w:tcPr>
          <w:p w14:paraId="21F43C19"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0.51</w:t>
            </w:r>
            <w:r w:rsidRPr="003F535E">
              <w:rPr>
                <w:rFonts w:asciiTheme="majorBidi" w:hAnsiTheme="majorBidi" w:cstheme="majorBidi"/>
                <w:sz w:val="24"/>
                <w:szCs w:val="24"/>
                <w:vertAlign w:val="superscript"/>
                <w:lang w:val="en-GB"/>
              </w:rPr>
              <w:t>a</w:t>
            </w:r>
          </w:p>
        </w:tc>
        <w:tc>
          <w:tcPr>
            <w:tcW w:w="1550" w:type="pct"/>
          </w:tcPr>
          <w:p w14:paraId="31B2435B"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37.9</w:t>
            </w:r>
            <w:r w:rsidRPr="003F535E">
              <w:rPr>
                <w:rFonts w:asciiTheme="majorBidi" w:hAnsiTheme="majorBidi" w:cstheme="majorBidi"/>
                <w:sz w:val="24"/>
                <w:szCs w:val="24"/>
                <w:vertAlign w:val="superscript"/>
                <w:lang w:val="en-GB"/>
              </w:rPr>
              <w:t>a</w:t>
            </w:r>
          </w:p>
        </w:tc>
      </w:tr>
      <w:tr w:rsidR="00552C47" w:rsidRPr="003F535E" w14:paraId="128A5E19" w14:textId="77777777" w:rsidTr="001A2EE2">
        <w:tc>
          <w:tcPr>
            <w:tcW w:w="1414" w:type="pct"/>
          </w:tcPr>
          <w:p w14:paraId="7C42B726" w14:textId="77777777" w:rsidR="00552C47" w:rsidRPr="003F535E" w:rsidRDefault="00552C47" w:rsidP="001A2EE2">
            <w:pPr>
              <w:autoSpaceDE w:val="0"/>
              <w:autoSpaceDN w:val="0"/>
              <w:adjustRightInd w:val="0"/>
              <w:spacing w:line="480" w:lineRule="auto"/>
              <w:jc w:val="both"/>
              <w:rPr>
                <w:rFonts w:asciiTheme="majorBidi" w:hAnsiTheme="majorBidi" w:cstheme="majorBidi"/>
                <w:sz w:val="24"/>
                <w:szCs w:val="24"/>
                <w:lang w:val="en-GB"/>
              </w:rPr>
            </w:pPr>
            <w:proofErr w:type="spellStart"/>
            <w:r w:rsidRPr="003F535E">
              <w:rPr>
                <w:rFonts w:asciiTheme="majorBidi" w:hAnsiTheme="majorBidi" w:cstheme="majorBidi"/>
                <w:sz w:val="24"/>
                <w:szCs w:val="24"/>
                <w:lang w:val="en-GB"/>
              </w:rPr>
              <w:t>Monobromoacetic</w:t>
            </w:r>
            <w:proofErr w:type="spellEnd"/>
            <w:r w:rsidRPr="003F535E">
              <w:rPr>
                <w:rFonts w:asciiTheme="majorBidi" w:hAnsiTheme="majorBidi" w:cstheme="majorBidi"/>
                <w:sz w:val="24"/>
                <w:szCs w:val="24"/>
                <w:lang w:val="en-GB"/>
              </w:rPr>
              <w:t xml:space="preserve"> acid</w:t>
            </w:r>
          </w:p>
        </w:tc>
        <w:tc>
          <w:tcPr>
            <w:tcW w:w="1066" w:type="pct"/>
          </w:tcPr>
          <w:p w14:paraId="2679395F"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MBA</w:t>
            </w:r>
          </w:p>
        </w:tc>
        <w:tc>
          <w:tcPr>
            <w:tcW w:w="970" w:type="pct"/>
          </w:tcPr>
          <w:p w14:paraId="139AC210"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2.89</w:t>
            </w:r>
            <w:r w:rsidRPr="003F535E">
              <w:rPr>
                <w:rFonts w:asciiTheme="majorBidi" w:hAnsiTheme="majorBidi" w:cstheme="majorBidi"/>
                <w:sz w:val="24"/>
                <w:szCs w:val="24"/>
                <w:vertAlign w:val="superscript"/>
                <w:lang w:val="en-GB"/>
              </w:rPr>
              <w:t>a</w:t>
            </w:r>
          </w:p>
        </w:tc>
        <w:tc>
          <w:tcPr>
            <w:tcW w:w="1550" w:type="pct"/>
          </w:tcPr>
          <w:p w14:paraId="33139D68"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40.6</w:t>
            </w:r>
            <w:r w:rsidRPr="003F535E">
              <w:rPr>
                <w:rFonts w:asciiTheme="majorBidi" w:hAnsiTheme="majorBidi" w:cstheme="majorBidi"/>
                <w:sz w:val="24"/>
                <w:szCs w:val="24"/>
                <w:vertAlign w:val="superscript"/>
                <w:lang w:val="en-GB"/>
              </w:rPr>
              <w:t>a</w:t>
            </w:r>
          </w:p>
        </w:tc>
      </w:tr>
      <w:tr w:rsidR="00552C47" w:rsidRPr="003F535E" w14:paraId="75CBDF52" w14:textId="77777777" w:rsidTr="001A2EE2">
        <w:tc>
          <w:tcPr>
            <w:tcW w:w="1414" w:type="pct"/>
            <w:tcBorders>
              <w:bottom w:val="single" w:sz="4" w:space="0" w:color="auto"/>
            </w:tcBorders>
          </w:tcPr>
          <w:p w14:paraId="6148AB37" w14:textId="77777777" w:rsidR="00552C47" w:rsidRPr="003F535E" w:rsidRDefault="00552C47" w:rsidP="001A2EE2">
            <w:pPr>
              <w:autoSpaceDE w:val="0"/>
              <w:autoSpaceDN w:val="0"/>
              <w:adjustRightInd w:val="0"/>
              <w:spacing w:line="480" w:lineRule="auto"/>
              <w:jc w:val="both"/>
              <w:rPr>
                <w:rFonts w:asciiTheme="majorBidi" w:hAnsiTheme="majorBidi" w:cstheme="majorBidi"/>
                <w:sz w:val="24"/>
                <w:szCs w:val="24"/>
                <w:lang w:val="en-GB"/>
              </w:rPr>
            </w:pPr>
            <w:proofErr w:type="spellStart"/>
            <w:r w:rsidRPr="003F535E">
              <w:rPr>
                <w:rFonts w:asciiTheme="majorBidi" w:hAnsiTheme="majorBidi" w:cstheme="majorBidi"/>
                <w:sz w:val="24"/>
                <w:szCs w:val="24"/>
                <w:lang w:val="en-GB"/>
              </w:rPr>
              <w:t>Dibromoacetic</w:t>
            </w:r>
            <w:proofErr w:type="spellEnd"/>
            <w:r w:rsidRPr="003F535E">
              <w:rPr>
                <w:rFonts w:asciiTheme="majorBidi" w:hAnsiTheme="majorBidi" w:cstheme="majorBidi"/>
                <w:sz w:val="24"/>
                <w:szCs w:val="24"/>
                <w:lang w:val="en-GB"/>
              </w:rPr>
              <w:t xml:space="preserve"> acid</w:t>
            </w:r>
          </w:p>
        </w:tc>
        <w:tc>
          <w:tcPr>
            <w:tcW w:w="1066" w:type="pct"/>
            <w:tcBorders>
              <w:bottom w:val="single" w:sz="4" w:space="0" w:color="auto"/>
            </w:tcBorders>
          </w:tcPr>
          <w:p w14:paraId="3BDD376B"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DBA</w:t>
            </w:r>
          </w:p>
        </w:tc>
        <w:tc>
          <w:tcPr>
            <w:tcW w:w="970" w:type="pct"/>
            <w:tcBorders>
              <w:bottom w:val="single" w:sz="4" w:space="0" w:color="auto"/>
            </w:tcBorders>
          </w:tcPr>
          <w:p w14:paraId="30A3E6ED"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1.47</w:t>
            </w:r>
            <w:r w:rsidRPr="003F535E">
              <w:rPr>
                <w:rFonts w:asciiTheme="majorBidi" w:hAnsiTheme="majorBidi" w:cstheme="majorBidi"/>
                <w:sz w:val="24"/>
                <w:szCs w:val="24"/>
                <w:vertAlign w:val="superscript"/>
                <w:lang w:val="en-GB"/>
              </w:rPr>
              <w:t>b</w:t>
            </w:r>
          </w:p>
        </w:tc>
        <w:tc>
          <w:tcPr>
            <w:tcW w:w="1550" w:type="pct"/>
            <w:tcBorders>
              <w:bottom w:val="single" w:sz="4" w:space="0" w:color="auto"/>
            </w:tcBorders>
          </w:tcPr>
          <w:p w14:paraId="1ADEF0E2" w14:textId="77777777" w:rsidR="00552C47" w:rsidRPr="003F535E" w:rsidRDefault="00552C47" w:rsidP="001A2EE2">
            <w:pPr>
              <w:autoSpaceDE w:val="0"/>
              <w:autoSpaceDN w:val="0"/>
              <w:adjustRightInd w:val="0"/>
              <w:spacing w:line="480" w:lineRule="auto"/>
              <w:jc w:val="center"/>
              <w:rPr>
                <w:rFonts w:asciiTheme="majorBidi" w:hAnsiTheme="majorBidi" w:cstheme="majorBidi"/>
                <w:sz w:val="24"/>
                <w:szCs w:val="24"/>
                <w:lang w:val="en-GB"/>
              </w:rPr>
            </w:pPr>
            <w:r w:rsidRPr="003F535E">
              <w:rPr>
                <w:rFonts w:asciiTheme="majorBidi" w:hAnsiTheme="majorBidi" w:cstheme="majorBidi"/>
                <w:sz w:val="24"/>
                <w:szCs w:val="24"/>
                <w:lang w:val="en-GB"/>
              </w:rPr>
              <w:t>-</w:t>
            </w:r>
          </w:p>
        </w:tc>
      </w:tr>
    </w:tbl>
    <w:bookmarkEnd w:id="0"/>
    <w:p w14:paraId="6CBAE3DB" w14:textId="168B2074" w:rsidR="00552C47" w:rsidRPr="003F535E" w:rsidRDefault="00552C47" w:rsidP="00E141FB">
      <w:pPr>
        <w:spacing w:line="480" w:lineRule="auto"/>
        <w:jc w:val="both"/>
        <w:rPr>
          <w:rFonts w:asciiTheme="majorBidi" w:hAnsiTheme="majorBidi" w:cstheme="majorBidi"/>
          <w:sz w:val="24"/>
          <w:szCs w:val="24"/>
          <w:lang w:val="en-GB"/>
        </w:rPr>
        <w:sectPr w:rsidR="00552C47" w:rsidRPr="003F535E" w:rsidSect="002D423F">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1906" w:h="16838"/>
          <w:pgMar w:top="1440" w:right="1440" w:bottom="1440" w:left="1440" w:header="709" w:footer="709" w:gutter="0"/>
          <w:cols w:space="708"/>
          <w:docGrid w:linePitch="360"/>
        </w:sectPr>
      </w:pPr>
      <w:r w:rsidRPr="003F535E">
        <w:rPr>
          <w:rFonts w:asciiTheme="majorBidi" w:hAnsiTheme="majorBidi" w:cstheme="majorBidi"/>
          <w:sz w:val="24"/>
          <w:szCs w:val="24"/>
          <w:lang w:val="en-GB"/>
        </w:rPr>
        <w:t xml:space="preserve">Data were taken from </w:t>
      </w:r>
      <w:proofErr w:type="gramStart"/>
      <w:r w:rsidRPr="003F535E">
        <w:rPr>
          <w:rFonts w:asciiTheme="majorBidi" w:hAnsiTheme="majorBidi" w:cstheme="majorBidi"/>
          <w:sz w:val="24"/>
          <w:szCs w:val="24"/>
          <w:vertAlign w:val="superscript"/>
          <w:lang w:val="en-GB"/>
        </w:rPr>
        <w:t>a</w:t>
      </w:r>
      <w:r w:rsidRPr="003F535E">
        <w:rPr>
          <w:rFonts w:asciiTheme="majorBidi" w:hAnsiTheme="majorBidi" w:cstheme="majorBidi"/>
          <w:sz w:val="24"/>
          <w:szCs w:val="24"/>
          <w:lang w:val="en-GB"/>
        </w:rPr>
        <w:t>[</w:t>
      </w:r>
      <w:proofErr w:type="gramEnd"/>
      <w:r w:rsidR="00FD1B82">
        <w:rPr>
          <w:rFonts w:asciiTheme="majorBidi" w:hAnsiTheme="majorBidi" w:cstheme="majorBidi"/>
          <w:sz w:val="24"/>
          <w:szCs w:val="24"/>
          <w:lang w:val="en-GB"/>
        </w:rPr>
        <w:t>28</w:t>
      </w:r>
      <w:r w:rsidRPr="003F535E">
        <w:rPr>
          <w:rFonts w:asciiTheme="majorBidi" w:hAnsiTheme="majorBidi" w:cstheme="majorBidi"/>
          <w:sz w:val="24"/>
          <w:szCs w:val="24"/>
          <w:lang w:val="en-GB"/>
        </w:rPr>
        <w:t xml:space="preserve">] and </w:t>
      </w:r>
      <w:proofErr w:type="gramStart"/>
      <w:r w:rsidRPr="003F535E">
        <w:rPr>
          <w:rFonts w:asciiTheme="majorBidi" w:hAnsiTheme="majorBidi" w:cstheme="majorBidi"/>
          <w:sz w:val="24"/>
          <w:szCs w:val="24"/>
          <w:vertAlign w:val="superscript"/>
          <w:lang w:val="en-GB"/>
        </w:rPr>
        <w:t>b</w:t>
      </w:r>
      <w:r w:rsidRPr="003F535E">
        <w:rPr>
          <w:rFonts w:asciiTheme="majorBidi" w:hAnsiTheme="majorBidi" w:cstheme="majorBidi"/>
          <w:sz w:val="24"/>
          <w:szCs w:val="24"/>
          <w:lang w:val="en-GB"/>
        </w:rPr>
        <w:t>[</w:t>
      </w:r>
      <w:proofErr w:type="gramEnd"/>
      <w:r w:rsidR="00FD1B82">
        <w:rPr>
          <w:rFonts w:asciiTheme="majorBidi" w:hAnsiTheme="majorBidi" w:cstheme="majorBidi"/>
          <w:sz w:val="24"/>
          <w:szCs w:val="24"/>
          <w:lang w:val="en-GB"/>
        </w:rPr>
        <w:t>29</w:t>
      </w:r>
      <w:r w:rsidRPr="003F535E">
        <w:rPr>
          <w:rFonts w:asciiTheme="majorBidi" w:hAnsiTheme="majorBidi" w:cstheme="majorBidi"/>
          <w:sz w:val="24"/>
          <w:szCs w:val="24"/>
          <w:lang w:val="en-GB"/>
        </w:rPr>
        <w:t>].</w:t>
      </w:r>
    </w:p>
    <w:p w14:paraId="58C44BE8" w14:textId="5054B77B" w:rsidR="00552C47" w:rsidRPr="003F535E" w:rsidRDefault="00552C47" w:rsidP="00552C47">
      <w:pPr>
        <w:spacing w:before="100" w:beforeAutospacing="1" w:line="360" w:lineRule="auto"/>
        <w:outlineLvl w:val="2"/>
        <w:rPr>
          <w:rFonts w:asciiTheme="majorBidi" w:hAnsiTheme="majorBidi" w:cstheme="majorBidi"/>
          <w:bCs/>
          <w:sz w:val="24"/>
          <w:szCs w:val="24"/>
          <w:lang w:val="en-GB"/>
        </w:rPr>
      </w:pPr>
      <w:r w:rsidRPr="003F535E">
        <w:rPr>
          <w:rFonts w:asciiTheme="majorBidi" w:hAnsiTheme="majorBidi" w:cstheme="majorBidi"/>
          <w:b/>
          <w:sz w:val="24"/>
          <w:szCs w:val="24"/>
          <w:lang w:val="en-GB"/>
        </w:rPr>
        <w:lastRenderedPageBreak/>
        <w:t>Table S2.</w:t>
      </w:r>
      <w:r w:rsidRPr="003F535E">
        <w:rPr>
          <w:rFonts w:asciiTheme="majorBidi" w:hAnsiTheme="majorBidi" w:cstheme="majorBidi"/>
          <w:bCs/>
          <w:sz w:val="24"/>
          <w:szCs w:val="24"/>
          <w:lang w:val="en-GB"/>
        </w:rPr>
        <w:t xml:space="preserve"> Comparison of suggested LLE/ITP-CZE method by similar research</w:t>
      </w:r>
    </w:p>
    <w:tbl>
      <w:tblPr>
        <w:tblStyle w:val="Mriekatabuky"/>
        <w:tblW w:w="14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330"/>
        <w:gridCol w:w="2430"/>
        <w:gridCol w:w="2160"/>
        <w:gridCol w:w="1440"/>
        <w:gridCol w:w="1128"/>
      </w:tblGrid>
      <w:tr w:rsidR="00552C47" w:rsidRPr="003F535E" w14:paraId="1ED0385F" w14:textId="77777777" w:rsidTr="00082A68">
        <w:tc>
          <w:tcPr>
            <w:tcW w:w="3600" w:type="dxa"/>
            <w:tcBorders>
              <w:top w:val="single" w:sz="4" w:space="0" w:color="auto"/>
              <w:bottom w:val="single" w:sz="4" w:space="0" w:color="auto"/>
            </w:tcBorders>
          </w:tcPr>
          <w:p w14:paraId="7DA0ED27" w14:textId="77777777" w:rsidR="00552C47" w:rsidRPr="003F535E" w:rsidRDefault="00552C47" w:rsidP="001A2EE2">
            <w:pPr>
              <w:spacing w:before="100" w:beforeAutospacing="1" w:after="100" w:afterAutospacing="1" w:line="360" w:lineRule="auto"/>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 xml:space="preserve">Sample matrix </w:t>
            </w:r>
          </w:p>
        </w:tc>
        <w:tc>
          <w:tcPr>
            <w:tcW w:w="3330" w:type="dxa"/>
            <w:tcBorders>
              <w:top w:val="single" w:sz="4" w:space="0" w:color="auto"/>
              <w:bottom w:val="single" w:sz="4" w:space="0" w:color="auto"/>
            </w:tcBorders>
          </w:tcPr>
          <w:p w14:paraId="21B6E443" w14:textId="77777777" w:rsidR="00552C47" w:rsidRPr="003F535E" w:rsidRDefault="00552C47" w:rsidP="001A2EE2">
            <w:pPr>
              <w:spacing w:before="100" w:beforeAutospacing="1" w:after="100" w:afterAutospacing="1" w:line="360" w:lineRule="auto"/>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Preconcentration method</w:t>
            </w:r>
          </w:p>
        </w:tc>
        <w:tc>
          <w:tcPr>
            <w:tcW w:w="2430" w:type="dxa"/>
            <w:tcBorders>
              <w:top w:val="single" w:sz="4" w:space="0" w:color="auto"/>
              <w:bottom w:val="single" w:sz="4" w:space="0" w:color="auto"/>
            </w:tcBorders>
          </w:tcPr>
          <w:p w14:paraId="005F91D2" w14:textId="77777777" w:rsidR="00552C47" w:rsidRPr="003F535E" w:rsidRDefault="00552C47" w:rsidP="00516219">
            <w:pPr>
              <w:spacing w:before="100" w:beforeAutospacing="1" w:after="100" w:afterAutospacing="1" w:line="360" w:lineRule="auto"/>
              <w:jc w:val="both"/>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Instrument</w:t>
            </w:r>
          </w:p>
        </w:tc>
        <w:tc>
          <w:tcPr>
            <w:tcW w:w="2160" w:type="dxa"/>
            <w:tcBorders>
              <w:top w:val="single" w:sz="4" w:space="0" w:color="auto"/>
              <w:bottom w:val="single" w:sz="4" w:space="0" w:color="auto"/>
            </w:tcBorders>
          </w:tcPr>
          <w:p w14:paraId="6D69D098" w14:textId="77777777" w:rsidR="00552C47" w:rsidRPr="003F535E" w:rsidRDefault="00552C47" w:rsidP="001A2EE2">
            <w:pPr>
              <w:spacing w:before="100" w:beforeAutospacing="1" w:after="100" w:afterAutospacing="1" w:line="360" w:lineRule="auto"/>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Linear range (</w:t>
            </w:r>
            <w:proofErr w:type="spellStart"/>
            <w:r w:rsidRPr="003F535E">
              <w:rPr>
                <w:rFonts w:asciiTheme="majorBidi" w:hAnsiTheme="majorBidi" w:cstheme="majorBidi"/>
                <w:b/>
                <w:sz w:val="22"/>
                <w:szCs w:val="22"/>
                <w:lang w:val="en-GB"/>
              </w:rPr>
              <w:t>μg</w:t>
            </w:r>
            <w:proofErr w:type="spellEnd"/>
            <w:r w:rsidRPr="003F535E">
              <w:rPr>
                <w:rFonts w:asciiTheme="majorBidi" w:hAnsiTheme="majorBidi" w:cstheme="majorBidi"/>
                <w:b/>
                <w:sz w:val="22"/>
                <w:szCs w:val="22"/>
                <w:lang w:val="en-GB"/>
              </w:rPr>
              <w:t>/L)</w:t>
            </w:r>
          </w:p>
        </w:tc>
        <w:tc>
          <w:tcPr>
            <w:tcW w:w="1440" w:type="dxa"/>
            <w:tcBorders>
              <w:top w:val="single" w:sz="4" w:space="0" w:color="auto"/>
              <w:bottom w:val="single" w:sz="4" w:space="0" w:color="auto"/>
            </w:tcBorders>
          </w:tcPr>
          <w:p w14:paraId="0F7456FA" w14:textId="77777777" w:rsidR="00552C47" w:rsidRPr="003F535E" w:rsidRDefault="00552C47" w:rsidP="001A2EE2">
            <w:pPr>
              <w:spacing w:before="100" w:beforeAutospacing="1" w:after="100" w:afterAutospacing="1" w:line="360" w:lineRule="auto"/>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LOD (</w:t>
            </w:r>
            <w:proofErr w:type="spellStart"/>
            <w:r w:rsidRPr="003F535E">
              <w:rPr>
                <w:rFonts w:asciiTheme="majorBidi" w:hAnsiTheme="majorBidi" w:cstheme="majorBidi"/>
                <w:b/>
                <w:sz w:val="22"/>
                <w:szCs w:val="22"/>
                <w:lang w:val="en-GB"/>
              </w:rPr>
              <w:t>μg</w:t>
            </w:r>
            <w:proofErr w:type="spellEnd"/>
            <w:r w:rsidRPr="003F535E">
              <w:rPr>
                <w:rFonts w:asciiTheme="majorBidi" w:hAnsiTheme="majorBidi" w:cstheme="majorBidi"/>
                <w:b/>
                <w:sz w:val="22"/>
                <w:szCs w:val="22"/>
                <w:lang w:val="en-GB"/>
              </w:rPr>
              <w:t xml:space="preserve">/L) </w:t>
            </w:r>
          </w:p>
        </w:tc>
        <w:tc>
          <w:tcPr>
            <w:tcW w:w="1128" w:type="dxa"/>
            <w:tcBorders>
              <w:top w:val="single" w:sz="4" w:space="0" w:color="auto"/>
              <w:bottom w:val="single" w:sz="4" w:space="0" w:color="auto"/>
            </w:tcBorders>
          </w:tcPr>
          <w:p w14:paraId="7D396B24" w14:textId="77777777" w:rsidR="00552C47" w:rsidRPr="003F535E" w:rsidRDefault="00552C47" w:rsidP="001A2EE2">
            <w:pPr>
              <w:spacing w:before="100" w:beforeAutospacing="1" w:after="100" w:afterAutospacing="1" w:line="360" w:lineRule="auto"/>
              <w:outlineLvl w:val="2"/>
              <w:rPr>
                <w:rFonts w:asciiTheme="majorBidi" w:hAnsiTheme="majorBidi" w:cstheme="majorBidi"/>
                <w:b/>
                <w:sz w:val="22"/>
                <w:szCs w:val="22"/>
                <w:lang w:val="en-GB"/>
              </w:rPr>
            </w:pPr>
            <w:r w:rsidRPr="003F535E">
              <w:rPr>
                <w:rFonts w:asciiTheme="majorBidi" w:hAnsiTheme="majorBidi" w:cstheme="majorBidi"/>
                <w:b/>
                <w:sz w:val="22"/>
                <w:szCs w:val="22"/>
                <w:lang w:val="en-GB"/>
              </w:rPr>
              <w:t>Ref.</w:t>
            </w:r>
          </w:p>
        </w:tc>
      </w:tr>
      <w:tr w:rsidR="000C6BFB" w:rsidRPr="003F535E" w14:paraId="2FBB7E00" w14:textId="77777777" w:rsidTr="00082A68">
        <w:tc>
          <w:tcPr>
            <w:tcW w:w="3600" w:type="dxa"/>
            <w:tcBorders>
              <w:top w:val="single" w:sz="4" w:space="0" w:color="auto"/>
            </w:tcBorders>
          </w:tcPr>
          <w:p w14:paraId="26D27EB0" w14:textId="6FCB4CB7"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Drinking water</w:t>
            </w:r>
          </w:p>
        </w:tc>
        <w:tc>
          <w:tcPr>
            <w:tcW w:w="3330" w:type="dxa"/>
            <w:tcBorders>
              <w:top w:val="single" w:sz="4" w:space="0" w:color="auto"/>
            </w:tcBorders>
          </w:tcPr>
          <w:p w14:paraId="7452DD15" w14:textId="654AFA12"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 xml:space="preserve">Supported </w:t>
            </w:r>
            <w:proofErr w:type="spellStart"/>
            <w:r w:rsidRPr="003F535E">
              <w:rPr>
                <w:rFonts w:asciiTheme="majorBidi" w:hAnsiTheme="majorBidi" w:cstheme="majorBidi"/>
                <w:bCs/>
                <w:sz w:val="22"/>
                <w:szCs w:val="22"/>
                <w:lang w:val="en-US"/>
              </w:rPr>
              <w:t>electromembrane</w:t>
            </w:r>
            <w:proofErr w:type="spellEnd"/>
          </w:p>
        </w:tc>
        <w:tc>
          <w:tcPr>
            <w:tcW w:w="2430" w:type="dxa"/>
            <w:tcBorders>
              <w:top w:val="single" w:sz="4" w:space="0" w:color="auto"/>
            </w:tcBorders>
          </w:tcPr>
          <w:p w14:paraId="29F86E59" w14:textId="08686C78" w:rsidR="000C6BFB" w:rsidRPr="003F535E" w:rsidRDefault="000C6BFB" w:rsidP="00516219">
            <w:pPr>
              <w:spacing w:before="100" w:beforeAutospacing="1" w:after="100" w:afterAutospacing="1" w:line="360" w:lineRule="auto"/>
              <w:jc w:val="both"/>
              <w:outlineLvl w:val="2"/>
              <w:rPr>
                <w:rFonts w:asciiTheme="majorBidi" w:hAnsiTheme="majorBidi" w:cstheme="majorBidi"/>
                <w:bCs/>
                <w:lang w:val="en-GB"/>
              </w:rPr>
            </w:pPr>
            <w:r w:rsidRPr="003F535E">
              <w:rPr>
                <w:rFonts w:asciiTheme="majorBidi" w:hAnsiTheme="majorBidi" w:cstheme="majorBidi"/>
                <w:bCs/>
                <w:sz w:val="22"/>
                <w:szCs w:val="22"/>
                <w:lang w:val="en-US"/>
              </w:rPr>
              <w:t>CZE-C</w:t>
            </w:r>
            <w:r w:rsidRPr="003F535E">
              <w:rPr>
                <w:rFonts w:asciiTheme="majorBidi" w:hAnsiTheme="majorBidi" w:cstheme="majorBidi"/>
                <w:bCs/>
                <w:sz w:val="22"/>
                <w:szCs w:val="22"/>
                <w:vertAlign w:val="superscript"/>
                <w:lang w:val="en-US"/>
              </w:rPr>
              <w:t>4</w:t>
            </w:r>
            <w:r w:rsidRPr="003F535E">
              <w:rPr>
                <w:rFonts w:asciiTheme="majorBidi" w:hAnsiTheme="majorBidi" w:cstheme="majorBidi"/>
                <w:bCs/>
                <w:sz w:val="22"/>
                <w:szCs w:val="22"/>
                <w:lang w:val="en-US"/>
              </w:rPr>
              <w:t>D</w:t>
            </w:r>
          </w:p>
        </w:tc>
        <w:tc>
          <w:tcPr>
            <w:tcW w:w="2160" w:type="dxa"/>
            <w:tcBorders>
              <w:top w:val="single" w:sz="4" w:space="0" w:color="auto"/>
            </w:tcBorders>
          </w:tcPr>
          <w:p w14:paraId="3AAE0401" w14:textId="2915E899"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0.6-60</w:t>
            </w:r>
          </w:p>
        </w:tc>
        <w:tc>
          <w:tcPr>
            <w:tcW w:w="1440" w:type="dxa"/>
            <w:tcBorders>
              <w:top w:val="single" w:sz="4" w:space="0" w:color="auto"/>
            </w:tcBorders>
          </w:tcPr>
          <w:p w14:paraId="40DC72A1" w14:textId="4889077A"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0.17–0.61</w:t>
            </w:r>
          </w:p>
        </w:tc>
        <w:tc>
          <w:tcPr>
            <w:tcW w:w="1128" w:type="dxa"/>
            <w:tcBorders>
              <w:top w:val="single" w:sz="4" w:space="0" w:color="auto"/>
            </w:tcBorders>
          </w:tcPr>
          <w:p w14:paraId="64266347" w14:textId="02552CE9"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[20]</w:t>
            </w:r>
          </w:p>
        </w:tc>
      </w:tr>
      <w:tr w:rsidR="000C6BFB" w:rsidRPr="003F535E" w14:paraId="28DC3ADC" w14:textId="77777777" w:rsidTr="00082A68">
        <w:tc>
          <w:tcPr>
            <w:tcW w:w="3600" w:type="dxa"/>
          </w:tcPr>
          <w:p w14:paraId="56E2B607" w14:textId="3E7E385A"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Tap water and swimming pool water</w:t>
            </w:r>
          </w:p>
        </w:tc>
        <w:tc>
          <w:tcPr>
            <w:tcW w:w="3330" w:type="dxa"/>
          </w:tcPr>
          <w:p w14:paraId="526E1D1C" w14:textId="0B44A4DF"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SPE</w:t>
            </w:r>
          </w:p>
        </w:tc>
        <w:tc>
          <w:tcPr>
            <w:tcW w:w="2430" w:type="dxa"/>
          </w:tcPr>
          <w:p w14:paraId="655F8A98" w14:textId="6375C01F" w:rsidR="000C6BFB" w:rsidRPr="003F535E" w:rsidRDefault="000C6BFB" w:rsidP="00516219">
            <w:pPr>
              <w:spacing w:before="100" w:beforeAutospacing="1" w:after="100" w:afterAutospacing="1" w:line="360" w:lineRule="auto"/>
              <w:jc w:val="both"/>
              <w:outlineLvl w:val="2"/>
              <w:rPr>
                <w:rFonts w:asciiTheme="majorBidi" w:hAnsiTheme="majorBidi" w:cstheme="majorBidi"/>
                <w:bCs/>
                <w:lang w:val="en-GB"/>
              </w:rPr>
            </w:pPr>
            <w:r w:rsidRPr="003F535E">
              <w:rPr>
                <w:rFonts w:asciiTheme="majorBidi" w:hAnsiTheme="majorBidi" w:cstheme="majorBidi"/>
                <w:bCs/>
                <w:sz w:val="22"/>
                <w:szCs w:val="22"/>
                <w:lang w:val="en-US"/>
              </w:rPr>
              <w:t>CZE-C</w:t>
            </w:r>
            <w:r w:rsidRPr="003F535E">
              <w:rPr>
                <w:rFonts w:asciiTheme="majorBidi" w:hAnsiTheme="majorBidi" w:cstheme="majorBidi"/>
                <w:bCs/>
                <w:sz w:val="22"/>
                <w:szCs w:val="22"/>
                <w:vertAlign w:val="superscript"/>
                <w:lang w:val="en-US"/>
              </w:rPr>
              <w:t>4</w:t>
            </w:r>
            <w:r w:rsidRPr="003F535E">
              <w:rPr>
                <w:rFonts w:asciiTheme="majorBidi" w:hAnsiTheme="majorBidi" w:cstheme="majorBidi"/>
                <w:bCs/>
                <w:sz w:val="22"/>
                <w:szCs w:val="22"/>
                <w:lang w:val="en-US"/>
              </w:rPr>
              <w:t>D</w:t>
            </w:r>
          </w:p>
        </w:tc>
        <w:tc>
          <w:tcPr>
            <w:tcW w:w="2160" w:type="dxa"/>
          </w:tcPr>
          <w:p w14:paraId="1D54D7BE" w14:textId="37585F8C"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 xml:space="preserve">1–50 </w:t>
            </w:r>
            <w:proofErr w:type="spellStart"/>
            <w:r w:rsidRPr="003F535E">
              <w:rPr>
                <w:rFonts w:asciiTheme="majorBidi" w:hAnsiTheme="majorBidi" w:cstheme="majorBidi"/>
                <w:bCs/>
                <w:sz w:val="22"/>
                <w:szCs w:val="22"/>
                <w:lang w:val="en-US"/>
              </w:rPr>
              <w:t>μM</w:t>
            </w:r>
            <w:proofErr w:type="spellEnd"/>
          </w:p>
        </w:tc>
        <w:tc>
          <w:tcPr>
            <w:tcW w:w="1440" w:type="dxa"/>
          </w:tcPr>
          <w:p w14:paraId="5AE5446D" w14:textId="5456421E"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6.1-12.2</w:t>
            </w:r>
          </w:p>
        </w:tc>
        <w:tc>
          <w:tcPr>
            <w:tcW w:w="1128" w:type="dxa"/>
          </w:tcPr>
          <w:p w14:paraId="287EF07A" w14:textId="5B08A290" w:rsidR="000C6BFB" w:rsidRPr="003F535E" w:rsidRDefault="000C6BFB" w:rsidP="000C6BFB">
            <w:pPr>
              <w:spacing w:before="100" w:beforeAutospacing="1" w:after="100" w:afterAutospacing="1" w:line="360" w:lineRule="auto"/>
              <w:outlineLvl w:val="2"/>
              <w:rPr>
                <w:rFonts w:asciiTheme="majorBidi" w:hAnsiTheme="majorBidi" w:cstheme="majorBidi"/>
                <w:bCs/>
                <w:lang w:val="en-GB"/>
              </w:rPr>
            </w:pPr>
            <w:r w:rsidRPr="003F535E">
              <w:rPr>
                <w:rFonts w:asciiTheme="majorBidi" w:hAnsiTheme="majorBidi" w:cstheme="majorBidi"/>
                <w:bCs/>
                <w:sz w:val="22"/>
                <w:szCs w:val="22"/>
                <w:lang w:val="en-US"/>
              </w:rPr>
              <w:t>[25]</w:t>
            </w:r>
          </w:p>
        </w:tc>
      </w:tr>
      <w:tr w:rsidR="00E7606A" w:rsidRPr="003F535E" w14:paraId="6CD5E7B8" w14:textId="77777777" w:rsidTr="00082A68">
        <w:tc>
          <w:tcPr>
            <w:tcW w:w="3600" w:type="dxa"/>
          </w:tcPr>
          <w:p w14:paraId="22723CEC" w14:textId="71DD6280"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Tap and river Water</w:t>
            </w:r>
          </w:p>
        </w:tc>
        <w:tc>
          <w:tcPr>
            <w:tcW w:w="3330" w:type="dxa"/>
          </w:tcPr>
          <w:p w14:paraId="1397E71B" w14:textId="5518BB10"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No preconcentration</w:t>
            </w:r>
          </w:p>
        </w:tc>
        <w:tc>
          <w:tcPr>
            <w:tcW w:w="2430" w:type="dxa"/>
          </w:tcPr>
          <w:p w14:paraId="4589A138" w14:textId="30CD4AAD" w:rsidR="00E7606A" w:rsidRPr="003F535E" w:rsidRDefault="00E7606A"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PAEKI-CE-ESI-MS/MS</w:t>
            </w:r>
          </w:p>
        </w:tc>
        <w:tc>
          <w:tcPr>
            <w:tcW w:w="2160" w:type="dxa"/>
          </w:tcPr>
          <w:p w14:paraId="4BFAB3D7" w14:textId="4EB69DF9"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0.2-600</w:t>
            </w:r>
          </w:p>
        </w:tc>
        <w:tc>
          <w:tcPr>
            <w:tcW w:w="1440" w:type="dxa"/>
          </w:tcPr>
          <w:p w14:paraId="6BD2186B" w14:textId="4ED72C1A"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0.013-0.12</w:t>
            </w:r>
          </w:p>
        </w:tc>
        <w:tc>
          <w:tcPr>
            <w:tcW w:w="1128" w:type="dxa"/>
          </w:tcPr>
          <w:p w14:paraId="75FFAE7D" w14:textId="46D80052"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[26]</w:t>
            </w:r>
          </w:p>
        </w:tc>
      </w:tr>
      <w:tr w:rsidR="00E7606A" w:rsidRPr="003F535E" w14:paraId="1725975C" w14:textId="77777777" w:rsidTr="00082A68">
        <w:tc>
          <w:tcPr>
            <w:tcW w:w="3600" w:type="dxa"/>
          </w:tcPr>
          <w:p w14:paraId="0CE70F7E" w14:textId="40606232"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Drinking water</w:t>
            </w:r>
          </w:p>
        </w:tc>
        <w:tc>
          <w:tcPr>
            <w:tcW w:w="3330" w:type="dxa"/>
          </w:tcPr>
          <w:p w14:paraId="174A1A62" w14:textId="4CA3FB85"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No preconcentration</w:t>
            </w:r>
          </w:p>
        </w:tc>
        <w:tc>
          <w:tcPr>
            <w:tcW w:w="2430" w:type="dxa"/>
          </w:tcPr>
          <w:p w14:paraId="10E2F1A1" w14:textId="49F4F19C" w:rsidR="00E7606A" w:rsidRPr="003F535E" w:rsidRDefault="00E7606A"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LC-ESI-MS/MS</w:t>
            </w:r>
          </w:p>
        </w:tc>
        <w:tc>
          <w:tcPr>
            <w:tcW w:w="2160" w:type="dxa"/>
          </w:tcPr>
          <w:p w14:paraId="6D5C60A9" w14:textId="54E5D4C6"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0.0025-2.5</w:t>
            </w:r>
          </w:p>
        </w:tc>
        <w:tc>
          <w:tcPr>
            <w:tcW w:w="1440" w:type="dxa"/>
          </w:tcPr>
          <w:p w14:paraId="0BF535EC" w14:textId="10208760"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0.005-0.019</w:t>
            </w:r>
          </w:p>
        </w:tc>
        <w:tc>
          <w:tcPr>
            <w:tcW w:w="1128" w:type="dxa"/>
          </w:tcPr>
          <w:p w14:paraId="59226265" w14:textId="49B0B306"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2B05DD">
              <w:rPr>
                <w:rFonts w:asciiTheme="majorBidi" w:hAnsiTheme="majorBidi" w:cstheme="majorBidi"/>
                <w:bCs/>
                <w:sz w:val="22"/>
                <w:szCs w:val="22"/>
                <w:lang w:val="en-US"/>
              </w:rPr>
              <w:t>3</w:t>
            </w:r>
            <w:r w:rsidR="00F64845">
              <w:rPr>
                <w:rFonts w:asciiTheme="majorBidi" w:hAnsiTheme="majorBidi" w:cstheme="majorBidi"/>
                <w:bCs/>
                <w:sz w:val="22"/>
                <w:szCs w:val="22"/>
                <w:lang w:val="en-US"/>
              </w:rPr>
              <w:t>6</w:t>
            </w:r>
            <w:r w:rsidRPr="003F535E">
              <w:rPr>
                <w:rFonts w:asciiTheme="majorBidi" w:hAnsiTheme="majorBidi" w:cstheme="majorBidi"/>
                <w:bCs/>
                <w:sz w:val="22"/>
                <w:szCs w:val="22"/>
                <w:lang w:val="en-US"/>
              </w:rPr>
              <w:t>]</w:t>
            </w:r>
          </w:p>
        </w:tc>
      </w:tr>
      <w:tr w:rsidR="00E7606A" w:rsidRPr="003F535E" w14:paraId="098EC04D" w14:textId="77777777" w:rsidTr="00082A68">
        <w:tc>
          <w:tcPr>
            <w:tcW w:w="3600" w:type="dxa"/>
          </w:tcPr>
          <w:p w14:paraId="37771BF6" w14:textId="5F0CA12D"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Tap water, pool water and re-mineralized water</w:t>
            </w:r>
          </w:p>
        </w:tc>
        <w:tc>
          <w:tcPr>
            <w:tcW w:w="3330" w:type="dxa"/>
          </w:tcPr>
          <w:p w14:paraId="6F787D4A" w14:textId="029028F9"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VAEME-ISUSA</w:t>
            </w:r>
          </w:p>
        </w:tc>
        <w:tc>
          <w:tcPr>
            <w:tcW w:w="2430" w:type="dxa"/>
          </w:tcPr>
          <w:p w14:paraId="7C6B6050" w14:textId="6F8081F7" w:rsidR="00E7606A" w:rsidRPr="003F535E" w:rsidRDefault="00E7606A"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HPLC</w:t>
            </w:r>
          </w:p>
        </w:tc>
        <w:tc>
          <w:tcPr>
            <w:tcW w:w="2160" w:type="dxa"/>
          </w:tcPr>
          <w:p w14:paraId="3E5AD493" w14:textId="3006D2B3"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10-1000</w:t>
            </w:r>
          </w:p>
        </w:tc>
        <w:tc>
          <w:tcPr>
            <w:tcW w:w="1440" w:type="dxa"/>
          </w:tcPr>
          <w:p w14:paraId="3D99DA74" w14:textId="10CDF213"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1.02-60.1</w:t>
            </w:r>
          </w:p>
        </w:tc>
        <w:tc>
          <w:tcPr>
            <w:tcW w:w="1128" w:type="dxa"/>
          </w:tcPr>
          <w:p w14:paraId="525E5FD1" w14:textId="31821AFB" w:rsidR="00E7606A" w:rsidRPr="003F535E" w:rsidRDefault="00E7606A" w:rsidP="00E7606A">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2B05DD">
              <w:rPr>
                <w:rFonts w:asciiTheme="majorBidi" w:hAnsiTheme="majorBidi" w:cstheme="majorBidi"/>
                <w:bCs/>
                <w:sz w:val="22"/>
                <w:szCs w:val="22"/>
                <w:lang w:val="en-US"/>
              </w:rPr>
              <w:t>3</w:t>
            </w:r>
            <w:r w:rsidR="00F64845">
              <w:rPr>
                <w:rFonts w:asciiTheme="majorBidi" w:hAnsiTheme="majorBidi" w:cstheme="majorBidi"/>
                <w:bCs/>
                <w:sz w:val="22"/>
                <w:szCs w:val="22"/>
                <w:lang w:val="en-US"/>
              </w:rPr>
              <w:t>7</w:t>
            </w:r>
            <w:r w:rsidRPr="003F535E">
              <w:rPr>
                <w:rFonts w:asciiTheme="majorBidi" w:hAnsiTheme="majorBidi" w:cstheme="majorBidi"/>
                <w:bCs/>
                <w:sz w:val="22"/>
                <w:szCs w:val="22"/>
                <w:lang w:val="en-US"/>
              </w:rPr>
              <w:t>]</w:t>
            </w:r>
          </w:p>
        </w:tc>
      </w:tr>
      <w:tr w:rsidR="009646B0" w:rsidRPr="003F535E" w14:paraId="68AFE5CC" w14:textId="77777777" w:rsidTr="00082A68">
        <w:tc>
          <w:tcPr>
            <w:tcW w:w="3600" w:type="dxa"/>
          </w:tcPr>
          <w:p w14:paraId="745DD247" w14:textId="4FAD4286"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Tap water</w:t>
            </w:r>
          </w:p>
        </w:tc>
        <w:tc>
          <w:tcPr>
            <w:tcW w:w="3330" w:type="dxa"/>
          </w:tcPr>
          <w:p w14:paraId="4E58E41B" w14:textId="44DDE8D2"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SLMME</w:t>
            </w:r>
          </w:p>
        </w:tc>
        <w:tc>
          <w:tcPr>
            <w:tcW w:w="2430" w:type="dxa"/>
          </w:tcPr>
          <w:p w14:paraId="4333B274" w14:textId="10398779" w:rsidR="009646B0" w:rsidRPr="003F535E" w:rsidRDefault="009646B0"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HPLC-UV</w:t>
            </w:r>
          </w:p>
        </w:tc>
        <w:tc>
          <w:tcPr>
            <w:tcW w:w="2160" w:type="dxa"/>
          </w:tcPr>
          <w:p w14:paraId="3151F365" w14:textId="0A0EF5DE"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2.4-40</w:t>
            </w:r>
          </w:p>
        </w:tc>
        <w:tc>
          <w:tcPr>
            <w:tcW w:w="1440" w:type="dxa"/>
          </w:tcPr>
          <w:p w14:paraId="2FF328B5" w14:textId="7AFAEF01"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0.03-2.69</w:t>
            </w:r>
          </w:p>
        </w:tc>
        <w:tc>
          <w:tcPr>
            <w:tcW w:w="1128" w:type="dxa"/>
          </w:tcPr>
          <w:p w14:paraId="1E6D7861" w14:textId="0E55890B"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2B05DD">
              <w:rPr>
                <w:rFonts w:asciiTheme="majorBidi" w:hAnsiTheme="majorBidi" w:cstheme="majorBidi"/>
                <w:bCs/>
                <w:sz w:val="22"/>
                <w:szCs w:val="22"/>
                <w:lang w:val="en-US"/>
              </w:rPr>
              <w:t>3</w:t>
            </w:r>
            <w:r w:rsidR="00F64845">
              <w:rPr>
                <w:rFonts w:asciiTheme="majorBidi" w:hAnsiTheme="majorBidi" w:cstheme="majorBidi"/>
                <w:bCs/>
                <w:sz w:val="22"/>
                <w:szCs w:val="22"/>
                <w:lang w:val="en-US"/>
              </w:rPr>
              <w:t>8</w:t>
            </w:r>
            <w:r w:rsidRPr="003F535E">
              <w:rPr>
                <w:rFonts w:asciiTheme="majorBidi" w:hAnsiTheme="majorBidi" w:cstheme="majorBidi"/>
                <w:bCs/>
                <w:sz w:val="22"/>
                <w:szCs w:val="22"/>
                <w:lang w:val="en-US"/>
              </w:rPr>
              <w:t>]</w:t>
            </w:r>
          </w:p>
        </w:tc>
      </w:tr>
      <w:tr w:rsidR="009646B0" w:rsidRPr="003F535E" w14:paraId="745E35AF" w14:textId="77777777" w:rsidTr="00082A68">
        <w:tc>
          <w:tcPr>
            <w:tcW w:w="3600" w:type="dxa"/>
          </w:tcPr>
          <w:p w14:paraId="5FAE6C18" w14:textId="326FF58F"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Drinking water</w:t>
            </w:r>
          </w:p>
        </w:tc>
        <w:tc>
          <w:tcPr>
            <w:tcW w:w="3330" w:type="dxa"/>
          </w:tcPr>
          <w:p w14:paraId="4175BFF1" w14:textId="0C2C3E87"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HF-LPME</w:t>
            </w:r>
          </w:p>
        </w:tc>
        <w:tc>
          <w:tcPr>
            <w:tcW w:w="2430" w:type="dxa"/>
          </w:tcPr>
          <w:p w14:paraId="5D51579E" w14:textId="186770C6" w:rsidR="009646B0" w:rsidRPr="003F535E" w:rsidRDefault="009646B0"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GC</w:t>
            </w:r>
          </w:p>
        </w:tc>
        <w:tc>
          <w:tcPr>
            <w:tcW w:w="2160" w:type="dxa"/>
          </w:tcPr>
          <w:p w14:paraId="149B24CA" w14:textId="535E2A74"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0.5-300</w:t>
            </w:r>
          </w:p>
        </w:tc>
        <w:tc>
          <w:tcPr>
            <w:tcW w:w="1440" w:type="dxa"/>
          </w:tcPr>
          <w:p w14:paraId="1EDF0B70" w14:textId="5E8F8BC4"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&lt;1</w:t>
            </w:r>
          </w:p>
        </w:tc>
        <w:tc>
          <w:tcPr>
            <w:tcW w:w="1128" w:type="dxa"/>
          </w:tcPr>
          <w:p w14:paraId="6DC6880C" w14:textId="2A20B2D5"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9D2222">
              <w:rPr>
                <w:rFonts w:asciiTheme="majorBidi" w:hAnsiTheme="majorBidi" w:cstheme="majorBidi"/>
                <w:bCs/>
                <w:sz w:val="22"/>
                <w:szCs w:val="22"/>
                <w:lang w:val="en-US"/>
              </w:rPr>
              <w:t>39</w:t>
            </w:r>
            <w:r w:rsidRPr="003F535E">
              <w:rPr>
                <w:rFonts w:asciiTheme="majorBidi" w:hAnsiTheme="majorBidi" w:cstheme="majorBidi"/>
                <w:bCs/>
                <w:sz w:val="22"/>
                <w:szCs w:val="22"/>
                <w:lang w:val="en-US"/>
              </w:rPr>
              <w:t>]</w:t>
            </w:r>
          </w:p>
        </w:tc>
      </w:tr>
      <w:tr w:rsidR="009646B0" w:rsidRPr="003F535E" w14:paraId="694E3B4D" w14:textId="77777777" w:rsidTr="00082A68">
        <w:tc>
          <w:tcPr>
            <w:tcW w:w="3600" w:type="dxa"/>
          </w:tcPr>
          <w:p w14:paraId="1601C32F" w14:textId="4B756417"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Drinking water</w:t>
            </w:r>
          </w:p>
        </w:tc>
        <w:tc>
          <w:tcPr>
            <w:tcW w:w="3330" w:type="dxa"/>
          </w:tcPr>
          <w:p w14:paraId="5CA9940D" w14:textId="718D957A"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SPE</w:t>
            </w:r>
          </w:p>
        </w:tc>
        <w:tc>
          <w:tcPr>
            <w:tcW w:w="2430" w:type="dxa"/>
          </w:tcPr>
          <w:p w14:paraId="70A1967A" w14:textId="5FAC6254" w:rsidR="009646B0" w:rsidRPr="003F535E" w:rsidRDefault="009646B0"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GC-MS</w:t>
            </w:r>
          </w:p>
        </w:tc>
        <w:tc>
          <w:tcPr>
            <w:tcW w:w="2160" w:type="dxa"/>
          </w:tcPr>
          <w:p w14:paraId="0216CBC6" w14:textId="734517D7"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20-100</w:t>
            </w:r>
          </w:p>
        </w:tc>
        <w:tc>
          <w:tcPr>
            <w:tcW w:w="1440" w:type="dxa"/>
          </w:tcPr>
          <w:p w14:paraId="3F940B60" w14:textId="3CB07F74"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 xml:space="preserve">0.009-0.16 </w:t>
            </w:r>
          </w:p>
        </w:tc>
        <w:tc>
          <w:tcPr>
            <w:tcW w:w="1128" w:type="dxa"/>
          </w:tcPr>
          <w:p w14:paraId="2D852E4E" w14:textId="43795644"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9D2222">
              <w:rPr>
                <w:rFonts w:asciiTheme="majorBidi" w:hAnsiTheme="majorBidi" w:cstheme="majorBidi"/>
                <w:bCs/>
                <w:sz w:val="22"/>
                <w:szCs w:val="22"/>
                <w:lang w:val="en-US"/>
              </w:rPr>
              <w:t>40</w:t>
            </w:r>
            <w:r w:rsidRPr="003F535E">
              <w:rPr>
                <w:rFonts w:asciiTheme="majorBidi" w:hAnsiTheme="majorBidi" w:cstheme="majorBidi"/>
                <w:bCs/>
                <w:sz w:val="22"/>
                <w:szCs w:val="22"/>
                <w:lang w:val="en-US"/>
              </w:rPr>
              <w:t>]</w:t>
            </w:r>
          </w:p>
        </w:tc>
      </w:tr>
      <w:tr w:rsidR="009646B0" w:rsidRPr="003F535E" w14:paraId="199E6342" w14:textId="77777777" w:rsidTr="00082A68">
        <w:tc>
          <w:tcPr>
            <w:tcW w:w="3600" w:type="dxa"/>
          </w:tcPr>
          <w:p w14:paraId="3296D73F" w14:textId="283233A1"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Drinking water and aqueous soil extract</w:t>
            </w:r>
          </w:p>
        </w:tc>
        <w:tc>
          <w:tcPr>
            <w:tcW w:w="3330" w:type="dxa"/>
          </w:tcPr>
          <w:p w14:paraId="5FCC58C3" w14:textId="28F35EC9"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SPE</w:t>
            </w:r>
          </w:p>
        </w:tc>
        <w:tc>
          <w:tcPr>
            <w:tcW w:w="2430" w:type="dxa"/>
          </w:tcPr>
          <w:p w14:paraId="3D76189E" w14:textId="1B8820CF" w:rsidR="009646B0" w:rsidRPr="003F535E" w:rsidRDefault="009646B0"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IC-ESI-MS</w:t>
            </w:r>
          </w:p>
        </w:tc>
        <w:tc>
          <w:tcPr>
            <w:tcW w:w="2160" w:type="dxa"/>
          </w:tcPr>
          <w:p w14:paraId="769B2ED3" w14:textId="505F6C3B"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 xml:space="preserve">5–30 </w:t>
            </w:r>
            <w:proofErr w:type="spellStart"/>
            <w:r w:rsidRPr="003F535E">
              <w:rPr>
                <w:rFonts w:asciiTheme="majorBidi" w:hAnsiTheme="majorBidi" w:cstheme="majorBidi"/>
                <w:bCs/>
                <w:sz w:val="22"/>
                <w:szCs w:val="22"/>
                <w:lang w:val="en-US"/>
              </w:rPr>
              <w:t>μM</w:t>
            </w:r>
            <w:proofErr w:type="spellEnd"/>
          </w:p>
        </w:tc>
        <w:tc>
          <w:tcPr>
            <w:tcW w:w="1440" w:type="dxa"/>
          </w:tcPr>
          <w:p w14:paraId="3A605528" w14:textId="77C7F4C3"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2-138</w:t>
            </w:r>
          </w:p>
        </w:tc>
        <w:tc>
          <w:tcPr>
            <w:tcW w:w="1128" w:type="dxa"/>
          </w:tcPr>
          <w:p w14:paraId="1CAFA6CA" w14:textId="20EF5415"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9D2222">
              <w:rPr>
                <w:rFonts w:asciiTheme="majorBidi" w:hAnsiTheme="majorBidi" w:cstheme="majorBidi"/>
                <w:bCs/>
                <w:sz w:val="22"/>
                <w:szCs w:val="22"/>
                <w:lang w:val="en-US"/>
              </w:rPr>
              <w:t>41</w:t>
            </w:r>
            <w:r w:rsidRPr="003F535E">
              <w:rPr>
                <w:rFonts w:asciiTheme="majorBidi" w:hAnsiTheme="majorBidi" w:cstheme="majorBidi"/>
                <w:bCs/>
                <w:sz w:val="22"/>
                <w:szCs w:val="22"/>
                <w:lang w:val="en-US"/>
              </w:rPr>
              <w:t>]</w:t>
            </w:r>
          </w:p>
        </w:tc>
      </w:tr>
      <w:tr w:rsidR="009646B0" w:rsidRPr="003F535E" w14:paraId="4777FC19" w14:textId="77777777" w:rsidTr="00082A68">
        <w:tc>
          <w:tcPr>
            <w:tcW w:w="3600" w:type="dxa"/>
          </w:tcPr>
          <w:p w14:paraId="5FDFE456" w14:textId="07B9C26B"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Swimming pool water</w:t>
            </w:r>
          </w:p>
        </w:tc>
        <w:tc>
          <w:tcPr>
            <w:tcW w:w="3330" w:type="dxa"/>
          </w:tcPr>
          <w:p w14:paraId="2B47A949" w14:textId="7C644A46"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SPE</w:t>
            </w:r>
          </w:p>
        </w:tc>
        <w:tc>
          <w:tcPr>
            <w:tcW w:w="2430" w:type="dxa"/>
          </w:tcPr>
          <w:p w14:paraId="77361A87" w14:textId="2E82639B" w:rsidR="009646B0" w:rsidRPr="003F535E" w:rsidRDefault="009646B0" w:rsidP="00516219">
            <w:pPr>
              <w:spacing w:before="100" w:beforeAutospacing="1" w:after="100" w:afterAutospacing="1" w:line="360" w:lineRule="auto"/>
              <w:jc w:val="both"/>
              <w:outlineLvl w:val="2"/>
              <w:rPr>
                <w:rFonts w:asciiTheme="majorBidi" w:hAnsiTheme="majorBidi" w:cstheme="majorBidi"/>
                <w:bCs/>
              </w:rPr>
            </w:pPr>
            <w:r w:rsidRPr="003F535E">
              <w:rPr>
                <w:rFonts w:asciiTheme="majorBidi" w:hAnsiTheme="majorBidi" w:cstheme="majorBidi"/>
                <w:bCs/>
                <w:sz w:val="22"/>
                <w:szCs w:val="22"/>
                <w:lang w:val="en-US"/>
              </w:rPr>
              <w:t>MCE-C</w:t>
            </w:r>
            <w:r w:rsidRPr="003F535E">
              <w:rPr>
                <w:rFonts w:asciiTheme="majorBidi" w:hAnsiTheme="majorBidi" w:cstheme="majorBidi"/>
                <w:bCs/>
                <w:sz w:val="22"/>
                <w:szCs w:val="22"/>
                <w:vertAlign w:val="superscript"/>
                <w:lang w:val="en-US"/>
              </w:rPr>
              <w:t>4</w:t>
            </w:r>
            <w:r w:rsidRPr="003F535E">
              <w:rPr>
                <w:rFonts w:asciiTheme="majorBidi" w:hAnsiTheme="majorBidi" w:cstheme="majorBidi"/>
                <w:bCs/>
                <w:sz w:val="22"/>
                <w:szCs w:val="22"/>
                <w:lang w:val="en-US"/>
              </w:rPr>
              <w:t>D</w:t>
            </w:r>
          </w:p>
        </w:tc>
        <w:tc>
          <w:tcPr>
            <w:tcW w:w="2160" w:type="dxa"/>
          </w:tcPr>
          <w:p w14:paraId="71A4920B" w14:textId="5B33F4AB"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3.9-133</w:t>
            </w:r>
          </w:p>
        </w:tc>
        <w:tc>
          <w:tcPr>
            <w:tcW w:w="1440" w:type="dxa"/>
          </w:tcPr>
          <w:p w14:paraId="5183AA81" w14:textId="733E2946"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38-62</w:t>
            </w:r>
          </w:p>
        </w:tc>
        <w:tc>
          <w:tcPr>
            <w:tcW w:w="1128" w:type="dxa"/>
          </w:tcPr>
          <w:p w14:paraId="4330F01A" w14:textId="18797A41" w:rsidR="009646B0" w:rsidRPr="003F535E" w:rsidRDefault="009646B0" w:rsidP="009646B0">
            <w:pPr>
              <w:spacing w:before="100" w:beforeAutospacing="1" w:after="100" w:afterAutospacing="1" w:line="360" w:lineRule="auto"/>
              <w:outlineLvl w:val="2"/>
              <w:rPr>
                <w:rFonts w:asciiTheme="majorBidi" w:hAnsiTheme="majorBidi" w:cstheme="majorBidi"/>
                <w:bCs/>
              </w:rPr>
            </w:pPr>
            <w:r w:rsidRPr="003F535E">
              <w:rPr>
                <w:rFonts w:asciiTheme="majorBidi" w:hAnsiTheme="majorBidi" w:cstheme="majorBidi"/>
                <w:bCs/>
                <w:sz w:val="22"/>
                <w:szCs w:val="22"/>
                <w:lang w:val="en-US"/>
              </w:rPr>
              <w:t>[</w:t>
            </w:r>
            <w:r w:rsidR="009D2222">
              <w:rPr>
                <w:rFonts w:asciiTheme="majorBidi" w:hAnsiTheme="majorBidi" w:cstheme="majorBidi"/>
                <w:bCs/>
                <w:sz w:val="22"/>
                <w:szCs w:val="22"/>
                <w:lang w:val="en-US"/>
              </w:rPr>
              <w:t>42</w:t>
            </w:r>
            <w:r w:rsidRPr="003F535E">
              <w:rPr>
                <w:rFonts w:asciiTheme="majorBidi" w:hAnsiTheme="majorBidi" w:cstheme="majorBidi"/>
                <w:bCs/>
                <w:sz w:val="22"/>
                <w:szCs w:val="22"/>
                <w:lang w:val="en-US"/>
              </w:rPr>
              <w:t>]</w:t>
            </w:r>
          </w:p>
        </w:tc>
      </w:tr>
      <w:tr w:rsidR="009646B0" w:rsidRPr="003F535E" w14:paraId="1C9C28C0" w14:textId="77777777" w:rsidTr="00082A68">
        <w:tc>
          <w:tcPr>
            <w:tcW w:w="3600" w:type="dxa"/>
          </w:tcPr>
          <w:p w14:paraId="1C1DCEE4"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Tap and swimming pool water</w:t>
            </w:r>
          </w:p>
        </w:tc>
        <w:tc>
          <w:tcPr>
            <w:tcW w:w="3330" w:type="dxa"/>
          </w:tcPr>
          <w:p w14:paraId="3E96C17E"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Microextraction by packed sorbent</w:t>
            </w:r>
          </w:p>
        </w:tc>
        <w:tc>
          <w:tcPr>
            <w:tcW w:w="2430" w:type="dxa"/>
          </w:tcPr>
          <w:p w14:paraId="3889CF3F" w14:textId="77777777" w:rsidR="009646B0" w:rsidRPr="003F535E" w:rsidRDefault="009646B0" w:rsidP="00516219">
            <w:pPr>
              <w:spacing w:line="360" w:lineRule="auto"/>
              <w:jc w:val="both"/>
              <w:rPr>
                <w:rFonts w:asciiTheme="majorBidi" w:hAnsiTheme="majorBidi" w:cstheme="majorBidi"/>
                <w:bCs/>
                <w:sz w:val="22"/>
                <w:szCs w:val="22"/>
                <w:lang w:val="en-US"/>
              </w:rPr>
            </w:pPr>
            <w:r w:rsidRPr="003F535E">
              <w:rPr>
                <w:rFonts w:asciiTheme="majorBidi" w:hAnsiTheme="majorBidi" w:cstheme="majorBidi"/>
                <w:bCs/>
                <w:sz w:val="22"/>
                <w:szCs w:val="22"/>
                <w:lang w:val="en-US"/>
              </w:rPr>
              <w:t>GC-MS</w:t>
            </w:r>
          </w:p>
        </w:tc>
        <w:tc>
          <w:tcPr>
            <w:tcW w:w="2160" w:type="dxa"/>
          </w:tcPr>
          <w:p w14:paraId="19E080E0"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0.36-300</w:t>
            </w:r>
          </w:p>
        </w:tc>
        <w:tc>
          <w:tcPr>
            <w:tcW w:w="1440" w:type="dxa"/>
          </w:tcPr>
          <w:p w14:paraId="54BCD4CF"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0.36-1.2</w:t>
            </w:r>
          </w:p>
        </w:tc>
        <w:tc>
          <w:tcPr>
            <w:tcW w:w="1128" w:type="dxa"/>
          </w:tcPr>
          <w:p w14:paraId="6B3CF552" w14:textId="0753D42D"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w:t>
            </w:r>
            <w:r w:rsidR="009D2222">
              <w:rPr>
                <w:rFonts w:asciiTheme="majorBidi" w:hAnsiTheme="majorBidi" w:cstheme="majorBidi"/>
                <w:bCs/>
                <w:sz w:val="22"/>
                <w:szCs w:val="22"/>
                <w:lang w:val="en-US"/>
              </w:rPr>
              <w:t>43</w:t>
            </w:r>
            <w:r w:rsidRPr="003F535E">
              <w:rPr>
                <w:rFonts w:asciiTheme="majorBidi" w:hAnsiTheme="majorBidi" w:cstheme="majorBidi"/>
                <w:bCs/>
                <w:sz w:val="22"/>
                <w:szCs w:val="22"/>
                <w:lang w:val="en-US"/>
              </w:rPr>
              <w:t>]</w:t>
            </w:r>
          </w:p>
        </w:tc>
      </w:tr>
      <w:tr w:rsidR="009646B0" w:rsidRPr="003F535E" w14:paraId="375C480F" w14:textId="77777777" w:rsidTr="00082A68">
        <w:tc>
          <w:tcPr>
            <w:tcW w:w="3600" w:type="dxa"/>
            <w:tcBorders>
              <w:bottom w:val="single" w:sz="4" w:space="0" w:color="auto"/>
            </w:tcBorders>
          </w:tcPr>
          <w:p w14:paraId="4E80BAD3"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Drinking water</w:t>
            </w:r>
          </w:p>
        </w:tc>
        <w:tc>
          <w:tcPr>
            <w:tcW w:w="3330" w:type="dxa"/>
            <w:tcBorders>
              <w:bottom w:val="single" w:sz="4" w:space="0" w:color="auto"/>
            </w:tcBorders>
          </w:tcPr>
          <w:p w14:paraId="3B8C095E"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LLE</w:t>
            </w:r>
          </w:p>
        </w:tc>
        <w:tc>
          <w:tcPr>
            <w:tcW w:w="2430" w:type="dxa"/>
            <w:tcBorders>
              <w:bottom w:val="single" w:sz="4" w:space="0" w:color="auto"/>
            </w:tcBorders>
          </w:tcPr>
          <w:p w14:paraId="06503764" w14:textId="77777777" w:rsidR="009646B0" w:rsidRPr="003F535E" w:rsidRDefault="009646B0" w:rsidP="00516219">
            <w:pPr>
              <w:spacing w:line="360" w:lineRule="auto"/>
              <w:jc w:val="both"/>
              <w:rPr>
                <w:rFonts w:asciiTheme="majorBidi" w:hAnsiTheme="majorBidi" w:cstheme="majorBidi"/>
                <w:bCs/>
                <w:sz w:val="22"/>
                <w:szCs w:val="22"/>
                <w:lang w:val="en-US"/>
              </w:rPr>
            </w:pPr>
            <w:r w:rsidRPr="003F535E">
              <w:rPr>
                <w:rFonts w:asciiTheme="majorBidi" w:hAnsiTheme="majorBidi" w:cstheme="majorBidi"/>
                <w:bCs/>
                <w:sz w:val="22"/>
                <w:szCs w:val="22"/>
                <w:lang w:val="en-US"/>
              </w:rPr>
              <w:t>ITP-CZE</w:t>
            </w:r>
          </w:p>
        </w:tc>
        <w:tc>
          <w:tcPr>
            <w:tcW w:w="2160" w:type="dxa"/>
            <w:tcBorders>
              <w:bottom w:val="single" w:sz="4" w:space="0" w:color="auto"/>
            </w:tcBorders>
          </w:tcPr>
          <w:p w14:paraId="4E699B71"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1.5-45</w:t>
            </w:r>
          </w:p>
        </w:tc>
        <w:tc>
          <w:tcPr>
            <w:tcW w:w="1440" w:type="dxa"/>
            <w:tcBorders>
              <w:bottom w:val="single" w:sz="4" w:space="0" w:color="auto"/>
            </w:tcBorders>
          </w:tcPr>
          <w:p w14:paraId="447D2D05"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0.6-3.2</w:t>
            </w:r>
          </w:p>
        </w:tc>
        <w:tc>
          <w:tcPr>
            <w:tcW w:w="1128" w:type="dxa"/>
            <w:tcBorders>
              <w:bottom w:val="single" w:sz="4" w:space="0" w:color="auto"/>
            </w:tcBorders>
          </w:tcPr>
          <w:p w14:paraId="1134F309" w14:textId="77777777" w:rsidR="009646B0" w:rsidRPr="003F535E" w:rsidRDefault="009646B0" w:rsidP="009646B0">
            <w:pPr>
              <w:spacing w:before="100" w:beforeAutospacing="1" w:after="100" w:afterAutospacing="1" w:line="360" w:lineRule="auto"/>
              <w:outlineLvl w:val="2"/>
              <w:rPr>
                <w:rFonts w:asciiTheme="majorBidi" w:hAnsiTheme="majorBidi" w:cstheme="majorBidi"/>
                <w:bCs/>
                <w:sz w:val="22"/>
                <w:szCs w:val="22"/>
                <w:lang w:val="en-US"/>
              </w:rPr>
            </w:pPr>
            <w:r w:rsidRPr="003F535E">
              <w:rPr>
                <w:rFonts w:asciiTheme="majorBidi" w:hAnsiTheme="majorBidi" w:cstheme="majorBidi"/>
                <w:bCs/>
                <w:sz w:val="22"/>
                <w:szCs w:val="22"/>
                <w:lang w:val="en-US"/>
              </w:rPr>
              <w:t>This work</w:t>
            </w:r>
          </w:p>
        </w:tc>
      </w:tr>
    </w:tbl>
    <w:p w14:paraId="4CF69B89" w14:textId="49651EDA" w:rsidR="00FF3C6D" w:rsidRPr="005A4DD8" w:rsidRDefault="00552C47" w:rsidP="00204E3F">
      <w:pPr>
        <w:spacing w:line="276" w:lineRule="auto"/>
        <w:jc w:val="both"/>
        <w:outlineLvl w:val="2"/>
        <w:rPr>
          <w:rFonts w:asciiTheme="majorBidi" w:hAnsiTheme="majorBidi" w:cstheme="majorBidi"/>
          <w:bCs/>
          <w:color w:val="FF0000"/>
        </w:rPr>
      </w:pPr>
      <w:r w:rsidRPr="005A4DD8">
        <w:rPr>
          <w:rFonts w:asciiTheme="majorBidi" w:hAnsiTheme="majorBidi" w:cstheme="majorBidi"/>
          <w:bCs/>
        </w:rPr>
        <w:t>HF-LPME</w:t>
      </w:r>
      <w:r w:rsidRPr="005A4DD8">
        <w:rPr>
          <w:rFonts w:asciiTheme="majorBidi" w:hAnsiTheme="majorBidi" w:cstheme="majorBidi"/>
        </w:rPr>
        <w:t xml:space="preserve"> </w:t>
      </w:r>
      <w:r w:rsidRPr="005A4DD8">
        <w:rPr>
          <w:rFonts w:asciiTheme="majorBidi" w:hAnsiTheme="majorBidi" w:cstheme="majorBidi"/>
          <w:lang w:val="en-GB"/>
        </w:rPr>
        <w:t xml:space="preserve">– Hollow </w:t>
      </w:r>
      <w:r w:rsidR="00D56102" w:rsidRPr="005A4DD8">
        <w:rPr>
          <w:rFonts w:asciiTheme="majorBidi" w:hAnsiTheme="majorBidi" w:cstheme="majorBidi"/>
          <w:lang w:val="en-GB"/>
        </w:rPr>
        <w:t>fibre</w:t>
      </w:r>
      <w:r w:rsidRPr="005A4DD8">
        <w:rPr>
          <w:rFonts w:asciiTheme="majorBidi" w:hAnsiTheme="majorBidi" w:cstheme="majorBidi"/>
          <w:lang w:val="en-GB"/>
        </w:rPr>
        <w:t xml:space="preserve">-based liquid phase microextraction; SPE – Solid phase extraction; </w:t>
      </w:r>
      <w:r w:rsidRPr="005A4DD8">
        <w:rPr>
          <w:rFonts w:asciiTheme="majorBidi" w:hAnsiTheme="majorBidi" w:cstheme="majorBidi"/>
          <w:bCs/>
        </w:rPr>
        <w:t>SLMME</w:t>
      </w:r>
      <w:r w:rsidRPr="005A4DD8">
        <w:rPr>
          <w:rFonts w:asciiTheme="majorBidi" w:hAnsiTheme="majorBidi" w:cstheme="majorBidi"/>
          <w:lang w:val="en-GB"/>
        </w:rPr>
        <w:t xml:space="preserve">– </w:t>
      </w:r>
      <w:r w:rsidRPr="005A4DD8">
        <w:rPr>
          <w:rFonts w:asciiTheme="majorBidi" w:hAnsiTheme="majorBidi" w:cstheme="majorBidi"/>
          <w:bCs/>
        </w:rPr>
        <w:t>Supported liquid membrane microextraction;</w:t>
      </w:r>
      <w:r w:rsidRPr="005A4DD8">
        <w:rPr>
          <w:rFonts w:asciiTheme="majorBidi" w:hAnsiTheme="majorBidi" w:cstheme="majorBidi"/>
          <w:lang w:val="en-GB"/>
        </w:rPr>
        <w:t xml:space="preserve"> LLE – Liquid-liquid extraction; </w:t>
      </w:r>
      <w:r w:rsidRPr="005A4DD8">
        <w:rPr>
          <w:rFonts w:asciiTheme="majorBidi" w:hAnsiTheme="majorBidi" w:cstheme="majorBidi"/>
          <w:bCs/>
        </w:rPr>
        <w:t xml:space="preserve">VAEME-ISUSA </w:t>
      </w:r>
      <w:r w:rsidRPr="005A4DD8">
        <w:rPr>
          <w:rFonts w:asciiTheme="majorBidi" w:hAnsiTheme="majorBidi" w:cstheme="majorBidi"/>
          <w:lang w:val="en-GB"/>
        </w:rPr>
        <w:t xml:space="preserve">– </w:t>
      </w:r>
      <w:r w:rsidRPr="005A4DD8">
        <w:rPr>
          <w:rFonts w:asciiTheme="majorBidi" w:hAnsiTheme="majorBidi" w:cstheme="majorBidi"/>
          <w:bCs/>
        </w:rPr>
        <w:t xml:space="preserve">Vortex-assisted emulsification microextraction followed by in-syringe ultrasound-assisted back-microextraction; </w:t>
      </w:r>
      <w:r w:rsidRPr="005A4DD8">
        <w:rPr>
          <w:rFonts w:asciiTheme="majorBidi" w:hAnsiTheme="majorBidi" w:cstheme="majorBidi"/>
        </w:rPr>
        <w:t xml:space="preserve">GC </w:t>
      </w:r>
      <w:r w:rsidRPr="005A4DD8">
        <w:rPr>
          <w:rFonts w:asciiTheme="majorBidi" w:hAnsiTheme="majorBidi" w:cstheme="majorBidi"/>
          <w:lang w:val="en-GB"/>
        </w:rPr>
        <w:t xml:space="preserve">– </w:t>
      </w:r>
      <w:r w:rsidRPr="005A4DD8">
        <w:rPr>
          <w:rFonts w:asciiTheme="majorBidi" w:hAnsiTheme="majorBidi" w:cstheme="majorBidi"/>
        </w:rPr>
        <w:t xml:space="preserve">Gas chromatography; GC-MS </w:t>
      </w:r>
      <w:r w:rsidRPr="005A4DD8">
        <w:rPr>
          <w:rFonts w:asciiTheme="majorBidi" w:hAnsiTheme="majorBidi" w:cstheme="majorBidi"/>
          <w:lang w:val="en-GB"/>
        </w:rPr>
        <w:t xml:space="preserve">– </w:t>
      </w:r>
      <w:r w:rsidRPr="005A4DD8">
        <w:rPr>
          <w:rFonts w:asciiTheme="majorBidi" w:hAnsiTheme="majorBidi" w:cstheme="majorBidi"/>
        </w:rPr>
        <w:t xml:space="preserve">Gas chromatography/mass spectrometry; LC-ESI-MS/MS </w:t>
      </w:r>
      <w:r w:rsidRPr="005A4DD8">
        <w:rPr>
          <w:rFonts w:asciiTheme="majorBidi" w:hAnsiTheme="majorBidi" w:cstheme="majorBidi"/>
          <w:lang w:val="en-GB"/>
        </w:rPr>
        <w:t xml:space="preserve">– </w:t>
      </w:r>
      <w:r w:rsidRPr="005A4DD8">
        <w:rPr>
          <w:rFonts w:asciiTheme="majorBidi" w:hAnsiTheme="majorBidi" w:cstheme="majorBidi"/>
        </w:rPr>
        <w:t xml:space="preserve">Reversed-phase liquid chromatography/electrospray ionization/tandem mass spectrometry; PAEKI-CE-ESI-MS/MS </w:t>
      </w:r>
      <w:r w:rsidRPr="005A4DD8">
        <w:rPr>
          <w:rFonts w:asciiTheme="majorBidi" w:hAnsiTheme="majorBidi" w:cstheme="majorBidi"/>
          <w:lang w:val="en-GB"/>
        </w:rPr>
        <w:t xml:space="preserve">– </w:t>
      </w:r>
      <w:r w:rsidRPr="005A4DD8">
        <w:rPr>
          <w:rFonts w:asciiTheme="majorBidi" w:hAnsiTheme="majorBidi" w:cstheme="majorBidi"/>
        </w:rPr>
        <w:t xml:space="preserve">Pressure-assisted electrokinetic injection capillary electrophoresis electrospray ionization tandem mass spectrometry; </w:t>
      </w:r>
      <w:r w:rsidRPr="005A4DD8">
        <w:rPr>
          <w:rFonts w:asciiTheme="majorBidi" w:hAnsiTheme="majorBidi" w:cstheme="majorBidi"/>
          <w:bCs/>
        </w:rPr>
        <w:t xml:space="preserve">IC-ESI-MS </w:t>
      </w:r>
      <w:r w:rsidRPr="005A4DD8">
        <w:rPr>
          <w:rFonts w:asciiTheme="majorBidi" w:hAnsiTheme="majorBidi" w:cstheme="majorBidi"/>
          <w:lang w:val="en-GB"/>
        </w:rPr>
        <w:t xml:space="preserve">– </w:t>
      </w:r>
      <w:r w:rsidRPr="005A4DD8">
        <w:rPr>
          <w:rFonts w:asciiTheme="majorBidi" w:hAnsiTheme="majorBidi" w:cstheme="majorBidi"/>
          <w:bCs/>
        </w:rPr>
        <w:t>Ion chromatography-electrospray mass spectrometry; CZE-C</w:t>
      </w:r>
      <w:r w:rsidRPr="005A4DD8">
        <w:rPr>
          <w:rFonts w:asciiTheme="majorBidi" w:hAnsiTheme="majorBidi" w:cstheme="majorBidi"/>
          <w:bCs/>
          <w:vertAlign w:val="superscript"/>
        </w:rPr>
        <w:t>4</w:t>
      </w:r>
      <w:r w:rsidRPr="005A4DD8">
        <w:rPr>
          <w:rFonts w:asciiTheme="majorBidi" w:hAnsiTheme="majorBidi" w:cstheme="majorBidi"/>
          <w:bCs/>
        </w:rPr>
        <w:t xml:space="preserve">D </w:t>
      </w:r>
      <w:r w:rsidRPr="005A4DD8">
        <w:rPr>
          <w:rFonts w:asciiTheme="majorBidi" w:hAnsiTheme="majorBidi" w:cstheme="majorBidi"/>
          <w:lang w:val="en-GB"/>
        </w:rPr>
        <w:t xml:space="preserve">– </w:t>
      </w:r>
      <w:r w:rsidRPr="005A4DD8">
        <w:rPr>
          <w:rFonts w:asciiTheme="majorBidi" w:hAnsiTheme="majorBidi" w:cstheme="majorBidi"/>
          <w:bCs/>
        </w:rPr>
        <w:t>Capillary zone electrophoresis with contactless conductivity detection; MCE-C</w:t>
      </w:r>
      <w:r w:rsidRPr="005A4DD8">
        <w:rPr>
          <w:rFonts w:asciiTheme="majorBidi" w:hAnsiTheme="majorBidi" w:cstheme="majorBidi"/>
          <w:bCs/>
          <w:vertAlign w:val="superscript"/>
        </w:rPr>
        <w:t>4</w:t>
      </w:r>
      <w:r w:rsidRPr="005A4DD8">
        <w:rPr>
          <w:rFonts w:asciiTheme="majorBidi" w:hAnsiTheme="majorBidi" w:cstheme="majorBidi"/>
          <w:bCs/>
        </w:rPr>
        <w:t>D – Microchip electrophoresis with contactless conductivity detection.</w:t>
      </w:r>
    </w:p>
    <w:sectPr w:rsidR="00FF3C6D" w:rsidRPr="005A4DD8" w:rsidSect="007F7EC7">
      <w:headerReference w:type="even" r:id="rId18"/>
      <w:headerReference w:type="default" r:id="rId19"/>
      <w:footerReference w:type="even" r:id="rId20"/>
      <w:footerReference w:type="default" r:id="rId21"/>
      <w:headerReference w:type="first" r:id="rId22"/>
      <w:footerReference w:type="first" r:id="rId23"/>
      <w:footnotePr>
        <w:numFmt w:val="chicago"/>
      </w:footnotePr>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72A1B" w14:textId="77777777" w:rsidR="00553528" w:rsidRDefault="00553528" w:rsidP="00552C47">
      <w:pPr>
        <w:spacing w:after="0" w:line="240" w:lineRule="auto"/>
      </w:pPr>
      <w:r>
        <w:separator/>
      </w:r>
    </w:p>
  </w:endnote>
  <w:endnote w:type="continuationSeparator" w:id="0">
    <w:p w14:paraId="1F533E58" w14:textId="77777777" w:rsidR="00553528" w:rsidRDefault="00553528" w:rsidP="0055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4BF5" w14:textId="77777777" w:rsidR="00552C47" w:rsidRDefault="00552C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0CFB09A" w14:textId="77777777" w:rsidR="00552C47" w:rsidRDefault="00552C4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B910" w14:textId="77777777" w:rsidR="00552C47" w:rsidRDefault="00552C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18</w:t>
    </w:r>
    <w:r>
      <w:rPr>
        <w:rStyle w:val="slostrany"/>
      </w:rPr>
      <w:fldChar w:fldCharType="end"/>
    </w:r>
  </w:p>
  <w:p w14:paraId="14566645" w14:textId="77777777" w:rsidR="00552C47" w:rsidRDefault="00552C4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3531" w14:textId="77777777" w:rsidR="00552C47" w:rsidRDefault="00552C4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4D9E" w14:textId="77777777" w:rsidR="00E0488C" w:rsidRDefault="005170F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2406677" w14:textId="77777777" w:rsidR="00E0488C" w:rsidRDefault="00E0488C">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FB61" w14:textId="77777777" w:rsidR="00E0488C" w:rsidRDefault="005170F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18</w:t>
    </w:r>
    <w:r>
      <w:rPr>
        <w:rStyle w:val="slostrany"/>
      </w:rPr>
      <w:fldChar w:fldCharType="end"/>
    </w:r>
  </w:p>
  <w:p w14:paraId="655AB60A" w14:textId="77777777" w:rsidR="00E0488C" w:rsidRDefault="00E0488C">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6E24" w14:textId="77777777" w:rsidR="00E0488C" w:rsidRDefault="00E048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7E7F" w14:textId="77777777" w:rsidR="00553528" w:rsidRDefault="00553528" w:rsidP="00552C47">
      <w:pPr>
        <w:spacing w:after="0" w:line="240" w:lineRule="auto"/>
      </w:pPr>
      <w:r>
        <w:separator/>
      </w:r>
    </w:p>
  </w:footnote>
  <w:footnote w:type="continuationSeparator" w:id="0">
    <w:p w14:paraId="691ECA50" w14:textId="77777777" w:rsidR="00553528" w:rsidRDefault="00553528" w:rsidP="00552C47">
      <w:pPr>
        <w:spacing w:after="0" w:line="240" w:lineRule="auto"/>
      </w:pPr>
      <w:r>
        <w:continuationSeparator/>
      </w:r>
    </w:p>
  </w:footnote>
  <w:footnote w:id="1">
    <w:p w14:paraId="7D127A13" w14:textId="77777777" w:rsidR="002D423F" w:rsidRPr="00B460B1" w:rsidRDefault="002D423F" w:rsidP="002D423F">
      <w:pPr>
        <w:pStyle w:val="Textpoznmkypodiarou"/>
        <w:rPr>
          <w:lang w:val="en-US"/>
        </w:rPr>
      </w:pPr>
      <w:r>
        <w:rPr>
          <w:rStyle w:val="Odkaznapoznmkupodiarou"/>
        </w:rPr>
        <w:footnoteRef/>
      </w:r>
      <w:r w:rsidRPr="00B460B1">
        <w:t>Corresponding author. Email: marian.masar@uniba.sk; Tel.: +42129014 9321; ORCID: 0000-0002-9287-1764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DAD8" w14:textId="77777777" w:rsidR="00552C47" w:rsidRDefault="00552C4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E5EA" w14:textId="77777777" w:rsidR="00552C47" w:rsidRDefault="00552C4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03FD" w14:textId="77777777" w:rsidR="00552C47" w:rsidRDefault="00552C4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9E45" w14:textId="77777777" w:rsidR="00E0488C" w:rsidRDefault="00E0488C">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D184" w14:textId="77777777" w:rsidR="00E0488C" w:rsidRDefault="00E0488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8E18" w14:textId="77777777" w:rsidR="00E0488C" w:rsidRDefault="00E0488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C3"/>
    <w:rsid w:val="00070B42"/>
    <w:rsid w:val="00082A68"/>
    <w:rsid w:val="000C6BFB"/>
    <w:rsid w:val="000D62CD"/>
    <w:rsid w:val="000F580B"/>
    <w:rsid w:val="000F665C"/>
    <w:rsid w:val="00131347"/>
    <w:rsid w:val="00172D90"/>
    <w:rsid w:val="001906A3"/>
    <w:rsid w:val="00192FFA"/>
    <w:rsid w:val="001A70C2"/>
    <w:rsid w:val="001D12B3"/>
    <w:rsid w:val="001E554E"/>
    <w:rsid w:val="001F3286"/>
    <w:rsid w:val="00204E3F"/>
    <w:rsid w:val="00227C72"/>
    <w:rsid w:val="002B05DD"/>
    <w:rsid w:val="002D423F"/>
    <w:rsid w:val="00342B6C"/>
    <w:rsid w:val="00395425"/>
    <w:rsid w:val="003E12C3"/>
    <w:rsid w:val="003F535E"/>
    <w:rsid w:val="004D5C50"/>
    <w:rsid w:val="00500DFA"/>
    <w:rsid w:val="00516219"/>
    <w:rsid w:val="005170F3"/>
    <w:rsid w:val="00552C47"/>
    <w:rsid w:val="00553528"/>
    <w:rsid w:val="005A3F27"/>
    <w:rsid w:val="005A4DD8"/>
    <w:rsid w:val="00623F2A"/>
    <w:rsid w:val="00642AAC"/>
    <w:rsid w:val="006753A4"/>
    <w:rsid w:val="006C135B"/>
    <w:rsid w:val="00706882"/>
    <w:rsid w:val="007316DF"/>
    <w:rsid w:val="007427A3"/>
    <w:rsid w:val="00750975"/>
    <w:rsid w:val="00786555"/>
    <w:rsid w:val="007875E9"/>
    <w:rsid w:val="007A2ABC"/>
    <w:rsid w:val="007F7EC7"/>
    <w:rsid w:val="00803856"/>
    <w:rsid w:val="008A086D"/>
    <w:rsid w:val="008A5E1D"/>
    <w:rsid w:val="008A69C6"/>
    <w:rsid w:val="008F10A3"/>
    <w:rsid w:val="008F6DF1"/>
    <w:rsid w:val="009646B0"/>
    <w:rsid w:val="009D2222"/>
    <w:rsid w:val="00A21488"/>
    <w:rsid w:val="00A36129"/>
    <w:rsid w:val="00A63484"/>
    <w:rsid w:val="00A70A93"/>
    <w:rsid w:val="00AD53B3"/>
    <w:rsid w:val="00B40CE2"/>
    <w:rsid w:val="00B558A8"/>
    <w:rsid w:val="00B810AE"/>
    <w:rsid w:val="00B81B62"/>
    <w:rsid w:val="00BE2BEA"/>
    <w:rsid w:val="00C44FE0"/>
    <w:rsid w:val="00C82A82"/>
    <w:rsid w:val="00C842AB"/>
    <w:rsid w:val="00CD1185"/>
    <w:rsid w:val="00D129AE"/>
    <w:rsid w:val="00D54CB9"/>
    <w:rsid w:val="00D56102"/>
    <w:rsid w:val="00DE0A78"/>
    <w:rsid w:val="00E04CA7"/>
    <w:rsid w:val="00E141FB"/>
    <w:rsid w:val="00E40583"/>
    <w:rsid w:val="00E408BC"/>
    <w:rsid w:val="00E5751C"/>
    <w:rsid w:val="00E64A55"/>
    <w:rsid w:val="00E7606A"/>
    <w:rsid w:val="00EA1283"/>
    <w:rsid w:val="00F34AA6"/>
    <w:rsid w:val="00F34E93"/>
    <w:rsid w:val="00F57C39"/>
    <w:rsid w:val="00F64845"/>
    <w:rsid w:val="00FD1B82"/>
    <w:rsid w:val="00FD2C58"/>
    <w:rsid w:val="00FF3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E7DAB"/>
  <w15:chartTrackingRefBased/>
  <w15:docId w15:val="{DE515502-CFE4-46EA-86A0-38207C99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552C47"/>
    <w:pPr>
      <w:tabs>
        <w:tab w:val="center" w:pos="4536"/>
        <w:tab w:val="right" w:pos="9072"/>
      </w:tabs>
      <w:spacing w:after="0" w:line="240" w:lineRule="auto"/>
    </w:pPr>
    <w:rPr>
      <w:rFonts w:ascii="Times New Roman" w:eastAsia="Times New Roman" w:hAnsi="Times New Roman" w:cs="Times New Roman"/>
      <w:kern w:val="0"/>
      <w:sz w:val="24"/>
      <w:szCs w:val="24"/>
      <w:lang w:val="en" w:eastAsia="sk-SK"/>
      <w14:ligatures w14:val="none"/>
    </w:rPr>
  </w:style>
  <w:style w:type="character" w:customStyle="1" w:styleId="PtaChar">
    <w:name w:val="Päta Char"/>
    <w:basedOn w:val="Predvolenpsmoodseku"/>
    <w:link w:val="Pta"/>
    <w:uiPriority w:val="99"/>
    <w:rsid w:val="00552C47"/>
    <w:rPr>
      <w:rFonts w:ascii="Times New Roman" w:eastAsia="Times New Roman" w:hAnsi="Times New Roman" w:cs="Times New Roman"/>
      <w:kern w:val="0"/>
      <w:sz w:val="24"/>
      <w:szCs w:val="24"/>
      <w:lang w:val="en" w:eastAsia="sk-SK"/>
      <w14:ligatures w14:val="none"/>
    </w:rPr>
  </w:style>
  <w:style w:type="character" w:styleId="slostrany">
    <w:name w:val="page number"/>
    <w:basedOn w:val="Predvolenpsmoodseku"/>
    <w:rsid w:val="00552C47"/>
  </w:style>
  <w:style w:type="table" w:styleId="Mriekatabuky">
    <w:name w:val="Table Grid"/>
    <w:basedOn w:val="Normlnatabuka"/>
    <w:rsid w:val="00552C47"/>
    <w:pPr>
      <w:spacing w:after="0" w:line="240" w:lineRule="auto"/>
    </w:pPr>
    <w:rPr>
      <w:rFonts w:ascii="Times New Roman" w:eastAsia="Times New Roman" w:hAnsi="Times New Roman" w:cs="Times New Roman"/>
      <w:kern w:val="0"/>
      <w:sz w:val="20"/>
      <w:szCs w:val="2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552C47"/>
    <w:pPr>
      <w:tabs>
        <w:tab w:val="center" w:pos="4153"/>
        <w:tab w:val="right" w:pos="8306"/>
      </w:tabs>
      <w:spacing w:after="0" w:line="240" w:lineRule="auto"/>
    </w:pPr>
    <w:rPr>
      <w:rFonts w:ascii="Times New Roman" w:eastAsia="Times New Roman" w:hAnsi="Times New Roman" w:cs="Times New Roman"/>
      <w:kern w:val="0"/>
      <w:sz w:val="24"/>
      <w:szCs w:val="24"/>
      <w:lang w:val="en" w:eastAsia="sk-SK"/>
      <w14:ligatures w14:val="none"/>
    </w:rPr>
  </w:style>
  <w:style w:type="character" w:customStyle="1" w:styleId="HlavikaChar">
    <w:name w:val="Hlavička Char"/>
    <w:basedOn w:val="Predvolenpsmoodseku"/>
    <w:link w:val="Hlavika"/>
    <w:rsid w:val="00552C47"/>
    <w:rPr>
      <w:rFonts w:ascii="Times New Roman" w:eastAsia="Times New Roman" w:hAnsi="Times New Roman" w:cs="Times New Roman"/>
      <w:kern w:val="0"/>
      <w:sz w:val="24"/>
      <w:szCs w:val="24"/>
      <w:lang w:val="en" w:eastAsia="sk-SK"/>
      <w14:ligatures w14:val="none"/>
    </w:rPr>
  </w:style>
  <w:style w:type="paragraph" w:styleId="Textpoznmkypodiarou">
    <w:name w:val="footnote text"/>
    <w:basedOn w:val="Normlny"/>
    <w:link w:val="TextpoznmkypodiarouChar"/>
    <w:uiPriority w:val="99"/>
    <w:unhideWhenUsed/>
    <w:rsid w:val="00552C47"/>
    <w:pPr>
      <w:spacing w:after="0" w:line="240" w:lineRule="auto"/>
    </w:pPr>
    <w:rPr>
      <w:rFonts w:ascii="Times New Roman" w:eastAsia="Times New Roman" w:hAnsi="Times New Roman" w:cs="Times New Roman"/>
      <w:snapToGrid w:val="0"/>
      <w:kern w:val="0"/>
      <w:sz w:val="20"/>
      <w:szCs w:val="20"/>
      <w:lang w:val="en-GB"/>
      <w14:ligatures w14:val="none"/>
    </w:rPr>
  </w:style>
  <w:style w:type="character" w:customStyle="1" w:styleId="TextpoznmkypodiarouChar">
    <w:name w:val="Text poznámky pod čiarou Char"/>
    <w:basedOn w:val="Predvolenpsmoodseku"/>
    <w:link w:val="Textpoznmkypodiarou"/>
    <w:uiPriority w:val="99"/>
    <w:rsid w:val="00552C47"/>
    <w:rPr>
      <w:rFonts w:ascii="Times New Roman" w:eastAsia="Times New Roman" w:hAnsi="Times New Roman" w:cs="Times New Roman"/>
      <w:snapToGrid w:val="0"/>
      <w:kern w:val="0"/>
      <w:sz w:val="20"/>
      <w:szCs w:val="20"/>
      <w:lang w:val="en-GB"/>
      <w14:ligatures w14:val="none"/>
    </w:rPr>
  </w:style>
  <w:style w:type="character" w:styleId="Odkaznapoznmkupodiarou">
    <w:name w:val="footnote reference"/>
    <w:uiPriority w:val="99"/>
    <w:unhideWhenUsed/>
    <w:rsid w:val="00552C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webSettings" Target="webSettings.xml"/><Relationship Id="rId21" Type="http://schemas.openxmlformats.org/officeDocument/2006/relationships/footer" Target="footer5.xml"/><Relationship Id="rId7" Type="http://schemas.openxmlformats.org/officeDocument/2006/relationships/image" Target="media/image2.tiff"/><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5.tiff"/><Relationship Id="rId19"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Massoud Kaykhaii</dc:creator>
  <cp:keywords/>
  <dc:description/>
  <cp:lastModifiedBy>Masár Marian</cp:lastModifiedBy>
  <cp:revision>2</cp:revision>
  <dcterms:created xsi:type="dcterms:W3CDTF">2025-10-25T13:35:00Z</dcterms:created>
  <dcterms:modified xsi:type="dcterms:W3CDTF">2025-10-25T13:35:00Z</dcterms:modified>
</cp:coreProperties>
</file>