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826FA" w14:textId="77777777" w:rsidR="004F6F6F" w:rsidRPr="004F6F6F" w:rsidRDefault="004F6F6F" w:rsidP="004F6F6F">
      <w:pPr>
        <w:keepNext/>
        <w:keepLines/>
        <w:widowControl/>
        <w:wordWrap/>
        <w:autoSpaceDE/>
        <w:autoSpaceDN/>
        <w:spacing w:before="480" w:after="0" w:line="276" w:lineRule="auto"/>
        <w:outlineLvl w:val="0"/>
        <w:rPr>
          <w:rFonts w:ascii="Calibri" w:eastAsia="맑은 고딕" w:hAnsi="Calibri" w:cs="Times New Roman"/>
          <w:color w:val="000000" w:themeColor="text1"/>
          <w:kern w:val="0"/>
          <w:sz w:val="28"/>
          <w:szCs w:val="28"/>
          <w14:ligatures w14:val="none"/>
        </w:rPr>
      </w:pPr>
      <w:r w:rsidRPr="004F6F6F">
        <w:rPr>
          <w:rFonts w:ascii="Calibri" w:eastAsia="MS Gothic" w:hAnsi="Calibri" w:cs="Times New Roman"/>
          <w:color w:val="000000" w:themeColor="text1"/>
          <w:kern w:val="0"/>
          <w:sz w:val="28"/>
          <w:szCs w:val="28"/>
          <w:lang w:eastAsia="en-US"/>
          <w14:ligatures w14:val="none"/>
        </w:rPr>
        <w:t>Appendix</w:t>
      </w:r>
      <w:r w:rsidRPr="004F6F6F">
        <w:rPr>
          <w:rFonts w:ascii="Calibri" w:eastAsia="맑은 고딕" w:hAnsi="Calibri" w:cs="Times New Roman" w:hint="eastAsia"/>
          <w:color w:val="000000" w:themeColor="text1"/>
          <w:kern w:val="0"/>
          <w:sz w:val="28"/>
          <w:szCs w:val="28"/>
          <w14:ligatures w14:val="none"/>
        </w:rPr>
        <w:t xml:space="preserve"> A. </w:t>
      </w:r>
      <w:r w:rsidRPr="004F6F6F">
        <w:rPr>
          <w:rFonts w:ascii="Calibri" w:eastAsia="맑은 고딕" w:hAnsi="Calibri" w:cs="Times New Roman"/>
          <w:color w:val="000000" w:themeColor="text1"/>
          <w:kern w:val="0"/>
          <w:sz w:val="28"/>
          <w:szCs w:val="28"/>
          <w14:ligatures w14:val="none"/>
        </w:rPr>
        <w:t>Six-Year GNSS Observation File QC Records (2010–2015)</w:t>
      </w:r>
    </w:p>
    <w:p w14:paraId="434C13DF"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r w:rsidRPr="004F6F6F">
        <w:rPr>
          <w:rFonts w:ascii="Cambria" w:eastAsia="맑은 고딕" w:hAnsi="Cambria" w:cs="Times New Roman"/>
          <w:color w:val="000000" w:themeColor="text1"/>
          <w:kern w:val="0"/>
          <w:szCs w:val="22"/>
          <w14:ligatures w14:val="none"/>
        </w:rPr>
        <w:t>Table A1 presents the annual GNSS observation file quality control (QC) results for the KSEJ station over the 2010–2015 period. The reported metrics include the mean and standard deviation of the utilization rate, the total number of observation days, the mean and standard deviation of multipath errors (MP1 and MP2), and the mean and standard deviation of the cycle slip rate (CSR). The CSR parameter quantifies the frequency of phase discontinuities in carrier-phase measurements, expressed both as the average number of epochs between cycle slips and as a percentage of total observations. In this analysis, CSR was derived from 30-second interval, 24-hour observation files, corresponding to 2880 epochs per day. For example, a CSR_mean of 1000 epochs indicates that, on average, one cycle slip occurred every 1000 observation epochs, equivalent to a cycle slip rate of 0.10%. Lower CSR values (in percentage terms) reflect more stable carrier-phase tracking and higher data integrity.</w:t>
      </w:r>
    </w:p>
    <w:p w14:paraId="58A31DB0"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r w:rsidRPr="004F6F6F">
        <w:rPr>
          <w:rFonts w:ascii="Cambria" w:eastAsia="맑은 고딕" w:hAnsi="Cambria" w:cs="Times New Roman"/>
          <w:color w:val="000000" w:themeColor="text1"/>
          <w:kern w:val="0"/>
          <w:szCs w:val="22"/>
          <w14:ligatures w14:val="none"/>
        </w:rPr>
        <w:t>Figure A1 illustrates the corresponding annual variations in mean utilization rate, mean multipath (MP1 and MP2), and mean CSR, providing a visual comparison of station performance across the six-year period. The combination of tabular and graphical results enables an integrated assessment of temporal trends in signal quality, data availability, and susceptibility to cycle slips at the KSEJ station.</w:t>
      </w:r>
    </w:p>
    <w:p w14:paraId="04B6D450"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r w:rsidRPr="004F6F6F">
        <w:rPr>
          <w:rFonts w:ascii="Cambria" w:eastAsia="맑은 고딕" w:hAnsi="Cambria" w:cs="Times New Roman" w:hint="eastAsia"/>
          <w:noProof/>
          <w:color w:val="000000" w:themeColor="text1"/>
          <w:kern w:val="0"/>
          <w:szCs w:val="22"/>
          <w14:ligatures w14:val="none"/>
        </w:rPr>
        <w:drawing>
          <wp:inline distT="0" distB="0" distL="0" distR="0" wp14:anchorId="4C9B1331" wp14:editId="743C0DB3">
            <wp:extent cx="5486400" cy="2419985"/>
            <wp:effectExtent l="0" t="0" r="0" b="0"/>
            <wp:docPr id="1616906209" name="그림 3" descr="텍스트, 스크린샷,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06209" name="그림 3" descr="텍스트, 스크린샷, 라인, 그래프이(가) 표시된 사진&#10;&#10;AI 생성 콘텐츠는 정확하지 않을 수 있습니다."/>
                    <pic:cNvPicPr/>
                  </pic:nvPicPr>
                  <pic:blipFill>
                    <a:blip r:embed="rId6"/>
                    <a:stretch>
                      <a:fillRect/>
                    </a:stretch>
                  </pic:blipFill>
                  <pic:spPr>
                    <a:xfrm>
                      <a:off x="0" y="0"/>
                      <a:ext cx="5486400" cy="2419985"/>
                    </a:xfrm>
                    <a:prstGeom prst="rect">
                      <a:avLst/>
                    </a:prstGeom>
                  </pic:spPr>
                </pic:pic>
              </a:graphicData>
            </a:graphic>
          </wp:inline>
        </w:drawing>
      </w:r>
    </w:p>
    <w:p w14:paraId="74FBBFB3" w14:textId="7D6382CC" w:rsidR="004F6F6F" w:rsidRPr="004F6F6F" w:rsidRDefault="004F6F6F" w:rsidP="004F6F6F">
      <w:pPr>
        <w:widowControl/>
        <w:wordWrap/>
        <w:autoSpaceDE/>
        <w:autoSpaceDN/>
        <w:spacing w:after="200"/>
        <w:rPr>
          <w:rFonts w:ascii="Cambria" w:eastAsia="맑은 고딕" w:hAnsi="Cambria" w:cs="Times New Roman"/>
          <w:color w:val="000000" w:themeColor="text1"/>
          <w:kern w:val="0"/>
          <w:sz w:val="18"/>
          <w:szCs w:val="18"/>
          <w14:ligatures w14:val="none"/>
        </w:rPr>
      </w:pPr>
      <w:r w:rsidRPr="004F6F6F">
        <w:rPr>
          <w:rFonts w:ascii="Cambria" w:eastAsia="MS Mincho" w:hAnsi="Cambria" w:cs="Times New Roman"/>
          <w:color w:val="000000" w:themeColor="text1"/>
          <w:kern w:val="0"/>
          <w:sz w:val="18"/>
          <w:szCs w:val="18"/>
          <w:lang w:eastAsia="en-US"/>
          <w14:ligatures w14:val="none"/>
        </w:rPr>
        <w:t>Figure</w:t>
      </w:r>
      <w:r w:rsidRPr="004F6F6F">
        <w:rPr>
          <w:rFonts w:ascii="Cambria" w:eastAsia="맑은 고딕" w:hAnsi="Cambria" w:cs="Times New Roman" w:hint="eastAsia"/>
          <w:color w:val="000000" w:themeColor="text1"/>
          <w:kern w:val="0"/>
          <w:sz w:val="18"/>
          <w:szCs w:val="18"/>
          <w14:ligatures w14:val="none"/>
        </w:rPr>
        <w:t xml:space="preserve"> A</w:t>
      </w:r>
      <w:r w:rsidRPr="004F6F6F">
        <w:rPr>
          <w:rFonts w:ascii="Cambria" w:eastAsia="MS Mincho" w:hAnsi="Cambria" w:cs="Times New Roman"/>
          <w:color w:val="000000" w:themeColor="text1"/>
          <w:kern w:val="0"/>
          <w:sz w:val="18"/>
          <w:szCs w:val="18"/>
          <w:lang w:eastAsia="en-US"/>
          <w14:ligatures w14:val="none"/>
        </w:rPr>
        <w:t xml:space="preserve"> </w:t>
      </w:r>
      <w:r w:rsidRPr="004F6F6F">
        <w:rPr>
          <w:rFonts w:ascii="Cambria" w:eastAsia="MS Mincho" w:hAnsi="Cambria" w:cs="Times New Roman"/>
          <w:color w:val="000000" w:themeColor="text1"/>
          <w:kern w:val="0"/>
          <w:sz w:val="18"/>
          <w:szCs w:val="18"/>
          <w:lang w:eastAsia="en-US"/>
          <w14:ligatures w14:val="none"/>
        </w:rPr>
        <w:fldChar w:fldCharType="begin"/>
      </w:r>
      <w:r w:rsidRPr="004F6F6F">
        <w:rPr>
          <w:rFonts w:ascii="Cambria" w:eastAsia="MS Mincho" w:hAnsi="Cambria" w:cs="Times New Roman"/>
          <w:color w:val="000000" w:themeColor="text1"/>
          <w:kern w:val="0"/>
          <w:sz w:val="18"/>
          <w:szCs w:val="18"/>
          <w:lang w:eastAsia="en-US"/>
          <w14:ligatures w14:val="none"/>
        </w:rPr>
        <w:instrText xml:space="preserve"> SEQ Figure \* ARABIC </w:instrText>
      </w:r>
      <w:r w:rsidRPr="004F6F6F">
        <w:rPr>
          <w:rFonts w:ascii="Cambria" w:eastAsia="MS Mincho" w:hAnsi="Cambria" w:cs="Times New Roman"/>
          <w:color w:val="000000" w:themeColor="text1"/>
          <w:kern w:val="0"/>
          <w:sz w:val="18"/>
          <w:szCs w:val="18"/>
          <w:lang w:eastAsia="en-US"/>
          <w14:ligatures w14:val="none"/>
        </w:rPr>
        <w:fldChar w:fldCharType="separate"/>
      </w:r>
      <w:r w:rsidR="001455DC">
        <w:rPr>
          <w:rFonts w:ascii="Cambria" w:eastAsia="MS Mincho" w:hAnsi="Cambria" w:cs="Times New Roman"/>
          <w:noProof/>
          <w:color w:val="000000" w:themeColor="text1"/>
          <w:kern w:val="0"/>
          <w:sz w:val="18"/>
          <w:szCs w:val="18"/>
          <w:lang w:eastAsia="en-US"/>
          <w14:ligatures w14:val="none"/>
        </w:rPr>
        <w:t>1</w:t>
      </w:r>
      <w:r w:rsidRPr="004F6F6F">
        <w:rPr>
          <w:rFonts w:ascii="Cambria" w:eastAsia="MS Mincho" w:hAnsi="Cambria" w:cs="Times New Roman"/>
          <w:noProof/>
          <w:color w:val="000000" w:themeColor="text1"/>
          <w:kern w:val="0"/>
          <w:sz w:val="18"/>
          <w:szCs w:val="18"/>
          <w:lang w:eastAsia="en-US"/>
          <w14:ligatures w14:val="none"/>
        </w:rPr>
        <w:fldChar w:fldCharType="end"/>
      </w:r>
      <w:r w:rsidRPr="004F6F6F">
        <w:rPr>
          <w:rFonts w:ascii="Cambria" w:eastAsia="맑은 고딕" w:hAnsi="Cambria" w:cs="Times New Roman" w:hint="eastAsia"/>
          <w:color w:val="000000" w:themeColor="text1"/>
          <w:kern w:val="0"/>
          <w:sz w:val="18"/>
          <w:szCs w:val="18"/>
          <w14:ligatures w14:val="none"/>
        </w:rPr>
        <w:t xml:space="preserve"> </w:t>
      </w:r>
      <w:r w:rsidRPr="004F6F6F">
        <w:rPr>
          <w:rFonts w:ascii="Cambria" w:eastAsia="맑은 고딕" w:hAnsi="Cambria" w:cs="Times New Roman"/>
          <w:color w:val="000000" w:themeColor="text1"/>
          <w:kern w:val="0"/>
          <w:sz w:val="18"/>
          <w:szCs w:val="18"/>
          <w14:ligatures w14:val="none"/>
        </w:rPr>
        <w:t xml:space="preserve">Annual variations in GNSS observation file quality control (QC) metrics for the KSEJ station from 2010 to 2015. (a) Mean utilization rate, expressed as the percentage of successfully processed observation epochs relative to the total available </w:t>
      </w:r>
      <w:proofErr w:type="gramStart"/>
      <w:r w:rsidRPr="004F6F6F">
        <w:rPr>
          <w:rFonts w:ascii="Cambria" w:eastAsia="맑은 고딕" w:hAnsi="Cambria" w:cs="Times New Roman"/>
          <w:color w:val="000000" w:themeColor="text1"/>
          <w:kern w:val="0"/>
          <w:sz w:val="18"/>
          <w:szCs w:val="18"/>
          <w14:ligatures w14:val="none"/>
        </w:rPr>
        <w:t>epochs</w:t>
      </w:r>
      <w:proofErr w:type="gramEnd"/>
      <w:r w:rsidRPr="004F6F6F">
        <w:rPr>
          <w:rFonts w:ascii="Cambria" w:eastAsia="맑은 고딕" w:hAnsi="Cambria" w:cs="Times New Roman"/>
          <w:color w:val="000000" w:themeColor="text1"/>
          <w:kern w:val="0"/>
          <w:sz w:val="18"/>
          <w:szCs w:val="18"/>
          <w14:ligatures w14:val="none"/>
        </w:rPr>
        <w:t xml:space="preserve"> per year, reflecting overall data availability. (b) Mean multipath values (MP1 and MP2) in meters, representing code multipath effects on the L1 and L2 frequencies, respectively; higher values indicate greater signal degradation due to reflective interference. (c) Mean cycle </w:t>
      </w:r>
      <w:proofErr w:type="gramStart"/>
      <w:r w:rsidRPr="004F6F6F">
        <w:rPr>
          <w:rFonts w:ascii="Cambria" w:eastAsia="맑은 고딕" w:hAnsi="Cambria" w:cs="Times New Roman"/>
          <w:color w:val="000000" w:themeColor="text1"/>
          <w:kern w:val="0"/>
          <w:sz w:val="18"/>
          <w:szCs w:val="18"/>
          <w14:ligatures w14:val="none"/>
        </w:rPr>
        <w:t>slip</w:t>
      </w:r>
      <w:proofErr w:type="gramEnd"/>
      <w:r w:rsidRPr="004F6F6F">
        <w:rPr>
          <w:rFonts w:ascii="Cambria" w:eastAsia="맑은 고딕" w:hAnsi="Cambria" w:cs="Times New Roman"/>
          <w:color w:val="000000" w:themeColor="text1"/>
          <w:kern w:val="0"/>
          <w:sz w:val="18"/>
          <w:szCs w:val="18"/>
          <w14:ligatures w14:val="none"/>
        </w:rPr>
        <w:t xml:space="preserve"> rate (CSR) expressed as the average number of epochs between cycle slips, computed from 30-second interval, 24-hour observation files (2880 epochs/day). The CSR metric quantifies carrier-phase continuity, where higher values denote fewer cycle slips and better phase tracking performance. Together, these plots enable assessment of temporal stability, signal quality, and tracking robustness over the six-year monitoring period.</w:t>
      </w:r>
    </w:p>
    <w:p w14:paraId="78F63088"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r w:rsidRPr="004F6F6F">
        <w:rPr>
          <w:rFonts w:ascii="Cambria" w:eastAsia="맑은 고딕" w:hAnsi="Cambria" w:cs="Times New Roman"/>
          <w:color w:val="000000" w:themeColor="text1"/>
          <w:kern w:val="0"/>
          <w:szCs w:val="22"/>
          <w14:ligatures w14:val="none"/>
        </w:rPr>
        <w:t xml:space="preserve">Table A1 summarizes the annual quality control (QC) statistics derived from 30-second interval, 24-hour GNSS observation files collected at the KSEJ station over the period 2010–2015. The reported metrics include the mean and standard deviation of utilization rate (percentage of valid observation epochs), the total number of observation days (N), mean and standard deviation of multipath on L1 and L2 frequencies (MP1 and MP2), and the mean cycle slip rate </w:t>
      </w:r>
      <w:r w:rsidRPr="004F6F6F">
        <w:rPr>
          <w:rFonts w:ascii="Cambria" w:eastAsia="맑은 고딕" w:hAnsi="Cambria" w:cs="Times New Roman"/>
          <w:color w:val="000000" w:themeColor="text1"/>
          <w:kern w:val="0"/>
          <w:szCs w:val="22"/>
          <w14:ligatures w14:val="none"/>
        </w:rPr>
        <w:lastRenderedPageBreak/>
        <w:t>(CSR). In this study, CSR is expressed in two forms: the mean number of epochs between consecutive cycle slips (CSR_mean) and the equivalent percentage of cycle slip occurrences relative to total daily epochs (CSR_mean %). The latter provides a normalized measure for comparing phase continuity performance across different observation periods.</w:t>
      </w:r>
    </w:p>
    <w:p w14:paraId="17B0D103" w14:textId="77777777" w:rsidR="004F6F6F" w:rsidRPr="004F6F6F" w:rsidRDefault="004F6F6F" w:rsidP="004F6F6F">
      <w:pPr>
        <w:widowControl/>
        <w:wordWrap/>
        <w:autoSpaceDE/>
        <w:autoSpaceDN/>
        <w:spacing w:after="200"/>
        <w:rPr>
          <w:rFonts w:ascii="Cambria" w:eastAsia="맑은 고딕" w:hAnsi="Cambria" w:cs="Times New Roman"/>
          <w:color w:val="000000" w:themeColor="text1"/>
          <w:kern w:val="0"/>
          <w:sz w:val="18"/>
          <w:szCs w:val="18"/>
          <w14:ligatures w14:val="none"/>
        </w:rPr>
      </w:pPr>
      <w:r w:rsidRPr="004F6F6F">
        <w:rPr>
          <w:rFonts w:ascii="Cambria" w:eastAsia="맑은 고딕" w:hAnsi="Cambria" w:cs="Times New Roman"/>
          <w:color w:val="000000" w:themeColor="text1"/>
          <w:kern w:val="0"/>
          <w:sz w:val="18"/>
          <w:szCs w:val="18"/>
          <w14:ligatures w14:val="none"/>
        </w:rPr>
        <w:t xml:space="preserve">Table </w:t>
      </w:r>
      <w:r w:rsidRPr="004F6F6F">
        <w:rPr>
          <w:rFonts w:ascii="Cambria" w:eastAsia="맑은 고딕" w:hAnsi="Cambria" w:cs="Times New Roman" w:hint="eastAsia"/>
          <w:color w:val="000000" w:themeColor="text1"/>
          <w:kern w:val="0"/>
          <w:sz w:val="18"/>
          <w:szCs w:val="18"/>
          <w14:ligatures w14:val="none"/>
        </w:rPr>
        <w:t xml:space="preserve">A1 </w:t>
      </w:r>
      <w:r w:rsidRPr="004F6F6F">
        <w:rPr>
          <w:rFonts w:ascii="Cambria" w:eastAsia="맑은 고딕" w:hAnsi="Cambria" w:cs="Times New Roman"/>
          <w:color w:val="000000" w:themeColor="text1"/>
          <w:kern w:val="0"/>
          <w:sz w:val="18"/>
          <w:szCs w:val="18"/>
          <w14:ligatures w14:val="none"/>
        </w:rPr>
        <w:t xml:space="preserve">Annual GNSS observation file quality control (QC) results for the KSEJ station from 2010 to 2015. </w:t>
      </w:r>
      <w:proofErr w:type="spellStart"/>
      <w:r w:rsidRPr="004F6F6F">
        <w:rPr>
          <w:rFonts w:ascii="Cambria" w:eastAsia="맑은 고딕" w:hAnsi="Cambria" w:cs="Times New Roman"/>
          <w:color w:val="000000" w:themeColor="text1"/>
          <w:kern w:val="0"/>
          <w:sz w:val="18"/>
          <w:szCs w:val="18"/>
          <w14:ligatures w14:val="none"/>
        </w:rPr>
        <w:t>Util_mean</w:t>
      </w:r>
      <w:proofErr w:type="spellEnd"/>
      <w:r w:rsidRPr="004F6F6F">
        <w:rPr>
          <w:rFonts w:ascii="Cambria" w:eastAsia="맑은 고딕" w:hAnsi="Cambria" w:cs="Times New Roman"/>
          <w:color w:val="000000" w:themeColor="text1"/>
          <w:kern w:val="0"/>
          <w:sz w:val="18"/>
          <w:szCs w:val="18"/>
          <w14:ligatures w14:val="none"/>
        </w:rPr>
        <w:t xml:space="preserve"> and </w:t>
      </w:r>
      <w:proofErr w:type="spellStart"/>
      <w:r w:rsidRPr="004F6F6F">
        <w:rPr>
          <w:rFonts w:ascii="Cambria" w:eastAsia="맑은 고딕" w:hAnsi="Cambria" w:cs="Times New Roman"/>
          <w:color w:val="000000" w:themeColor="text1"/>
          <w:kern w:val="0"/>
          <w:sz w:val="18"/>
          <w:szCs w:val="18"/>
          <w14:ligatures w14:val="none"/>
        </w:rPr>
        <w:t>Util_std</w:t>
      </w:r>
      <w:proofErr w:type="spellEnd"/>
      <w:r w:rsidRPr="004F6F6F">
        <w:rPr>
          <w:rFonts w:ascii="Cambria" w:eastAsia="맑은 고딕" w:hAnsi="Cambria" w:cs="Times New Roman"/>
          <w:color w:val="000000" w:themeColor="text1"/>
          <w:kern w:val="0"/>
          <w:sz w:val="18"/>
          <w:szCs w:val="18"/>
          <w14:ligatures w14:val="none"/>
        </w:rPr>
        <w:t xml:space="preserve"> represent the average and variability of daily data utilization, N denotes the number of valid observation days per year, and MP1/MP2 </w:t>
      </w:r>
      <w:proofErr w:type="gramStart"/>
      <w:r w:rsidRPr="004F6F6F">
        <w:rPr>
          <w:rFonts w:ascii="Cambria" w:eastAsia="맑은 고딕" w:hAnsi="Cambria" w:cs="Times New Roman"/>
          <w:color w:val="000000" w:themeColor="text1"/>
          <w:kern w:val="0"/>
          <w:sz w:val="18"/>
          <w:szCs w:val="18"/>
          <w14:ligatures w14:val="none"/>
        </w:rPr>
        <w:t>refer</w:t>
      </w:r>
      <w:proofErr w:type="gramEnd"/>
      <w:r w:rsidRPr="004F6F6F">
        <w:rPr>
          <w:rFonts w:ascii="Cambria" w:eastAsia="맑은 고딕" w:hAnsi="Cambria" w:cs="Times New Roman"/>
          <w:color w:val="000000" w:themeColor="text1"/>
          <w:kern w:val="0"/>
          <w:sz w:val="18"/>
          <w:szCs w:val="18"/>
          <w14:ligatures w14:val="none"/>
        </w:rPr>
        <w:t xml:space="preserve"> to the mean and standard deviation of multipath on L1 and L2 signals, respectively. CSR_mean represents the average number of epochs between cycle slips (higher values indicate better carrier-phase continuity), while CSR_mean % expresses the proportion of cycle slip occurrences relative to the total number of daily</w:t>
      </w:r>
      <w:r w:rsidRPr="004F6F6F">
        <w:rPr>
          <w:rFonts w:ascii="Cambria" w:eastAsia="맑은 고딕" w:hAnsi="Cambria" w:cs="Times New Roman" w:hint="eastAsia"/>
          <w:color w:val="000000" w:themeColor="text1"/>
          <w:kern w:val="0"/>
          <w:sz w:val="18"/>
          <w:szCs w:val="18"/>
          <w14:ligatures w14:val="none"/>
        </w:rPr>
        <w:t>.</w:t>
      </w:r>
      <w:r w:rsidRPr="004F6F6F">
        <w:rPr>
          <w:rFonts w:ascii="Cambria" w:eastAsia="맑은 고딕" w:hAnsi="Cambria" w:cs="Times New Roman"/>
          <w:color w:val="000000" w:themeColor="text1"/>
          <w:kern w:val="0"/>
          <w:sz w:val="18"/>
          <w:szCs w:val="18"/>
          <w14:ligatures w14:val="none"/>
        </w:rPr>
        <w:t xml:space="preserve"> </w:t>
      </w:r>
    </w:p>
    <w:tbl>
      <w:tblPr>
        <w:tblStyle w:val="11"/>
        <w:tblW w:w="0" w:type="auto"/>
        <w:tblLayout w:type="fixed"/>
        <w:tblLook w:val="04A0" w:firstRow="1" w:lastRow="0" w:firstColumn="1" w:lastColumn="0" w:noHBand="0" w:noVBand="1"/>
      </w:tblPr>
      <w:tblGrid>
        <w:gridCol w:w="675"/>
        <w:gridCol w:w="882"/>
        <w:gridCol w:w="794"/>
        <w:gridCol w:w="663"/>
        <w:gridCol w:w="1057"/>
        <w:gridCol w:w="869"/>
        <w:gridCol w:w="1057"/>
        <w:gridCol w:w="869"/>
        <w:gridCol w:w="995"/>
        <w:gridCol w:w="995"/>
      </w:tblGrid>
      <w:tr w:rsidR="004F6F6F" w:rsidRPr="004F6F6F" w14:paraId="210639E3" w14:textId="77777777" w:rsidTr="009D7A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754F2073" w14:textId="77777777" w:rsidR="004F6F6F" w:rsidRPr="004F6F6F" w:rsidRDefault="004F6F6F" w:rsidP="004F6F6F">
            <w:pPr>
              <w:widowControl/>
              <w:wordWrap/>
              <w:autoSpaceDE/>
              <w:autoSpaceDN/>
              <w:spacing w:after="200" w:line="276" w:lineRule="auto"/>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Year</w:t>
            </w:r>
          </w:p>
        </w:tc>
        <w:tc>
          <w:tcPr>
            <w:tcW w:w="882" w:type="dxa"/>
            <w:vAlign w:val="center"/>
          </w:tcPr>
          <w:p w14:paraId="779CDD1A"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proofErr w:type="spellStart"/>
            <w:r w:rsidRPr="004F6F6F">
              <w:rPr>
                <w:rFonts w:ascii="Calibri" w:eastAsia="맑은 고딕" w:hAnsi="Calibri" w:cs="Calibri"/>
                <w:b w:val="0"/>
                <w:bCs w:val="0"/>
                <w:color w:val="000000" w:themeColor="text1"/>
                <w:sz w:val="18"/>
                <w:szCs w:val="18"/>
              </w:rPr>
              <w:t>Util_mean</w:t>
            </w:r>
            <w:proofErr w:type="spellEnd"/>
            <w:r w:rsidRPr="004F6F6F">
              <w:rPr>
                <w:rFonts w:ascii="Calibri" w:eastAsia="맑은 고딕" w:hAnsi="Calibri" w:cs="Calibri"/>
                <w:b w:val="0"/>
                <w:bCs w:val="0"/>
                <w:color w:val="000000" w:themeColor="text1"/>
                <w:sz w:val="18"/>
                <w:szCs w:val="18"/>
              </w:rPr>
              <w:t xml:space="preserve"> (%)</w:t>
            </w:r>
          </w:p>
        </w:tc>
        <w:tc>
          <w:tcPr>
            <w:tcW w:w="794" w:type="dxa"/>
            <w:vAlign w:val="center"/>
          </w:tcPr>
          <w:p w14:paraId="57DB1C10"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proofErr w:type="spellStart"/>
            <w:r w:rsidRPr="004F6F6F">
              <w:rPr>
                <w:rFonts w:ascii="Calibri" w:eastAsia="맑은 고딕" w:hAnsi="Calibri" w:cs="Calibri"/>
                <w:b w:val="0"/>
                <w:bCs w:val="0"/>
                <w:color w:val="000000" w:themeColor="text1"/>
                <w:sz w:val="18"/>
                <w:szCs w:val="18"/>
              </w:rPr>
              <w:t>Util_std</w:t>
            </w:r>
            <w:proofErr w:type="spellEnd"/>
          </w:p>
        </w:tc>
        <w:tc>
          <w:tcPr>
            <w:tcW w:w="663" w:type="dxa"/>
            <w:vAlign w:val="center"/>
          </w:tcPr>
          <w:p w14:paraId="0BD08821"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N (days)</w:t>
            </w:r>
          </w:p>
        </w:tc>
        <w:tc>
          <w:tcPr>
            <w:tcW w:w="1057" w:type="dxa"/>
            <w:vAlign w:val="center"/>
          </w:tcPr>
          <w:p w14:paraId="5A030632"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MP1_mean (m)</w:t>
            </w:r>
          </w:p>
        </w:tc>
        <w:tc>
          <w:tcPr>
            <w:tcW w:w="869" w:type="dxa"/>
            <w:vAlign w:val="center"/>
          </w:tcPr>
          <w:p w14:paraId="41118C72"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MP1_std (m)</w:t>
            </w:r>
          </w:p>
        </w:tc>
        <w:tc>
          <w:tcPr>
            <w:tcW w:w="1057" w:type="dxa"/>
            <w:vAlign w:val="center"/>
          </w:tcPr>
          <w:p w14:paraId="5945DAE9"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MP2_mean (m)</w:t>
            </w:r>
          </w:p>
        </w:tc>
        <w:tc>
          <w:tcPr>
            <w:tcW w:w="869" w:type="dxa"/>
            <w:vAlign w:val="center"/>
          </w:tcPr>
          <w:p w14:paraId="67EC1341"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MP2_std (m)</w:t>
            </w:r>
          </w:p>
        </w:tc>
        <w:tc>
          <w:tcPr>
            <w:tcW w:w="995" w:type="dxa"/>
            <w:vAlign w:val="center"/>
          </w:tcPr>
          <w:p w14:paraId="66AB930E"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CSR_mean</w:t>
            </w:r>
          </w:p>
        </w:tc>
        <w:tc>
          <w:tcPr>
            <w:tcW w:w="995" w:type="dxa"/>
            <w:tcBorders>
              <w:right w:val="nil"/>
            </w:tcBorders>
            <w:vAlign w:val="center"/>
          </w:tcPr>
          <w:p w14:paraId="5F35763F" w14:textId="77777777" w:rsidR="004F6F6F" w:rsidRPr="004F6F6F" w:rsidRDefault="004F6F6F" w:rsidP="004F6F6F">
            <w:pPr>
              <w:widowControl/>
              <w:wordWrap/>
              <w:autoSpaceDE/>
              <w:autoSpaceDN/>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CSR_mean (%)</w:t>
            </w:r>
          </w:p>
        </w:tc>
      </w:tr>
      <w:tr w:rsidR="004F6F6F" w:rsidRPr="004F6F6F" w14:paraId="226F8ED0"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06E77BA1"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2010</w:t>
            </w:r>
          </w:p>
        </w:tc>
        <w:tc>
          <w:tcPr>
            <w:tcW w:w="882" w:type="dxa"/>
            <w:vAlign w:val="center"/>
          </w:tcPr>
          <w:p w14:paraId="797E91DF"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86.61</w:t>
            </w:r>
          </w:p>
        </w:tc>
        <w:tc>
          <w:tcPr>
            <w:tcW w:w="794" w:type="dxa"/>
            <w:vAlign w:val="center"/>
          </w:tcPr>
          <w:p w14:paraId="07AF15A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13.61</w:t>
            </w:r>
          </w:p>
        </w:tc>
        <w:tc>
          <w:tcPr>
            <w:tcW w:w="663" w:type="dxa"/>
            <w:vAlign w:val="center"/>
          </w:tcPr>
          <w:p w14:paraId="62DF0C1F"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284</w:t>
            </w:r>
          </w:p>
        </w:tc>
        <w:tc>
          <w:tcPr>
            <w:tcW w:w="1057" w:type="dxa"/>
            <w:vAlign w:val="center"/>
          </w:tcPr>
          <w:p w14:paraId="21E0FAA6"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0.53</w:t>
            </w:r>
          </w:p>
        </w:tc>
        <w:tc>
          <w:tcPr>
            <w:tcW w:w="869" w:type="dxa"/>
            <w:vAlign w:val="center"/>
          </w:tcPr>
          <w:p w14:paraId="4EFC6FA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1057" w:type="dxa"/>
            <w:vAlign w:val="center"/>
          </w:tcPr>
          <w:p w14:paraId="4554EA42"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65ABB878"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995" w:type="dxa"/>
            <w:vAlign w:val="center"/>
          </w:tcPr>
          <w:p w14:paraId="07D0D346"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917.2</w:t>
            </w:r>
          </w:p>
        </w:tc>
        <w:tc>
          <w:tcPr>
            <w:tcW w:w="995" w:type="dxa"/>
            <w:tcBorders>
              <w:right w:val="nil"/>
            </w:tcBorders>
            <w:vAlign w:val="center"/>
          </w:tcPr>
          <w:p w14:paraId="7145EBAF"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r>
      <w:tr w:rsidR="004F6F6F" w:rsidRPr="004F6F6F" w14:paraId="54AA5EF3"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2CC68D51"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2011</w:t>
            </w:r>
          </w:p>
        </w:tc>
        <w:tc>
          <w:tcPr>
            <w:tcW w:w="882" w:type="dxa"/>
            <w:vAlign w:val="center"/>
          </w:tcPr>
          <w:p w14:paraId="58282867"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86.76</w:t>
            </w:r>
          </w:p>
        </w:tc>
        <w:tc>
          <w:tcPr>
            <w:tcW w:w="794" w:type="dxa"/>
            <w:vAlign w:val="center"/>
          </w:tcPr>
          <w:p w14:paraId="17A2D84E"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13.63</w:t>
            </w:r>
          </w:p>
        </w:tc>
        <w:tc>
          <w:tcPr>
            <w:tcW w:w="663" w:type="dxa"/>
            <w:vAlign w:val="center"/>
          </w:tcPr>
          <w:p w14:paraId="5D50D67E"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287</w:t>
            </w:r>
          </w:p>
        </w:tc>
        <w:tc>
          <w:tcPr>
            <w:tcW w:w="1057" w:type="dxa"/>
            <w:vAlign w:val="center"/>
          </w:tcPr>
          <w:p w14:paraId="0141756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0.53</w:t>
            </w:r>
          </w:p>
        </w:tc>
        <w:tc>
          <w:tcPr>
            <w:tcW w:w="869" w:type="dxa"/>
            <w:vAlign w:val="center"/>
          </w:tcPr>
          <w:p w14:paraId="474254F3"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0.07</w:t>
            </w:r>
          </w:p>
        </w:tc>
        <w:tc>
          <w:tcPr>
            <w:tcW w:w="1057" w:type="dxa"/>
            <w:vAlign w:val="center"/>
          </w:tcPr>
          <w:p w14:paraId="56C1C84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632CC3C6"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995" w:type="dxa"/>
            <w:vAlign w:val="center"/>
          </w:tcPr>
          <w:p w14:paraId="475F726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922.96</w:t>
            </w:r>
          </w:p>
        </w:tc>
        <w:tc>
          <w:tcPr>
            <w:tcW w:w="995" w:type="dxa"/>
            <w:tcBorders>
              <w:right w:val="nil"/>
            </w:tcBorders>
            <w:vAlign w:val="center"/>
          </w:tcPr>
          <w:p w14:paraId="33B57DDD"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0.1</w:t>
            </w:r>
          </w:p>
        </w:tc>
      </w:tr>
      <w:tr w:rsidR="004F6F6F" w:rsidRPr="004F6F6F" w14:paraId="7E64C6C5"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27097E0D"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2012</w:t>
            </w:r>
          </w:p>
        </w:tc>
        <w:tc>
          <w:tcPr>
            <w:tcW w:w="882" w:type="dxa"/>
            <w:vAlign w:val="center"/>
          </w:tcPr>
          <w:p w14:paraId="3235702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87.15</w:t>
            </w:r>
          </w:p>
        </w:tc>
        <w:tc>
          <w:tcPr>
            <w:tcW w:w="794" w:type="dxa"/>
            <w:vAlign w:val="center"/>
          </w:tcPr>
          <w:p w14:paraId="471D0B58"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13.80</w:t>
            </w:r>
          </w:p>
        </w:tc>
        <w:tc>
          <w:tcPr>
            <w:tcW w:w="663" w:type="dxa"/>
            <w:vAlign w:val="center"/>
          </w:tcPr>
          <w:p w14:paraId="4049141F"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242</w:t>
            </w:r>
          </w:p>
        </w:tc>
        <w:tc>
          <w:tcPr>
            <w:tcW w:w="1057" w:type="dxa"/>
            <w:vAlign w:val="center"/>
          </w:tcPr>
          <w:p w14:paraId="4E95CB58"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0.53</w:t>
            </w:r>
          </w:p>
        </w:tc>
        <w:tc>
          <w:tcPr>
            <w:tcW w:w="869" w:type="dxa"/>
            <w:vAlign w:val="center"/>
          </w:tcPr>
          <w:p w14:paraId="63A6BFE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1057" w:type="dxa"/>
            <w:vAlign w:val="center"/>
          </w:tcPr>
          <w:p w14:paraId="0F1C6E4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50BED169"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995" w:type="dxa"/>
            <w:vAlign w:val="center"/>
          </w:tcPr>
          <w:p w14:paraId="4374978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926.03</w:t>
            </w:r>
          </w:p>
        </w:tc>
        <w:tc>
          <w:tcPr>
            <w:tcW w:w="995" w:type="dxa"/>
            <w:tcBorders>
              <w:right w:val="nil"/>
            </w:tcBorders>
            <w:vAlign w:val="center"/>
          </w:tcPr>
          <w:p w14:paraId="6AE56BC8"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0.11</w:t>
            </w:r>
          </w:p>
        </w:tc>
      </w:tr>
      <w:tr w:rsidR="004F6F6F" w:rsidRPr="004F6F6F" w14:paraId="2EAE333D"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7B2A8227"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2013</w:t>
            </w:r>
          </w:p>
        </w:tc>
        <w:tc>
          <w:tcPr>
            <w:tcW w:w="882" w:type="dxa"/>
            <w:vAlign w:val="center"/>
          </w:tcPr>
          <w:p w14:paraId="28D0057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86.87</w:t>
            </w:r>
          </w:p>
        </w:tc>
        <w:tc>
          <w:tcPr>
            <w:tcW w:w="794" w:type="dxa"/>
            <w:vAlign w:val="center"/>
          </w:tcPr>
          <w:p w14:paraId="4F6F2E80"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13.83</w:t>
            </w:r>
          </w:p>
        </w:tc>
        <w:tc>
          <w:tcPr>
            <w:tcW w:w="663" w:type="dxa"/>
            <w:vAlign w:val="center"/>
          </w:tcPr>
          <w:p w14:paraId="7757D723"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230</w:t>
            </w:r>
          </w:p>
        </w:tc>
        <w:tc>
          <w:tcPr>
            <w:tcW w:w="1057" w:type="dxa"/>
            <w:vAlign w:val="center"/>
          </w:tcPr>
          <w:p w14:paraId="7FE55678"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0.53</w:t>
            </w:r>
          </w:p>
        </w:tc>
        <w:tc>
          <w:tcPr>
            <w:tcW w:w="869" w:type="dxa"/>
            <w:vAlign w:val="center"/>
          </w:tcPr>
          <w:p w14:paraId="1C332412"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0.07</w:t>
            </w:r>
          </w:p>
        </w:tc>
        <w:tc>
          <w:tcPr>
            <w:tcW w:w="1057" w:type="dxa"/>
            <w:vAlign w:val="center"/>
          </w:tcPr>
          <w:p w14:paraId="70FB7E5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7B2B759F"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0.07</w:t>
            </w:r>
          </w:p>
        </w:tc>
        <w:tc>
          <w:tcPr>
            <w:tcW w:w="995" w:type="dxa"/>
            <w:vAlign w:val="center"/>
          </w:tcPr>
          <w:p w14:paraId="4D4C4BAC"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932.09</w:t>
            </w:r>
          </w:p>
        </w:tc>
        <w:tc>
          <w:tcPr>
            <w:tcW w:w="995" w:type="dxa"/>
            <w:tcBorders>
              <w:right w:val="nil"/>
            </w:tcBorders>
            <w:vAlign w:val="center"/>
          </w:tcPr>
          <w:p w14:paraId="02FFE985"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0.09</w:t>
            </w:r>
          </w:p>
        </w:tc>
      </w:tr>
      <w:tr w:rsidR="004F6F6F" w:rsidRPr="004F6F6F" w14:paraId="5A2EFB6B"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6BF06D2C"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2014</w:t>
            </w:r>
          </w:p>
        </w:tc>
        <w:tc>
          <w:tcPr>
            <w:tcW w:w="882" w:type="dxa"/>
            <w:vAlign w:val="center"/>
          </w:tcPr>
          <w:p w14:paraId="019922CE"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86.6</w:t>
            </w:r>
          </w:p>
        </w:tc>
        <w:tc>
          <w:tcPr>
            <w:tcW w:w="794" w:type="dxa"/>
            <w:vAlign w:val="center"/>
          </w:tcPr>
          <w:p w14:paraId="6AD8E903"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14.01</w:t>
            </w:r>
          </w:p>
        </w:tc>
        <w:tc>
          <w:tcPr>
            <w:tcW w:w="663" w:type="dxa"/>
            <w:vAlign w:val="center"/>
          </w:tcPr>
          <w:p w14:paraId="1E70106E"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262</w:t>
            </w:r>
          </w:p>
        </w:tc>
        <w:tc>
          <w:tcPr>
            <w:tcW w:w="1057" w:type="dxa"/>
            <w:vAlign w:val="center"/>
          </w:tcPr>
          <w:p w14:paraId="4C330009"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0.54</w:t>
            </w:r>
          </w:p>
        </w:tc>
        <w:tc>
          <w:tcPr>
            <w:tcW w:w="869" w:type="dxa"/>
            <w:vAlign w:val="center"/>
          </w:tcPr>
          <w:p w14:paraId="5B953C53"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1057" w:type="dxa"/>
            <w:vAlign w:val="center"/>
          </w:tcPr>
          <w:p w14:paraId="07381AF1"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0E6E3A6A"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995" w:type="dxa"/>
            <w:vAlign w:val="center"/>
          </w:tcPr>
          <w:p w14:paraId="35C3A417"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932.69</w:t>
            </w:r>
          </w:p>
        </w:tc>
        <w:tc>
          <w:tcPr>
            <w:tcW w:w="995" w:type="dxa"/>
            <w:tcBorders>
              <w:right w:val="nil"/>
            </w:tcBorders>
            <w:vAlign w:val="center"/>
          </w:tcPr>
          <w:p w14:paraId="2D7AC6F2"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0.12</w:t>
            </w:r>
          </w:p>
        </w:tc>
      </w:tr>
      <w:tr w:rsidR="004F6F6F" w:rsidRPr="004F6F6F" w14:paraId="7537BC67" w14:textId="77777777" w:rsidTr="009D7A5B">
        <w:tc>
          <w:tcPr>
            <w:cnfStyle w:val="001000000000" w:firstRow="0" w:lastRow="0" w:firstColumn="1" w:lastColumn="0" w:oddVBand="0" w:evenVBand="0" w:oddHBand="0" w:evenHBand="0" w:firstRowFirstColumn="0" w:firstRowLastColumn="0" w:lastRowFirstColumn="0" w:lastRowLastColumn="0"/>
            <w:tcW w:w="675" w:type="dxa"/>
            <w:tcBorders>
              <w:left w:val="nil"/>
            </w:tcBorders>
            <w:vAlign w:val="center"/>
          </w:tcPr>
          <w:p w14:paraId="577018FA" w14:textId="77777777" w:rsidR="004F6F6F" w:rsidRPr="004F6F6F" w:rsidRDefault="004F6F6F" w:rsidP="004F6F6F">
            <w:pPr>
              <w:widowControl/>
              <w:wordWrap/>
              <w:autoSpaceDE/>
              <w:autoSpaceDN/>
              <w:spacing w:after="200" w:line="276" w:lineRule="auto"/>
              <w:jc w:val="center"/>
              <w:rPr>
                <w:rFonts w:ascii="Calibri" w:eastAsia="맑은 고딕" w:hAnsi="Calibri" w:cs="Calibri"/>
                <w:b w:val="0"/>
                <w:bCs w:val="0"/>
                <w:color w:val="000000" w:themeColor="text1"/>
                <w:sz w:val="18"/>
                <w:szCs w:val="18"/>
              </w:rPr>
            </w:pPr>
            <w:r w:rsidRPr="004F6F6F">
              <w:rPr>
                <w:rFonts w:ascii="Calibri" w:eastAsia="맑은 고딕" w:hAnsi="Calibri" w:cs="Calibri"/>
                <w:b w:val="0"/>
                <w:bCs w:val="0"/>
                <w:color w:val="000000" w:themeColor="text1"/>
                <w:sz w:val="18"/>
                <w:szCs w:val="18"/>
              </w:rPr>
              <w:t>2015</w:t>
            </w:r>
          </w:p>
        </w:tc>
        <w:tc>
          <w:tcPr>
            <w:tcW w:w="882" w:type="dxa"/>
            <w:vAlign w:val="center"/>
          </w:tcPr>
          <w:p w14:paraId="027B1840"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85.47</w:t>
            </w:r>
          </w:p>
        </w:tc>
        <w:tc>
          <w:tcPr>
            <w:tcW w:w="794" w:type="dxa"/>
            <w:vAlign w:val="center"/>
          </w:tcPr>
          <w:p w14:paraId="475DF22B"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13.67</w:t>
            </w:r>
          </w:p>
        </w:tc>
        <w:tc>
          <w:tcPr>
            <w:tcW w:w="663" w:type="dxa"/>
            <w:vAlign w:val="center"/>
          </w:tcPr>
          <w:p w14:paraId="7A2027D3"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264</w:t>
            </w:r>
          </w:p>
        </w:tc>
        <w:tc>
          <w:tcPr>
            <w:tcW w:w="1057" w:type="dxa"/>
            <w:vAlign w:val="center"/>
          </w:tcPr>
          <w:p w14:paraId="3EA4B01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0.54</w:t>
            </w:r>
          </w:p>
        </w:tc>
        <w:tc>
          <w:tcPr>
            <w:tcW w:w="869" w:type="dxa"/>
            <w:vAlign w:val="center"/>
          </w:tcPr>
          <w:p w14:paraId="4F03D4CB"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0.07</w:t>
            </w:r>
          </w:p>
        </w:tc>
        <w:tc>
          <w:tcPr>
            <w:tcW w:w="1057" w:type="dxa"/>
            <w:vAlign w:val="center"/>
          </w:tcPr>
          <w:p w14:paraId="61074E4E"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0.45</w:t>
            </w:r>
          </w:p>
        </w:tc>
        <w:tc>
          <w:tcPr>
            <w:tcW w:w="869" w:type="dxa"/>
            <w:vAlign w:val="center"/>
          </w:tcPr>
          <w:p w14:paraId="7053E904"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0.08</w:t>
            </w:r>
          </w:p>
        </w:tc>
        <w:tc>
          <w:tcPr>
            <w:tcW w:w="995" w:type="dxa"/>
            <w:vAlign w:val="center"/>
          </w:tcPr>
          <w:p w14:paraId="5E1F20C2"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869.15</w:t>
            </w:r>
          </w:p>
        </w:tc>
        <w:tc>
          <w:tcPr>
            <w:tcW w:w="995" w:type="dxa"/>
            <w:tcBorders>
              <w:right w:val="nil"/>
            </w:tcBorders>
            <w:vAlign w:val="center"/>
          </w:tcPr>
          <w:p w14:paraId="6B38984D" w14:textId="77777777" w:rsidR="004F6F6F" w:rsidRPr="004F6F6F" w:rsidRDefault="004F6F6F" w:rsidP="004F6F6F">
            <w:pPr>
              <w:widowControl/>
              <w:wordWrap/>
              <w:autoSpaceDE/>
              <w:autoSpaceDN/>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000000" w:themeColor="text1"/>
                <w:sz w:val="18"/>
                <w:szCs w:val="18"/>
              </w:rPr>
            </w:pPr>
            <w:r w:rsidRPr="004F6F6F">
              <w:rPr>
                <w:rFonts w:ascii="Calibri" w:eastAsia="맑은 고딕" w:hAnsi="Calibri" w:cs="Calibri"/>
                <w:color w:val="000000" w:themeColor="text1"/>
                <w:sz w:val="18"/>
                <w:szCs w:val="18"/>
              </w:rPr>
              <w:t>0.09</w:t>
            </w:r>
          </w:p>
        </w:tc>
      </w:tr>
    </w:tbl>
    <w:p w14:paraId="7643B420"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p>
    <w:p w14:paraId="1E622172" w14:textId="77777777" w:rsidR="004F6F6F" w:rsidRPr="004F6F6F" w:rsidRDefault="004F6F6F" w:rsidP="004F6F6F">
      <w:pPr>
        <w:widowControl/>
        <w:wordWrap/>
        <w:autoSpaceDE/>
        <w:autoSpaceDN/>
        <w:spacing w:after="200" w:line="276" w:lineRule="auto"/>
        <w:rPr>
          <w:rFonts w:ascii="Cambria" w:eastAsia="맑은 고딕" w:hAnsi="Cambria" w:cs="Times New Roman"/>
          <w:color w:val="000000" w:themeColor="text1"/>
          <w:kern w:val="0"/>
          <w:szCs w:val="22"/>
          <w14:ligatures w14:val="none"/>
        </w:rPr>
      </w:pPr>
      <w:r w:rsidRPr="004F6F6F">
        <w:rPr>
          <w:rFonts w:ascii="Cambria" w:eastAsia="맑은 고딕" w:hAnsi="Cambria" w:cs="Times New Roman" w:hint="eastAsia"/>
          <w:noProof/>
          <w:color w:val="000000" w:themeColor="text1"/>
          <w:kern w:val="0"/>
          <w:szCs w:val="22"/>
          <w14:ligatures w14:val="none"/>
        </w:rPr>
        <w:drawing>
          <wp:inline distT="0" distB="0" distL="0" distR="0" wp14:anchorId="3EE67022" wp14:editId="2968959B">
            <wp:extent cx="5797284" cy="2534970"/>
            <wp:effectExtent l="0" t="0" r="0" b="0"/>
            <wp:docPr id="510384928" name="그림 3" descr="텍스트, 라인, 친필,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84928" name="그림 3" descr="텍스트, 라인, 친필, 도표이(가) 표시된 사진&#10;&#10;AI 생성 콘텐츠는 정확하지 않을 수 있습니다."/>
                    <pic:cNvPicPr/>
                  </pic:nvPicPr>
                  <pic:blipFill>
                    <a:blip r:embed="rId7"/>
                    <a:stretch>
                      <a:fillRect/>
                    </a:stretch>
                  </pic:blipFill>
                  <pic:spPr>
                    <a:xfrm>
                      <a:off x="0" y="0"/>
                      <a:ext cx="5806949" cy="2539196"/>
                    </a:xfrm>
                    <a:prstGeom prst="rect">
                      <a:avLst/>
                    </a:prstGeom>
                  </pic:spPr>
                </pic:pic>
              </a:graphicData>
            </a:graphic>
          </wp:inline>
        </w:drawing>
      </w:r>
    </w:p>
    <w:p w14:paraId="35A9C298" w14:textId="77777777" w:rsidR="004F6F6F" w:rsidRPr="004F6F6F" w:rsidRDefault="004F6F6F" w:rsidP="004F6F6F">
      <w:pPr>
        <w:widowControl/>
        <w:wordWrap/>
        <w:autoSpaceDE/>
        <w:autoSpaceDN/>
        <w:spacing w:after="200"/>
        <w:rPr>
          <w:rFonts w:ascii="Cambria" w:eastAsia="맑은 고딕" w:hAnsi="Cambria" w:cs="Times New Roman"/>
          <w:color w:val="000000" w:themeColor="text1"/>
          <w:kern w:val="0"/>
          <w:sz w:val="18"/>
          <w:szCs w:val="18"/>
          <w14:ligatures w14:val="none"/>
        </w:rPr>
      </w:pPr>
      <w:r w:rsidRPr="004F6F6F">
        <w:rPr>
          <w:rFonts w:ascii="Cambria" w:eastAsia="MS Mincho" w:hAnsi="Cambria" w:cs="Times New Roman"/>
          <w:color w:val="000000" w:themeColor="text1"/>
          <w:kern w:val="0"/>
          <w:sz w:val="18"/>
          <w:szCs w:val="18"/>
          <w:lang w:eastAsia="en-US"/>
          <w14:ligatures w14:val="none"/>
        </w:rPr>
        <w:t>Figure</w:t>
      </w:r>
      <w:r w:rsidRPr="004F6F6F">
        <w:rPr>
          <w:rFonts w:ascii="Cambria" w:eastAsia="맑은 고딕" w:hAnsi="Cambria" w:cs="Times New Roman" w:hint="eastAsia"/>
          <w:color w:val="000000" w:themeColor="text1"/>
          <w:kern w:val="0"/>
          <w:sz w:val="18"/>
          <w:szCs w:val="18"/>
          <w14:ligatures w14:val="none"/>
        </w:rPr>
        <w:t xml:space="preserve"> A</w:t>
      </w:r>
      <w:r w:rsidRPr="004F6F6F">
        <w:rPr>
          <w:rFonts w:ascii="Cambria" w:eastAsia="MS Mincho" w:hAnsi="Cambria" w:cs="Times New Roman"/>
          <w:color w:val="000000" w:themeColor="text1"/>
          <w:kern w:val="0"/>
          <w:sz w:val="18"/>
          <w:szCs w:val="18"/>
          <w:lang w:eastAsia="en-US"/>
          <w14:ligatures w14:val="none"/>
        </w:rPr>
        <w:t xml:space="preserve"> </w:t>
      </w:r>
      <w:r w:rsidRPr="004F6F6F">
        <w:rPr>
          <w:rFonts w:ascii="Cambria" w:eastAsia="맑은 고딕" w:hAnsi="Cambria" w:cs="Times New Roman" w:hint="eastAsia"/>
          <w:color w:val="000000" w:themeColor="text1"/>
          <w:kern w:val="0"/>
          <w:sz w:val="18"/>
          <w:szCs w:val="18"/>
          <w14:ligatures w14:val="none"/>
        </w:rPr>
        <w:t xml:space="preserve">2 </w:t>
      </w:r>
      <w:r w:rsidRPr="004F6F6F">
        <w:rPr>
          <w:rFonts w:ascii="Cambria" w:eastAsia="맑은 고딕" w:hAnsi="Cambria" w:cs="Times New Roman"/>
          <w:color w:val="000000" w:themeColor="text1"/>
          <w:kern w:val="0"/>
          <w:sz w:val="18"/>
          <w:szCs w:val="18"/>
          <w14:ligatures w14:val="none"/>
        </w:rPr>
        <w:t>Time series of GNSS data quality indicators at King Sejong Station. The top panel shows multipath metrics (MP1 and MP2, in meters), the middle panel illustrates the data utilization rate (percentage of usable observations), and the bottom panel presents the cycle slip ratio (number of slips per 1000 epochs). The horizontal axis represents GPS Week, covering the 1550–1900 interval. These diagnostics highlight temporal variability in multipath effects, data completeness, and signal continuity, and provide complementary information for evaluating site-specific observational conditions.</w:t>
      </w:r>
    </w:p>
    <w:p w14:paraId="426D3838" w14:textId="77777777" w:rsidR="006968D9" w:rsidRPr="004F6F6F" w:rsidRDefault="006968D9">
      <w:pPr>
        <w:rPr>
          <w:color w:val="000000" w:themeColor="text1"/>
        </w:rPr>
      </w:pPr>
    </w:p>
    <w:sectPr w:rsidR="006968D9" w:rsidRPr="004F6F6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614E4" w14:textId="77777777" w:rsidR="00B12A8D" w:rsidRDefault="00B12A8D" w:rsidP="004F6F6F">
      <w:pPr>
        <w:spacing w:after="0"/>
      </w:pPr>
      <w:r>
        <w:separator/>
      </w:r>
    </w:p>
  </w:endnote>
  <w:endnote w:type="continuationSeparator" w:id="0">
    <w:p w14:paraId="0677CE90" w14:textId="77777777" w:rsidR="00B12A8D" w:rsidRDefault="00B12A8D" w:rsidP="004F6F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E7E84" w14:textId="77777777" w:rsidR="00B12A8D" w:rsidRDefault="00B12A8D" w:rsidP="004F6F6F">
      <w:pPr>
        <w:spacing w:after="0"/>
      </w:pPr>
      <w:r>
        <w:separator/>
      </w:r>
    </w:p>
  </w:footnote>
  <w:footnote w:type="continuationSeparator" w:id="0">
    <w:p w14:paraId="35822C0A" w14:textId="77777777" w:rsidR="00B12A8D" w:rsidRDefault="00B12A8D" w:rsidP="004F6F6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6B"/>
    <w:rsid w:val="001455DC"/>
    <w:rsid w:val="004F6F6F"/>
    <w:rsid w:val="006968D9"/>
    <w:rsid w:val="008D576B"/>
    <w:rsid w:val="00907164"/>
    <w:rsid w:val="00B12A8D"/>
    <w:rsid w:val="00B83FCF"/>
    <w:rsid w:val="00BE378E"/>
    <w:rsid w:val="00BF25DB"/>
    <w:rsid w:val="00E603B8"/>
    <w:rsid w:val="00F96A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B990A"/>
  <w15:chartTrackingRefBased/>
  <w15:docId w15:val="{2075B9F4-2C2F-4123-8603-1AB21656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8D57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D57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8D57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8D57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D57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D57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D57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D57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D57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gureCopyright">
    <w:name w:val="FigureCopyright"/>
    <w:basedOn w:val="a"/>
    <w:rsid w:val="00E603B8"/>
    <w:pPr>
      <w:keepNext/>
      <w:widowControl/>
      <w:wordWrap/>
      <w:adjustRightInd w:val="0"/>
      <w:spacing w:before="80" w:after="0"/>
      <w:outlineLvl w:val="0"/>
    </w:pPr>
    <w:rPr>
      <w:rFonts w:ascii="Times New Roman" w:eastAsia="Times New Roman" w:hAnsi="Times New Roman" w:cs="Times New Roman"/>
      <w:kern w:val="28"/>
      <w:sz w:val="24"/>
      <w:lang w:eastAsia="en-US" w:bidi="he-IL"/>
      <w14:ligatures w14:val="none"/>
    </w:rPr>
  </w:style>
  <w:style w:type="paragraph" w:customStyle="1" w:styleId="FigureCredit">
    <w:name w:val="FigureCredit"/>
    <w:basedOn w:val="FigureCopyright"/>
    <w:rsid w:val="00E603B8"/>
  </w:style>
  <w:style w:type="paragraph" w:customStyle="1" w:styleId="MDPI52figure">
    <w:name w:val="MDPI_5.2_figure"/>
    <w:qFormat/>
    <w:rsid w:val="00E603B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character" w:customStyle="1" w:styleId="1Char">
    <w:name w:val="제목 1 Char"/>
    <w:basedOn w:val="a0"/>
    <w:link w:val="1"/>
    <w:uiPriority w:val="9"/>
    <w:rsid w:val="008D576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D576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D576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8D576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D576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D576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D576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D576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D576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D576B"/>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D576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D576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8D576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D576B"/>
    <w:pPr>
      <w:spacing w:before="160"/>
      <w:jc w:val="center"/>
    </w:pPr>
    <w:rPr>
      <w:i/>
      <w:iCs/>
      <w:color w:val="404040" w:themeColor="text1" w:themeTint="BF"/>
    </w:rPr>
  </w:style>
  <w:style w:type="character" w:customStyle="1" w:styleId="Char1">
    <w:name w:val="인용 Char"/>
    <w:basedOn w:val="a0"/>
    <w:link w:val="a5"/>
    <w:uiPriority w:val="29"/>
    <w:rsid w:val="008D576B"/>
    <w:rPr>
      <w:i/>
      <w:iCs/>
      <w:color w:val="404040" w:themeColor="text1" w:themeTint="BF"/>
    </w:rPr>
  </w:style>
  <w:style w:type="paragraph" w:styleId="a6">
    <w:name w:val="List Paragraph"/>
    <w:basedOn w:val="a"/>
    <w:uiPriority w:val="34"/>
    <w:qFormat/>
    <w:rsid w:val="008D576B"/>
    <w:pPr>
      <w:ind w:left="720"/>
      <w:contextualSpacing/>
    </w:pPr>
  </w:style>
  <w:style w:type="character" w:styleId="a7">
    <w:name w:val="Intense Emphasis"/>
    <w:basedOn w:val="a0"/>
    <w:uiPriority w:val="21"/>
    <w:qFormat/>
    <w:rsid w:val="008D576B"/>
    <w:rPr>
      <w:i/>
      <w:iCs/>
      <w:color w:val="0F4761" w:themeColor="accent1" w:themeShade="BF"/>
    </w:rPr>
  </w:style>
  <w:style w:type="paragraph" w:styleId="a8">
    <w:name w:val="Intense Quote"/>
    <w:basedOn w:val="a"/>
    <w:next w:val="a"/>
    <w:link w:val="Char2"/>
    <w:uiPriority w:val="30"/>
    <w:qFormat/>
    <w:rsid w:val="008D5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D576B"/>
    <w:rPr>
      <w:i/>
      <w:iCs/>
      <w:color w:val="0F4761" w:themeColor="accent1" w:themeShade="BF"/>
    </w:rPr>
  </w:style>
  <w:style w:type="character" w:styleId="a9">
    <w:name w:val="Intense Reference"/>
    <w:basedOn w:val="a0"/>
    <w:uiPriority w:val="32"/>
    <w:qFormat/>
    <w:rsid w:val="008D576B"/>
    <w:rPr>
      <w:b/>
      <w:bCs/>
      <w:smallCaps/>
      <w:color w:val="0F4761" w:themeColor="accent1" w:themeShade="BF"/>
      <w:spacing w:val="5"/>
    </w:rPr>
  </w:style>
  <w:style w:type="paragraph" w:styleId="aa">
    <w:name w:val="header"/>
    <w:basedOn w:val="a"/>
    <w:link w:val="Char3"/>
    <w:uiPriority w:val="99"/>
    <w:unhideWhenUsed/>
    <w:rsid w:val="004F6F6F"/>
    <w:pPr>
      <w:tabs>
        <w:tab w:val="center" w:pos="4513"/>
        <w:tab w:val="right" w:pos="9026"/>
      </w:tabs>
      <w:snapToGrid w:val="0"/>
    </w:pPr>
  </w:style>
  <w:style w:type="character" w:customStyle="1" w:styleId="Char3">
    <w:name w:val="머리글 Char"/>
    <w:basedOn w:val="a0"/>
    <w:link w:val="aa"/>
    <w:uiPriority w:val="99"/>
    <w:rsid w:val="004F6F6F"/>
  </w:style>
  <w:style w:type="paragraph" w:styleId="ab">
    <w:name w:val="footer"/>
    <w:basedOn w:val="a"/>
    <w:link w:val="Char4"/>
    <w:uiPriority w:val="99"/>
    <w:unhideWhenUsed/>
    <w:rsid w:val="004F6F6F"/>
    <w:pPr>
      <w:tabs>
        <w:tab w:val="center" w:pos="4513"/>
        <w:tab w:val="right" w:pos="9026"/>
      </w:tabs>
      <w:snapToGrid w:val="0"/>
    </w:pPr>
  </w:style>
  <w:style w:type="character" w:customStyle="1" w:styleId="Char4">
    <w:name w:val="바닥글 Char"/>
    <w:basedOn w:val="a0"/>
    <w:link w:val="ab"/>
    <w:uiPriority w:val="99"/>
    <w:rsid w:val="004F6F6F"/>
  </w:style>
  <w:style w:type="table" w:customStyle="1" w:styleId="11">
    <w:name w:val="눈금 표 1 밝게1"/>
    <w:basedOn w:val="a1"/>
    <w:next w:val="10"/>
    <w:uiPriority w:val="99"/>
    <w:rsid w:val="004F6F6F"/>
    <w:pPr>
      <w:spacing w:after="0"/>
    </w:pPr>
    <w:rPr>
      <w:kern w:val="0"/>
      <w:szCs w:val="22"/>
      <w:lang w:eastAsia="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0">
    <w:name w:val="Grid Table 1 Light"/>
    <w:basedOn w:val="a1"/>
    <w:uiPriority w:val="46"/>
    <w:rsid w:val="004F6F6F"/>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733</Words>
  <Characters>4155</Characters>
  <Application>Microsoft Office Word</Application>
  <DocSecurity>0</DocSecurity>
  <Lines>244</Lines>
  <Paragraphs>212</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이승준</dc:creator>
  <cp:keywords/>
  <dc:description/>
  <cp:lastModifiedBy>이승준</cp:lastModifiedBy>
  <cp:revision>3</cp:revision>
  <cp:lastPrinted>2025-10-15T02:56:00Z</cp:lastPrinted>
  <dcterms:created xsi:type="dcterms:W3CDTF">2025-10-15T02:26:00Z</dcterms:created>
  <dcterms:modified xsi:type="dcterms:W3CDTF">2025-10-15T02:57:00Z</dcterms:modified>
</cp:coreProperties>
</file>