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DBC17">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sz w:val="24"/>
          <w:szCs w:val="24"/>
          <w:lang w:val="en-US"/>
        </w:rPr>
      </w:pPr>
      <w:r>
        <w:rPr>
          <w:rFonts w:ascii="Times New Roman" w:hAnsi="Times New Roman" w:eastAsia="等线" w:cs="Times New Roman"/>
          <w:b/>
          <w:bCs/>
          <w:kern w:val="2"/>
          <w:sz w:val="24"/>
          <w:szCs w:val="24"/>
          <w:lang w:val="en-US" w:eastAsia="zh-CN" w:bidi="ar"/>
        </w:rPr>
        <w:t>Supplementary Figure</w:t>
      </w:r>
      <w:r>
        <w:rPr>
          <w:rFonts w:hint="eastAsia" w:ascii="Times New Roman" w:hAnsi="Times New Roman" w:eastAsia="等线" w:cs="Times New Roman"/>
          <w:b/>
          <w:bCs/>
          <w:kern w:val="2"/>
          <w:sz w:val="24"/>
          <w:szCs w:val="24"/>
          <w:lang w:val="en-US" w:eastAsia="zh-CN" w:bidi="ar"/>
        </w:rPr>
        <w:t>s</w:t>
      </w:r>
      <w:bookmarkStart w:id="0" w:name="_GoBack"/>
      <w:bookmarkEnd w:id="0"/>
      <w:r>
        <w:rPr>
          <w:rFonts w:ascii="Times New Roman" w:hAnsi="Times New Roman" w:eastAsia="等线" w:cs="Times New Roman"/>
          <w:b/>
          <w:bCs/>
          <w:kern w:val="2"/>
          <w:sz w:val="24"/>
          <w:szCs w:val="24"/>
          <w:lang w:val="en-US" w:eastAsia="zh-CN" w:bidi="ar"/>
        </w:rPr>
        <w:t xml:space="preserve"> </w:t>
      </w:r>
    </w:p>
    <w:p w14:paraId="5BAE1EDA">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sz w:val="24"/>
          <w:szCs w:val="24"/>
          <w:lang w:val="en-US"/>
        </w:rPr>
      </w:pPr>
      <w:r>
        <w:rPr>
          <w:rFonts w:hint="default" w:ascii="Times New Roman" w:hAnsi="Times New Roman" w:eastAsia="等线" w:cs="Times New Roman"/>
          <w:b/>
          <w:bCs w:val="0"/>
          <w:kern w:val="2"/>
          <w:sz w:val="24"/>
          <w:szCs w:val="24"/>
          <w:lang w:val="en-US" w:eastAsia="zh-CN" w:bidi="ar"/>
        </w:rPr>
        <w:drawing>
          <wp:inline distT="0" distB="0" distL="114300" distR="114300">
            <wp:extent cx="5273040" cy="6248400"/>
            <wp:effectExtent l="0" t="0" r="0" b="0"/>
            <wp:docPr id="3" name="图片 9"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图片包含 图示&#10;&#10;描述已自动生成"/>
                    <pic:cNvPicPr>
                      <a:picLocks noChangeAspect="1"/>
                    </pic:cNvPicPr>
                  </pic:nvPicPr>
                  <pic:blipFill>
                    <a:blip r:embed="rId4"/>
                    <a:stretch>
                      <a:fillRect/>
                    </a:stretch>
                  </pic:blipFill>
                  <pic:spPr>
                    <a:xfrm>
                      <a:off x="0" y="0"/>
                      <a:ext cx="5273040" cy="6248400"/>
                    </a:xfrm>
                    <a:prstGeom prst="rect">
                      <a:avLst/>
                    </a:prstGeom>
                    <a:noFill/>
                    <a:ln>
                      <a:noFill/>
                    </a:ln>
                  </pic:spPr>
                </pic:pic>
              </a:graphicData>
            </a:graphic>
          </wp:inline>
        </w:drawing>
      </w:r>
    </w:p>
    <w:p w14:paraId="2E9B4839">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Supplementary Figure 1</w:t>
      </w:r>
    </w:p>
    <w:p w14:paraId="46B36FA8">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(A) UMAP Plot showing the major celltypes, including T, B, myeloid, mast, epithelial, endothelial, and mesenchymal cells. (B) FeaturePlots of specific markers in different celltypes, including epithelial cells (EPCAM, CDH1), T cells (CD3D, CD3G), B cells (CD19, CD79A, MZB1), myeloid cells (CD68, S100A8, S100A9), mast (KIT, MS4A2), endothelial cells (PECAM1, CDH5), and mesenchymal cells (PDGFRA, COL1A1).</w:t>
      </w:r>
    </w:p>
    <w:p w14:paraId="66EA63E3">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drawing>
          <wp:inline distT="0" distB="0" distL="114300" distR="114300">
            <wp:extent cx="5273040" cy="4008120"/>
            <wp:effectExtent l="0" t="0" r="0" b="0"/>
            <wp:docPr id="1" name="图片 10"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图片包含 图形用户界面&#10;&#10;描述已自动生成"/>
                    <pic:cNvPicPr>
                      <a:picLocks noChangeAspect="1"/>
                    </pic:cNvPicPr>
                  </pic:nvPicPr>
                  <pic:blipFill>
                    <a:blip r:embed="rId5"/>
                    <a:stretch>
                      <a:fillRect/>
                    </a:stretch>
                  </pic:blipFill>
                  <pic:spPr>
                    <a:xfrm>
                      <a:off x="0" y="0"/>
                      <a:ext cx="5273040" cy="4008120"/>
                    </a:xfrm>
                    <a:prstGeom prst="rect">
                      <a:avLst/>
                    </a:prstGeom>
                    <a:noFill/>
                    <a:ln>
                      <a:noFill/>
                    </a:ln>
                  </pic:spPr>
                </pic:pic>
              </a:graphicData>
            </a:graphic>
          </wp:inline>
        </w:drawing>
      </w:r>
    </w:p>
    <w:p w14:paraId="405FB6F9">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Supplementary Figure 2</w:t>
      </w:r>
    </w:p>
    <w:p w14:paraId="55BEBE03">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The flow chart shows all the procedures done within the current study.</w:t>
      </w:r>
    </w:p>
    <w:p w14:paraId="22051939">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drawing>
          <wp:inline distT="0" distB="0" distL="114300" distR="114300">
            <wp:extent cx="5273040" cy="5250180"/>
            <wp:effectExtent l="0" t="0" r="0" b="7620"/>
            <wp:docPr id="2" name="图片 11" descr="图形用户界面&#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descr="图形用户界面&#10;&#10;低可信度描述已自动生成"/>
                    <pic:cNvPicPr>
                      <a:picLocks noChangeAspect="1"/>
                    </pic:cNvPicPr>
                  </pic:nvPicPr>
                  <pic:blipFill>
                    <a:blip r:embed="rId6"/>
                    <a:stretch>
                      <a:fillRect/>
                    </a:stretch>
                  </pic:blipFill>
                  <pic:spPr>
                    <a:xfrm>
                      <a:off x="0" y="0"/>
                      <a:ext cx="5273040" cy="5250180"/>
                    </a:xfrm>
                    <a:prstGeom prst="rect">
                      <a:avLst/>
                    </a:prstGeom>
                    <a:noFill/>
                    <a:ln>
                      <a:noFill/>
                    </a:ln>
                  </pic:spPr>
                </pic:pic>
              </a:graphicData>
            </a:graphic>
          </wp:inline>
        </w:drawing>
      </w:r>
    </w:p>
    <w:p w14:paraId="4B26FC30">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Supplementary Figure 3</w:t>
      </w:r>
    </w:p>
    <w:p w14:paraId="099E8027">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(A-D) The expression of LAMC2 in different CRC cells infected by F. nucleatum (t test). (E) The represent images of LAMC2 knockdown by lentivirus in LOVO cells under fluorescence microscope. (F) The luciferase reporter assay validates LAMC2 as a direct target of hsa-miR-7977. (G) GSEA enrichment analysis of DEGs after LAMC2 knockdown.</w:t>
      </w:r>
    </w:p>
    <w:p w14:paraId="01F248DC">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drawing>
          <wp:inline distT="0" distB="0" distL="114300" distR="114300">
            <wp:extent cx="5273040" cy="6553200"/>
            <wp:effectExtent l="0" t="0" r="0" b="0"/>
            <wp:docPr id="6" name="图片 12"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descr="日程表&#10;&#10;描述已自动生成"/>
                    <pic:cNvPicPr>
                      <a:picLocks noChangeAspect="1"/>
                    </pic:cNvPicPr>
                  </pic:nvPicPr>
                  <pic:blipFill>
                    <a:blip r:embed="rId7"/>
                    <a:stretch>
                      <a:fillRect/>
                    </a:stretch>
                  </pic:blipFill>
                  <pic:spPr>
                    <a:xfrm>
                      <a:off x="0" y="0"/>
                      <a:ext cx="5273040" cy="6553200"/>
                    </a:xfrm>
                    <a:prstGeom prst="rect">
                      <a:avLst/>
                    </a:prstGeom>
                    <a:noFill/>
                    <a:ln>
                      <a:noFill/>
                    </a:ln>
                  </pic:spPr>
                </pic:pic>
              </a:graphicData>
            </a:graphic>
          </wp:inline>
        </w:drawing>
      </w:r>
    </w:p>
    <w:p w14:paraId="4E3A3536">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Supplementary Figure 4</w:t>
      </w:r>
    </w:p>
    <w:p w14:paraId="1CB1805F">
      <w:pPr>
        <w:numPr>
          <w:ilvl w:val="0"/>
          <w:numId w:val="1"/>
        </w:numPr>
        <w:spacing w:line="360" w:lineRule="auto"/>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The correlation between LAMC2 and immune checkpoint molecules was analyzed by GEPIA 2 database. (B-H) qPCR was used to verify the correlation between LAMC2 and different immune checkpoint molecules after LAMC2 knockdown in LOVO cells. (n = 4 per group, One</w:t>
      </w:r>
      <w:r>
        <w:rPr>
          <w:rFonts w:hint="default" w:ascii="Times New Roman" w:hAnsi="Times New Roman" w:eastAsia="等线" w:cs="Times New Roman"/>
          <w:kern w:val="2"/>
          <w:sz w:val="24"/>
          <w:szCs w:val="24"/>
          <w:lang w:val="en-US" w:eastAsia="zh-CN" w:bidi="ar"/>
        </w:rPr>
        <w:noBreakHyphen/>
      </w:r>
      <w:r>
        <w:rPr>
          <w:rFonts w:hint="default" w:ascii="Times New Roman" w:hAnsi="Times New Roman" w:eastAsia="等线" w:cs="Times New Roman"/>
          <w:kern w:val="2"/>
          <w:sz w:val="24"/>
          <w:szCs w:val="24"/>
          <w:lang w:val="en-US" w:eastAsia="zh-CN" w:bidi="ar"/>
        </w:rPr>
        <w:t>way ANOVA test). (I-L) KM plots of LAMC2 in multiple CRC cohorts (log-rank test, time unit: month). DFS: disease-free survival, DSS: disease-specific survival, RFS: recurrence-free survival, PFS: progression-free survival.</w:t>
      </w:r>
    </w:p>
    <w:p w14:paraId="2BC3B83A">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drawing>
          <wp:inline distT="0" distB="0" distL="114300" distR="114300">
            <wp:extent cx="5273040" cy="1920240"/>
            <wp:effectExtent l="0" t="0" r="0" b="0"/>
            <wp:docPr id="4" name="图片 13"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图表, 散点图&#10;&#10;描述已自动生成"/>
                    <pic:cNvPicPr>
                      <a:picLocks noChangeAspect="1"/>
                    </pic:cNvPicPr>
                  </pic:nvPicPr>
                  <pic:blipFill>
                    <a:blip r:embed="rId8"/>
                    <a:stretch>
                      <a:fillRect/>
                    </a:stretch>
                  </pic:blipFill>
                  <pic:spPr>
                    <a:xfrm>
                      <a:off x="0" y="0"/>
                      <a:ext cx="5273040" cy="1920240"/>
                    </a:xfrm>
                    <a:prstGeom prst="rect">
                      <a:avLst/>
                    </a:prstGeom>
                    <a:noFill/>
                    <a:ln>
                      <a:noFill/>
                    </a:ln>
                  </pic:spPr>
                </pic:pic>
              </a:graphicData>
            </a:graphic>
          </wp:inline>
        </w:drawing>
      </w:r>
    </w:p>
    <w:p w14:paraId="51510736">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Supplementary Figure 5</w:t>
      </w:r>
    </w:p>
    <w:p w14:paraId="61F752E8">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 xml:space="preserve">(A) The expression levels of </w:t>
      </w:r>
      <w:r>
        <w:rPr>
          <w:rFonts w:ascii="Times New Roman" w:hAnsi="Times New Roman" w:eastAsia="等线" w:cs="Times New Roman"/>
          <w:i/>
          <w:iCs/>
          <w:kern w:val="2"/>
          <w:sz w:val="24"/>
          <w:szCs w:val="24"/>
          <w:lang w:val="en-US" w:eastAsia="zh-CN" w:bidi="ar"/>
        </w:rPr>
        <w:t>LAMC2</w:t>
      </w:r>
      <w:r>
        <w:rPr>
          <w:rFonts w:hint="default" w:ascii="Times New Roman" w:hAnsi="Times New Roman" w:eastAsia="等线" w:cs="Times New Roman"/>
          <w:kern w:val="2"/>
          <w:sz w:val="24"/>
          <w:szCs w:val="24"/>
          <w:lang w:val="en-US" w:eastAsia="zh-CN" w:bidi="ar"/>
        </w:rPr>
        <w:t xml:space="preserve">-associated genes between PBS and F. nucleatum treated LOVO cells in GSE173549 dataset. (B) The expression levels of </w:t>
      </w:r>
      <w:r>
        <w:rPr>
          <w:rFonts w:hint="default" w:ascii="Times New Roman" w:hAnsi="Times New Roman" w:eastAsia="等线" w:cs="Times New Roman"/>
          <w:i/>
          <w:iCs/>
          <w:kern w:val="2"/>
          <w:sz w:val="24"/>
          <w:szCs w:val="24"/>
          <w:lang w:val="en-US" w:eastAsia="zh-CN" w:bidi="ar"/>
        </w:rPr>
        <w:t>LAMC2</w:t>
      </w:r>
      <w:r>
        <w:rPr>
          <w:rFonts w:hint="default" w:ascii="Times New Roman" w:hAnsi="Times New Roman" w:eastAsia="等线" w:cs="Times New Roman"/>
          <w:kern w:val="2"/>
          <w:sz w:val="24"/>
          <w:szCs w:val="24"/>
          <w:lang w:val="en-US" w:eastAsia="zh-CN" w:bidi="ar"/>
        </w:rPr>
        <w:t>-associated genes between PBS and F. nucleatum treated LOVO cells in the transcriptomic data from our own laboratory. The statistical significance between two groups was evaluated by t.test. * represents p &lt;0 .05, ** represents p &lt;0 .01, *** represents p &lt; 0.001, and **** represents p &lt; 0.0001, ns represents no statistical significant.</w:t>
      </w:r>
    </w:p>
    <w:p w14:paraId="47C698CF">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drawing>
          <wp:inline distT="0" distB="0" distL="114300" distR="114300">
            <wp:extent cx="3886200" cy="1920240"/>
            <wp:effectExtent l="0" t="0" r="0" b="0"/>
            <wp:docPr id="5" name="图片 14"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descr="图表, 折线图&#10;&#10;描述已自动生成"/>
                    <pic:cNvPicPr>
                      <a:picLocks noChangeAspect="1"/>
                    </pic:cNvPicPr>
                  </pic:nvPicPr>
                  <pic:blipFill>
                    <a:blip r:embed="rId9"/>
                    <a:stretch>
                      <a:fillRect/>
                    </a:stretch>
                  </pic:blipFill>
                  <pic:spPr>
                    <a:xfrm>
                      <a:off x="0" y="0"/>
                      <a:ext cx="3886200" cy="1920240"/>
                    </a:xfrm>
                    <a:prstGeom prst="rect">
                      <a:avLst/>
                    </a:prstGeom>
                    <a:noFill/>
                    <a:ln>
                      <a:noFill/>
                    </a:ln>
                  </pic:spPr>
                </pic:pic>
              </a:graphicData>
            </a:graphic>
          </wp:inline>
        </w:drawing>
      </w:r>
    </w:p>
    <w:p w14:paraId="143D8BD8">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Supplementary Figure 6</w:t>
      </w:r>
    </w:p>
    <w:p w14:paraId="2F44762D">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等线" w:cs="Times New Roman"/>
          <w:kern w:val="2"/>
          <w:sz w:val="24"/>
          <w:szCs w:val="24"/>
          <w:lang w:val="en-US" w:eastAsia="zh-CN" w:bidi="ar"/>
        </w:rPr>
        <w:t xml:space="preserve">(A, B) ROC curve assessing the predictive efficacy of </w:t>
      </w:r>
      <w:r>
        <w:rPr>
          <w:rFonts w:hint="default" w:ascii="Times New Roman" w:hAnsi="Times New Roman" w:eastAsia="等线" w:cs="Times New Roman"/>
          <w:i/>
          <w:iCs w:val="0"/>
          <w:kern w:val="2"/>
          <w:sz w:val="24"/>
          <w:szCs w:val="24"/>
          <w:lang w:val="en-US" w:eastAsia="zh-CN" w:bidi="ar"/>
        </w:rPr>
        <w:t>LAMC2-</w:t>
      </w:r>
      <w:r>
        <w:rPr>
          <w:rFonts w:hint="default" w:ascii="Times New Roman" w:hAnsi="Times New Roman" w:eastAsia="等线" w:cs="Times New Roman"/>
          <w:kern w:val="2"/>
          <w:sz w:val="24"/>
          <w:szCs w:val="24"/>
          <w:lang w:val="en-US" w:eastAsia="zh-CN" w:bidi="ar"/>
        </w:rPr>
        <w:t>related signature and MSI status for overall survival.</w:t>
      </w:r>
    </w:p>
    <w:p w14:paraId="1588FAB4"/>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 w:name="@宋体">
    <w:panose1 w:val="02010600030101010101"/>
    <w:charset w:val="86"/>
    <w:family w:val="auto"/>
    <w:pitch w:val="variable"/>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E05D65"/>
    <w:multiLevelType w:val="multilevel"/>
    <w:tmpl w:val="36E05D65"/>
    <w:lvl w:ilvl="0" w:tentative="0">
      <w:start w:val="1"/>
      <w:numFmt w:val="upperLetter"/>
      <w:suff w:val="space"/>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D33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2025-09-29T09:04:00Z</dcterms:created>
  <dc:creator>WHF</dc:creator>
  <cp:lastModifiedBy>王虎飞</cp:lastModifiedBy>
  <dcterms:modified xsi:type="dcterms:W3CDTF">2025-09-29T09:05:11Z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F49A8ADECF7D43B7826D55BD5AD83C46_12</vt:lpwstr>
  </property>
</Properties>
</file>