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A6468" w14:textId="2B3650D4" w:rsidR="00D673DC" w:rsidRPr="00B425CC" w:rsidRDefault="00D673DC" w:rsidP="00D673DC">
      <w:pPr>
        <w:spacing w:line="360" w:lineRule="auto"/>
        <w:jc w:val="both"/>
        <w:rPr>
          <w:rFonts w:ascii="Calibri" w:hAnsi="Calibri" w:cs="Calibri"/>
          <w:b/>
          <w:bCs/>
          <w:lang w:val="en-GB"/>
        </w:rPr>
      </w:pPr>
      <w:bookmarkStart w:id="0" w:name="_Hlk209784476"/>
      <w:r w:rsidRPr="00B425CC">
        <w:rPr>
          <w:rFonts w:ascii="Calibri" w:hAnsi="Calibri" w:cs="Calibri"/>
          <w:b/>
          <w:bCs/>
          <w:lang w:val="en-GB"/>
        </w:rPr>
        <w:t xml:space="preserve">Supplementary </w:t>
      </w:r>
      <w:r w:rsidR="00B772C0" w:rsidRPr="00B425CC">
        <w:rPr>
          <w:rFonts w:ascii="Calibri" w:hAnsi="Calibri" w:cs="Calibri"/>
          <w:b/>
          <w:bCs/>
          <w:lang w:val="en-GB"/>
        </w:rPr>
        <w:t>information.</w:t>
      </w:r>
    </w:p>
    <w:p w14:paraId="52D4ABE2" w14:textId="73C78C33" w:rsidR="00D673DC" w:rsidRPr="00B425CC" w:rsidRDefault="00D673DC" w:rsidP="00D673DC">
      <w:pPr>
        <w:spacing w:line="360" w:lineRule="auto"/>
        <w:jc w:val="both"/>
        <w:rPr>
          <w:rFonts w:ascii="Calibri" w:hAnsi="Calibri" w:cs="Calibri"/>
          <w:b/>
          <w:bCs/>
          <w:sz w:val="20"/>
          <w:szCs w:val="20"/>
          <w:lang w:val="en-GB"/>
        </w:rPr>
      </w:pPr>
      <w:r w:rsidRPr="00B425CC">
        <w:rPr>
          <w:rFonts w:ascii="Calibri" w:hAnsi="Calibri" w:cs="Calibri"/>
          <w:b/>
          <w:bCs/>
          <w:lang w:val="en-GB"/>
        </w:rPr>
        <w:t>One Section, Two Worlds: Single-Cell Integration of MALDI-MSI and Spatial Transcriptomics on the Same Single Tissue Section</w:t>
      </w:r>
    </w:p>
    <w:p w14:paraId="43D2E614" w14:textId="77777777" w:rsidR="00D673DC" w:rsidRPr="00B425CC" w:rsidRDefault="00D673DC" w:rsidP="00D673DC">
      <w:pPr>
        <w:spacing w:line="360" w:lineRule="auto"/>
        <w:jc w:val="both"/>
        <w:rPr>
          <w:rFonts w:ascii="Calibri" w:hAnsi="Calibri"/>
          <w:sz w:val="20"/>
          <w:vertAlign w:val="superscript"/>
          <w:lang w:val="nl-NL"/>
        </w:rPr>
      </w:pPr>
      <w:r w:rsidRPr="00B425CC">
        <w:rPr>
          <w:rFonts w:ascii="Calibri" w:hAnsi="Calibri"/>
          <w:sz w:val="20"/>
          <w:lang w:val="nl-NL"/>
        </w:rPr>
        <w:t>Tim F.E. Hendriks</w:t>
      </w:r>
      <w:r w:rsidRPr="00B425CC">
        <w:rPr>
          <w:rFonts w:ascii="Calibri" w:hAnsi="Calibri"/>
          <w:sz w:val="20"/>
          <w:vertAlign w:val="superscript"/>
          <w:lang w:val="nl-NL"/>
        </w:rPr>
        <w:t>1</w:t>
      </w:r>
      <w:r w:rsidRPr="00B425CC">
        <w:rPr>
          <w:rFonts w:ascii="Calibri" w:hAnsi="Calibri"/>
          <w:sz w:val="20"/>
          <w:lang w:val="nl-NL"/>
        </w:rPr>
        <w:t>, Gert B. Eijkel</w:t>
      </w:r>
      <w:r w:rsidRPr="00B425CC">
        <w:rPr>
          <w:rFonts w:ascii="Calibri" w:hAnsi="Calibri"/>
          <w:sz w:val="20"/>
          <w:vertAlign w:val="superscript"/>
          <w:lang w:val="nl-NL"/>
        </w:rPr>
        <w:t>1</w:t>
      </w:r>
      <w:r w:rsidRPr="00B425CC">
        <w:rPr>
          <w:rFonts w:ascii="Calibri" w:hAnsi="Calibri"/>
          <w:sz w:val="20"/>
          <w:lang w:val="nl-NL"/>
        </w:rPr>
        <w:t xml:space="preserve">, </w:t>
      </w:r>
      <w:proofErr w:type="spellStart"/>
      <w:r w:rsidRPr="00B425CC">
        <w:rPr>
          <w:rFonts w:ascii="Calibri" w:hAnsi="Calibri"/>
          <w:sz w:val="20"/>
          <w:lang w:val="nl-NL"/>
        </w:rPr>
        <w:t>Theodoros</w:t>
      </w:r>
      <w:proofErr w:type="spellEnd"/>
      <w:r w:rsidRPr="00B425CC">
        <w:rPr>
          <w:rFonts w:ascii="Calibri" w:hAnsi="Calibri"/>
          <w:sz w:val="20"/>
          <w:lang w:val="nl-NL"/>
        </w:rPr>
        <w:t xml:space="preserve"> Visvikis</w:t>
      </w:r>
      <w:r w:rsidRPr="00B425CC">
        <w:rPr>
          <w:rFonts w:ascii="Calibri" w:hAnsi="Calibri"/>
          <w:sz w:val="20"/>
          <w:vertAlign w:val="superscript"/>
          <w:lang w:val="nl-NL"/>
        </w:rPr>
        <w:t>1</w:t>
      </w:r>
      <w:r w:rsidRPr="00B425CC">
        <w:rPr>
          <w:rFonts w:ascii="Calibri" w:hAnsi="Calibri"/>
          <w:sz w:val="20"/>
          <w:lang w:val="nl-NL"/>
        </w:rPr>
        <w:t>, Benjamin Balluff</w:t>
      </w:r>
      <w:r w:rsidRPr="00B425CC">
        <w:rPr>
          <w:rFonts w:ascii="Calibri" w:hAnsi="Calibri"/>
          <w:sz w:val="20"/>
          <w:vertAlign w:val="superscript"/>
          <w:lang w:val="nl-NL"/>
        </w:rPr>
        <w:t>1</w:t>
      </w:r>
      <w:r w:rsidRPr="00B425CC">
        <w:rPr>
          <w:rFonts w:ascii="Calibri" w:hAnsi="Calibri"/>
          <w:sz w:val="20"/>
          <w:lang w:val="nl-NL"/>
        </w:rPr>
        <w:t>, Ron M.A. Heeren</w:t>
      </w:r>
      <w:r w:rsidRPr="00B425CC">
        <w:rPr>
          <w:rFonts w:ascii="Calibri" w:hAnsi="Calibri"/>
          <w:sz w:val="20"/>
          <w:vertAlign w:val="superscript"/>
          <w:lang w:val="nl-NL"/>
        </w:rPr>
        <w:t>1</w:t>
      </w:r>
      <w:r w:rsidRPr="00B425CC">
        <w:rPr>
          <w:rFonts w:ascii="Calibri" w:hAnsi="Calibri"/>
          <w:sz w:val="20"/>
          <w:lang w:val="nl-NL"/>
        </w:rPr>
        <w:t>, Eva Cuypers</w:t>
      </w:r>
      <w:r w:rsidRPr="00B425CC">
        <w:rPr>
          <w:rFonts w:ascii="Calibri" w:hAnsi="Calibri"/>
          <w:sz w:val="20"/>
          <w:vertAlign w:val="superscript"/>
          <w:lang w:val="nl-NL"/>
        </w:rPr>
        <w:t>1*</w:t>
      </w:r>
    </w:p>
    <w:p w14:paraId="0CD1531A" w14:textId="77777777" w:rsidR="00D673DC" w:rsidRPr="00B425CC" w:rsidRDefault="00D673DC" w:rsidP="00D673DC">
      <w:pPr>
        <w:spacing w:line="360" w:lineRule="auto"/>
        <w:jc w:val="both"/>
        <w:rPr>
          <w:rFonts w:ascii="Calibri" w:hAnsi="Calibri" w:cs="Calibri"/>
          <w:sz w:val="20"/>
          <w:szCs w:val="20"/>
          <w:lang w:val="en-GB"/>
        </w:rPr>
      </w:pPr>
      <w:r w:rsidRPr="00B425CC">
        <w:rPr>
          <w:rFonts w:ascii="Calibri" w:hAnsi="Calibri" w:cs="Calibri"/>
          <w:sz w:val="20"/>
          <w:szCs w:val="20"/>
          <w:vertAlign w:val="superscript"/>
          <w:lang w:val="en-GB"/>
        </w:rPr>
        <w:t>1</w:t>
      </w:r>
      <w:r w:rsidRPr="00B425CC">
        <w:rPr>
          <w:rFonts w:ascii="Calibri" w:hAnsi="Calibri" w:cs="Calibri"/>
          <w:sz w:val="20"/>
          <w:szCs w:val="20"/>
          <w:lang w:val="en-GB"/>
        </w:rPr>
        <w:t>The Maastricht MultiModal Molecular Imaging (M4I) Institute, Division of Imaging Mass Spectrometry (IMS), Maastricht University, 6229 ER Maastricht, The Netherlands</w:t>
      </w:r>
    </w:p>
    <w:p w14:paraId="556DCB02" w14:textId="77777777" w:rsidR="00D673DC" w:rsidRPr="00B425CC" w:rsidRDefault="00D673DC" w:rsidP="00D673DC">
      <w:pPr>
        <w:spacing w:line="360" w:lineRule="auto"/>
      </w:pPr>
      <w:r w:rsidRPr="00B425CC">
        <w:rPr>
          <w:rFonts w:ascii="Calibri" w:hAnsi="Calibri" w:cs="Calibri"/>
          <w:sz w:val="20"/>
          <w:szCs w:val="18"/>
          <w:lang w:val="en-GB"/>
        </w:rPr>
        <w:t xml:space="preserve">*Corresponding author: </w:t>
      </w:r>
      <w:hyperlink r:id="rId7" w:history="1">
        <w:r w:rsidRPr="00B425CC">
          <w:rPr>
            <w:rStyle w:val="Hyperlink"/>
            <w:rFonts w:ascii="Calibri" w:hAnsi="Calibri" w:cs="Calibri"/>
            <w:sz w:val="20"/>
            <w:szCs w:val="18"/>
            <w:lang w:val="en-GB"/>
          </w:rPr>
          <w:t>e.cuypers@maastrichtuniversity.nl</w:t>
        </w:r>
      </w:hyperlink>
    </w:p>
    <w:p w14:paraId="5E67A48E" w14:textId="77777777" w:rsidR="00624FCC" w:rsidRPr="00B425CC" w:rsidRDefault="00624FCC" w:rsidP="00624FCC">
      <w:pPr>
        <w:spacing w:line="360" w:lineRule="auto"/>
        <w:rPr>
          <w:rFonts w:ascii="Calibri" w:hAnsi="Calibri" w:cs="Calibri"/>
          <w:sz w:val="20"/>
          <w:szCs w:val="20"/>
        </w:rPr>
      </w:pPr>
      <w:proofErr w:type="spellStart"/>
      <w:r w:rsidRPr="00B425CC">
        <w:rPr>
          <w:rFonts w:ascii="Calibri" w:hAnsi="Calibri" w:cs="Calibri"/>
          <w:sz w:val="20"/>
          <w:szCs w:val="20"/>
        </w:rPr>
        <w:t>BioRxiv</w:t>
      </w:r>
      <w:proofErr w:type="spellEnd"/>
      <w:r w:rsidRPr="00B425CC">
        <w:rPr>
          <w:rFonts w:ascii="Calibri" w:hAnsi="Calibri" w:cs="Calibri"/>
          <w:sz w:val="20"/>
          <w:szCs w:val="20"/>
        </w:rPr>
        <w:t xml:space="preserve"> DOI: </w:t>
      </w:r>
      <w:hyperlink r:id="rId8" w:history="1">
        <w:r w:rsidRPr="00B425CC">
          <w:rPr>
            <w:rStyle w:val="Hyperlink"/>
            <w:rFonts w:ascii="Calibri" w:hAnsi="Calibri" w:cs="Calibri"/>
            <w:sz w:val="20"/>
            <w:szCs w:val="20"/>
          </w:rPr>
          <w:t>https://doi.org/10.1101/2025.07.16.665110</w:t>
        </w:r>
      </w:hyperlink>
    </w:p>
    <w:p w14:paraId="26748038" w14:textId="77777777" w:rsidR="00624FCC" w:rsidRPr="00B425CC" w:rsidRDefault="00624FCC" w:rsidP="00D673DC">
      <w:pPr>
        <w:spacing w:line="360" w:lineRule="auto"/>
      </w:pPr>
    </w:p>
    <w:p w14:paraId="5FA839F2" w14:textId="53C3DA8B" w:rsidR="00D673DC" w:rsidRPr="00B425CC" w:rsidRDefault="00D673DC">
      <w:pPr>
        <w:spacing w:line="278" w:lineRule="auto"/>
      </w:pPr>
      <w:r w:rsidRPr="00B425CC">
        <w:br w:type="page"/>
      </w:r>
    </w:p>
    <w:p w14:paraId="1BA3FA56" w14:textId="34147393" w:rsidR="00D673DC" w:rsidRPr="00B425CC" w:rsidRDefault="00D673DC" w:rsidP="00D673DC">
      <w:pPr>
        <w:spacing w:line="360" w:lineRule="auto"/>
        <w:rPr>
          <w:rFonts w:ascii="Calibri" w:hAnsi="Calibri" w:cs="Calibri"/>
          <w:b/>
          <w:bCs/>
          <w:sz w:val="20"/>
          <w:szCs w:val="18"/>
          <w:lang w:val="en-GB"/>
        </w:rPr>
      </w:pPr>
      <w:r w:rsidRPr="00B425CC">
        <w:rPr>
          <w:rFonts w:ascii="Calibri" w:hAnsi="Calibri" w:cs="Calibri"/>
          <w:b/>
          <w:bCs/>
          <w:sz w:val="20"/>
          <w:szCs w:val="18"/>
          <w:lang w:val="en-GB"/>
        </w:rPr>
        <w:lastRenderedPageBreak/>
        <w:t>Table of Contents:</w:t>
      </w:r>
    </w:p>
    <w:p w14:paraId="52515C54" w14:textId="1A65638B" w:rsidR="00CC5FEF" w:rsidRPr="00CC5FEF" w:rsidRDefault="00D673DC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r w:rsidRPr="00B425CC">
        <w:rPr>
          <w:rFonts w:ascii="Calibri" w:hAnsi="Calibri" w:cs="Calibri"/>
          <w:b/>
          <w:bCs/>
          <w:sz w:val="4"/>
          <w:szCs w:val="2"/>
          <w:lang w:val="en-GB"/>
        </w:rPr>
        <w:fldChar w:fldCharType="begin"/>
      </w:r>
      <w:r w:rsidRPr="00B425CC">
        <w:rPr>
          <w:rFonts w:ascii="Calibri" w:hAnsi="Calibri" w:cs="Calibri"/>
          <w:b/>
          <w:bCs/>
          <w:sz w:val="4"/>
          <w:szCs w:val="2"/>
          <w:lang w:val="en-GB"/>
        </w:rPr>
        <w:instrText xml:space="preserve"> TOC \o "1-3" \h \z \u </w:instrText>
      </w:r>
      <w:r w:rsidRPr="00B425CC">
        <w:rPr>
          <w:rFonts w:ascii="Calibri" w:hAnsi="Calibri" w:cs="Calibri"/>
          <w:b/>
          <w:bCs/>
          <w:sz w:val="4"/>
          <w:szCs w:val="2"/>
          <w:lang w:val="en-GB"/>
        </w:rPr>
        <w:fldChar w:fldCharType="separate"/>
      </w:r>
      <w:hyperlink w:anchor="_Toc211847973" w:history="1">
        <w:r w:rsidR="00CC5FEF" w:rsidRPr="00CC5FEF">
          <w:rPr>
            <w:rStyle w:val="Hyperlink"/>
            <w:rFonts w:ascii="Calibri" w:hAnsi="Calibri" w:cs="Calibri"/>
            <w:noProof/>
            <w:sz w:val="18"/>
            <w:szCs w:val="18"/>
            <w:lang w:val="en-GB"/>
          </w:rPr>
          <w:t>Supplementary table 1: List of gene markers per cell type used for cell identification and identified cells.</w:t>
        </w:r>
        <w:r w:rsidR="00CC5FEF"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="00CC5FEF"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="00CC5FEF"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_Toc211847973 \h </w:instrText>
        </w:r>
        <w:r w:rsidR="00CC5FEF"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="00CC5FEF"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="00CC5FEF" w:rsidRPr="00CC5FEF">
          <w:rPr>
            <w:rFonts w:ascii="Calibri" w:hAnsi="Calibri" w:cs="Calibri"/>
            <w:noProof/>
            <w:webHidden/>
            <w:sz w:val="18"/>
            <w:szCs w:val="18"/>
          </w:rPr>
          <w:t>3</w:t>
        </w:r>
        <w:r w:rsidR="00CC5FEF"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164FD7C9" w14:textId="64BC5E5B" w:rsidR="00CC5FEF" w:rsidRPr="00CC5FEF" w:rsidRDefault="00CC5FEF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hyperlink w:anchor="_Toc211847974" w:history="1">
        <w:r w:rsidRPr="00CC5FEF">
          <w:rPr>
            <w:rStyle w:val="Hyperlink"/>
            <w:rFonts w:ascii="Calibri" w:hAnsi="Calibri" w:cs="Calibri"/>
            <w:noProof/>
            <w:sz w:val="18"/>
            <w:szCs w:val="18"/>
            <w:lang w:val="en-GB"/>
          </w:rPr>
          <w:t>Supplementary text 1: Lipidomics LC-MS/MS and lipid identification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_Toc211847974 \h </w:instrTex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>4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1016089F" w14:textId="2F2E6FF5" w:rsidR="00CC5FEF" w:rsidRPr="00CC5FEF" w:rsidRDefault="00CC5FEF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hyperlink w:anchor="_Toc211847975" w:history="1">
        <w:r w:rsidRPr="00CC5FEF">
          <w:rPr>
            <w:rStyle w:val="Hyperlink"/>
            <w:rFonts w:ascii="Calibri" w:hAnsi="Calibri" w:cs="Calibri"/>
            <w:noProof/>
            <w:sz w:val="18"/>
            <w:szCs w:val="18"/>
            <w:lang w:val="en-GB"/>
          </w:rPr>
          <w:t>Supplementary figure 1: Per-gene RNA abundance comparison between MALDI-MSI measured and control regions (mouse brain).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_Toc211847975 \h </w:instrTex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>5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385583FE" w14:textId="7BDCC84D" w:rsidR="00CC5FEF" w:rsidRPr="00CC5FEF" w:rsidRDefault="00CC5FEF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hyperlink w:anchor="_Toc211847976" w:history="1">
        <w:r w:rsidRPr="00CC5FEF">
          <w:rPr>
            <w:rStyle w:val="Hyperlink"/>
            <w:rFonts w:ascii="Calibri" w:hAnsi="Calibri" w:cs="Calibri"/>
            <w:noProof/>
            <w:sz w:val="18"/>
            <w:szCs w:val="18"/>
            <w:lang w:val="en-GB"/>
          </w:rPr>
          <w:t>Supplementary figure 2: ESCDAT Software GUI and explanation.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_Toc211847976 \h </w:instrTex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>6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43B58502" w14:textId="0F389CFF" w:rsidR="00CC5FEF" w:rsidRPr="00CC5FEF" w:rsidRDefault="00CC5FEF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hyperlink w:anchor="_Toc211847977" w:history="1">
        <w:r w:rsidRPr="00CC5FEF">
          <w:rPr>
            <w:rStyle w:val="Hyperlink"/>
            <w:rFonts w:ascii="Calibri" w:hAnsi="Calibri" w:cs="Calibri"/>
            <w:noProof/>
            <w:sz w:val="18"/>
            <w:szCs w:val="18"/>
          </w:rPr>
          <w:t>Supplementary figure 3: Distribution of gene counts and gene features per cell type.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_Toc211847977 \h </w:instrTex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>7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25BC807C" w14:textId="308E29D1" w:rsidR="00CC5FEF" w:rsidRPr="00CC5FEF" w:rsidRDefault="00CC5FEF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hyperlink w:anchor="_Toc211847978" w:history="1">
        <w:r w:rsidRPr="00CC5FEF">
          <w:rPr>
            <w:rStyle w:val="Hyperlink"/>
            <w:rFonts w:ascii="Calibri" w:hAnsi="Calibri" w:cs="Calibri"/>
            <w:noProof/>
            <w:sz w:val="18"/>
            <w:szCs w:val="18"/>
          </w:rPr>
          <w:t>Supplementary figure 4: Score distribution per cell type.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_Toc211847978 \h </w:instrTex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>8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4B99D7F5" w14:textId="320271D1" w:rsidR="00CC5FEF" w:rsidRPr="00CC5FEF" w:rsidRDefault="00CC5FEF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hyperlink w:anchor="_Toc211847979" w:history="1">
        <w:r w:rsidRPr="00CC5FEF">
          <w:rPr>
            <w:rStyle w:val="Hyperlink"/>
            <w:rFonts w:ascii="Calibri" w:hAnsi="Calibri" w:cs="Calibri"/>
            <w:noProof/>
            <w:sz w:val="18"/>
            <w:szCs w:val="18"/>
          </w:rPr>
          <w:t>Supplementary figure 5: Score distribution of individual marker‐gene specificity across predicted cell types.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_Toc211847979 \h </w:instrTex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>9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67FEB3B5" w14:textId="6948A4DD" w:rsidR="00CC5FEF" w:rsidRPr="00CC5FEF" w:rsidRDefault="00CC5FEF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hyperlink w:anchor="_Toc211847980" w:history="1">
        <w:r w:rsidRPr="00CC5FEF">
          <w:rPr>
            <w:rStyle w:val="Hyperlink"/>
            <w:rFonts w:ascii="Calibri" w:hAnsi="Calibri" w:cs="Calibri"/>
            <w:noProof/>
            <w:sz w:val="18"/>
            <w:szCs w:val="18"/>
          </w:rPr>
          <w:t>Supplementary figure 6: Heatmap of top RNA markers across predicted cell types in human GBM.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_Toc211847980 \h </w:instrTex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>10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31412190" w14:textId="787A2DB6" w:rsidR="00CC5FEF" w:rsidRPr="00CC5FEF" w:rsidRDefault="00CC5FEF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hyperlink w:anchor="_Toc211847981" w:history="1">
        <w:r w:rsidRPr="00CC5FEF">
          <w:rPr>
            <w:rStyle w:val="Hyperlink"/>
            <w:rFonts w:ascii="Calibri" w:hAnsi="Calibri" w:cs="Calibri"/>
            <w:noProof/>
            <w:sz w:val="18"/>
            <w:szCs w:val="18"/>
          </w:rPr>
          <w:t xml:space="preserve">Supplementary figure 7: Heatmap of top </w:t>
        </w:r>
        <w:r w:rsidRPr="00CC5FEF">
          <w:rPr>
            <w:rStyle w:val="Hyperlink"/>
            <w:rFonts w:ascii="Calibri" w:hAnsi="Calibri" w:cs="Calibri"/>
            <w:i/>
            <w:iCs/>
            <w:noProof/>
            <w:sz w:val="18"/>
            <w:szCs w:val="18"/>
          </w:rPr>
          <w:t>m/z</w:t>
        </w:r>
        <w:r w:rsidRPr="00CC5FEF">
          <w:rPr>
            <w:rStyle w:val="Hyperlink"/>
            <w:rFonts w:ascii="Calibri" w:hAnsi="Calibri" w:cs="Calibri"/>
            <w:noProof/>
            <w:sz w:val="18"/>
            <w:szCs w:val="18"/>
          </w:rPr>
          <w:t xml:space="preserve"> markers across predicted cell types in human GBM.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_Toc211847981 \h </w:instrTex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>11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2AB15FFD" w14:textId="500B8CB5" w:rsidR="00CC5FEF" w:rsidRPr="00CC5FEF" w:rsidRDefault="00CC5FEF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hyperlink w:anchor="_Toc211847982" w:history="1">
        <w:r w:rsidRPr="00CC5FEF">
          <w:rPr>
            <w:rStyle w:val="Hyperlink"/>
            <w:rFonts w:ascii="Calibri" w:hAnsi="Calibri" w:cs="Calibri"/>
            <w:noProof/>
            <w:sz w:val="18"/>
            <w:szCs w:val="18"/>
            <w:lang w:val="en-GB"/>
          </w:rPr>
          <w:t>Supplementary figure 8: Intra-lineage metabolic variation within astrocytes in human GBM.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_Toc211847982 \h </w:instrTex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>12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71BC3C1B" w14:textId="3B652CE3" w:rsidR="00CC5FEF" w:rsidRPr="00CC5FEF" w:rsidRDefault="00CC5FEF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hyperlink w:anchor="_Toc211847983" w:history="1">
        <w:r w:rsidRPr="00CC5FEF">
          <w:rPr>
            <w:rStyle w:val="Hyperlink"/>
            <w:rFonts w:ascii="Calibri" w:hAnsi="Calibri" w:cs="Calibri"/>
            <w:noProof/>
            <w:sz w:val="18"/>
            <w:szCs w:val="18"/>
          </w:rPr>
          <w:t>Supplementary figure 9: RNA vs MALDI-MSI embeddings and astrocyte-focused spatial structure.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_Toc211847983 \h </w:instrTex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>13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5D5AD7C9" w14:textId="14ABDA4B" w:rsidR="00CC5FEF" w:rsidRPr="00CC5FEF" w:rsidRDefault="00CC5FEF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hyperlink w:anchor="_Toc211847984" w:history="1">
        <w:r w:rsidRPr="00CC5FEF">
          <w:rPr>
            <w:rStyle w:val="Hyperlink"/>
            <w:rFonts w:ascii="Calibri" w:hAnsi="Calibri" w:cs="Calibri"/>
            <w:noProof/>
            <w:sz w:val="18"/>
            <w:szCs w:val="18"/>
          </w:rPr>
          <w:t>Supplementary Figure 10. Global gene – MALDI-MSI correlation heatmap of human GBM tissue.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_Toc211847984 \h </w:instrTex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>14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01151D27" w14:textId="401EB31B" w:rsidR="00CC5FEF" w:rsidRPr="00CC5FEF" w:rsidRDefault="00CC5FEF">
      <w:pPr>
        <w:pStyle w:val="TOC1"/>
        <w:tabs>
          <w:tab w:val="right" w:leader="dot" w:pos="9062"/>
        </w:tabs>
        <w:rPr>
          <w:rFonts w:ascii="Calibri" w:eastAsiaTheme="minorEastAsia" w:hAnsi="Calibri" w:cs="Calibri"/>
          <w:noProof/>
          <w:kern w:val="2"/>
          <w:sz w:val="20"/>
          <w:szCs w:val="20"/>
        </w:rPr>
      </w:pPr>
      <w:hyperlink w:anchor="_Toc211847985" w:history="1">
        <w:r w:rsidRPr="00CC5FEF">
          <w:rPr>
            <w:rStyle w:val="Hyperlink"/>
            <w:rFonts w:ascii="Calibri" w:hAnsi="Calibri" w:cs="Calibri"/>
            <w:noProof/>
            <w:sz w:val="18"/>
            <w:szCs w:val="18"/>
          </w:rPr>
          <w:t>Supplementary figure 11: Spatial illustration of a gene-ion pair in GBM.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ab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begin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instrText xml:space="preserve"> PAGEREF _Toc211847985 \h </w:instrTex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separate"/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t>15</w:t>
        </w:r>
        <w:r w:rsidRPr="00CC5FEF">
          <w:rPr>
            <w:rFonts w:ascii="Calibri" w:hAnsi="Calibri" w:cs="Calibri"/>
            <w:noProof/>
            <w:webHidden/>
            <w:sz w:val="18"/>
            <w:szCs w:val="18"/>
          </w:rPr>
          <w:fldChar w:fldCharType="end"/>
        </w:r>
      </w:hyperlink>
    </w:p>
    <w:p w14:paraId="6DF4E601" w14:textId="220C208F" w:rsidR="00D673DC" w:rsidRPr="00B425CC" w:rsidRDefault="00D673DC" w:rsidP="00D673DC">
      <w:pPr>
        <w:spacing w:line="360" w:lineRule="auto"/>
        <w:rPr>
          <w:rFonts w:ascii="Calibri" w:hAnsi="Calibri" w:cs="Calibri"/>
          <w:b/>
          <w:bCs/>
          <w:sz w:val="20"/>
          <w:szCs w:val="18"/>
          <w:lang w:val="en-GB"/>
        </w:rPr>
      </w:pPr>
      <w:r w:rsidRPr="00B425CC">
        <w:rPr>
          <w:rFonts w:ascii="Calibri" w:hAnsi="Calibri" w:cs="Calibri"/>
          <w:b/>
          <w:bCs/>
          <w:sz w:val="4"/>
          <w:szCs w:val="2"/>
          <w:lang w:val="en-GB"/>
        </w:rPr>
        <w:fldChar w:fldCharType="end"/>
      </w:r>
      <w:r w:rsidR="004C27A3" w:rsidRPr="00B425CC">
        <w:rPr>
          <w:rFonts w:ascii="Calibri" w:hAnsi="Calibri" w:cs="Calibri"/>
          <w:b/>
          <w:bCs/>
          <w:sz w:val="4"/>
          <w:szCs w:val="2"/>
          <w:lang w:val="en-GB"/>
        </w:rPr>
        <w:t>d</w:t>
      </w:r>
    </w:p>
    <w:p w14:paraId="66477066" w14:textId="77777777" w:rsidR="00D673DC" w:rsidRPr="00B425CC" w:rsidRDefault="00D673DC">
      <w:pPr>
        <w:spacing w:line="278" w:lineRule="auto"/>
        <w:rPr>
          <w:rFonts w:ascii="Calibri" w:hAnsi="Calibri" w:cs="Calibri"/>
          <w:b/>
          <w:bCs/>
          <w:sz w:val="20"/>
          <w:szCs w:val="20"/>
          <w:lang w:val="en-GB"/>
        </w:rPr>
      </w:pPr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br w:type="page"/>
      </w:r>
    </w:p>
    <w:p w14:paraId="1AFEF0BA" w14:textId="242CD07F" w:rsidR="00D673DC" w:rsidRPr="00B425CC" w:rsidRDefault="00D673DC" w:rsidP="00D673DC">
      <w:pPr>
        <w:pStyle w:val="Heading1"/>
        <w:rPr>
          <w:lang w:val="en-GB"/>
        </w:rPr>
      </w:pPr>
      <w:bookmarkStart w:id="1" w:name="_Toc211847973"/>
      <w:r w:rsidRPr="00B425CC">
        <w:rPr>
          <w:lang w:val="en-GB"/>
        </w:rPr>
        <w:lastRenderedPageBreak/>
        <w:t>Supplementary table 1: List of gene markers per cell type used for cell identification and identified cells.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3827"/>
        <w:gridCol w:w="2546"/>
      </w:tblGrid>
      <w:tr w:rsidR="00D673DC" w:rsidRPr="00B425CC" w14:paraId="13EB6C92" w14:textId="77777777" w:rsidTr="00F728AC">
        <w:tc>
          <w:tcPr>
            <w:tcW w:w="2689" w:type="dxa"/>
          </w:tcPr>
          <w:p w14:paraId="4165CF7C" w14:textId="77777777" w:rsidR="00D673DC" w:rsidRPr="00B425CC" w:rsidRDefault="00D673DC" w:rsidP="00F728AC">
            <w:pP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>Cell type</w:t>
            </w:r>
          </w:p>
        </w:tc>
        <w:tc>
          <w:tcPr>
            <w:tcW w:w="3827" w:type="dxa"/>
          </w:tcPr>
          <w:p w14:paraId="79D59F8F" w14:textId="77777777" w:rsidR="00D673DC" w:rsidRPr="00B425CC" w:rsidRDefault="00D673DC" w:rsidP="00F728AC">
            <w:pP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>Gene markers</w:t>
            </w:r>
          </w:p>
        </w:tc>
        <w:tc>
          <w:tcPr>
            <w:tcW w:w="2546" w:type="dxa"/>
          </w:tcPr>
          <w:p w14:paraId="13573726" w14:textId="77777777" w:rsidR="00D673DC" w:rsidRPr="00B425CC" w:rsidRDefault="00D673DC" w:rsidP="00F728AC">
            <w:pP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>Identified cells</w:t>
            </w:r>
          </w:p>
        </w:tc>
      </w:tr>
      <w:tr w:rsidR="00D673DC" w:rsidRPr="00B425CC" w14:paraId="4344D9FF" w14:textId="77777777" w:rsidTr="00F728AC">
        <w:tc>
          <w:tcPr>
            <w:tcW w:w="2689" w:type="dxa"/>
          </w:tcPr>
          <w:p w14:paraId="49B0E69E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Astrocytes</w:t>
            </w:r>
          </w:p>
        </w:tc>
        <w:tc>
          <w:tcPr>
            <w:tcW w:w="3827" w:type="dxa"/>
          </w:tcPr>
          <w:p w14:paraId="228C237A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AQP4, GJA1, FGFR3</w:t>
            </w:r>
          </w:p>
        </w:tc>
        <w:tc>
          <w:tcPr>
            <w:tcW w:w="2546" w:type="dxa"/>
          </w:tcPr>
          <w:p w14:paraId="7539BE42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2009</w:t>
            </w:r>
          </w:p>
        </w:tc>
      </w:tr>
      <w:tr w:rsidR="00D673DC" w:rsidRPr="00B425CC" w14:paraId="5E2698C0" w14:textId="77777777" w:rsidTr="00F728AC">
        <w:tc>
          <w:tcPr>
            <w:tcW w:w="2689" w:type="dxa"/>
          </w:tcPr>
          <w:p w14:paraId="436BD464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Endothelial cells</w:t>
            </w:r>
          </w:p>
        </w:tc>
        <w:tc>
          <w:tcPr>
            <w:tcW w:w="3827" w:type="dxa"/>
          </w:tcPr>
          <w:p w14:paraId="1ABFE87B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PECAM1, FLT1, NRP1</w:t>
            </w:r>
          </w:p>
        </w:tc>
        <w:tc>
          <w:tcPr>
            <w:tcW w:w="2546" w:type="dxa"/>
          </w:tcPr>
          <w:p w14:paraId="4F467C97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530</w:t>
            </w:r>
          </w:p>
        </w:tc>
      </w:tr>
      <w:tr w:rsidR="00D673DC" w:rsidRPr="00B425CC" w14:paraId="1AA4A406" w14:textId="77777777" w:rsidTr="00F728AC">
        <w:tc>
          <w:tcPr>
            <w:tcW w:w="2689" w:type="dxa"/>
          </w:tcPr>
          <w:p w14:paraId="09BEED2C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Excitatory neurons</w:t>
            </w:r>
          </w:p>
        </w:tc>
        <w:tc>
          <w:tcPr>
            <w:tcW w:w="3827" w:type="dxa"/>
          </w:tcPr>
          <w:p w14:paraId="7C9D6847" w14:textId="77777777" w:rsidR="00D673DC" w:rsidRPr="00B425CC" w:rsidRDefault="00D673DC" w:rsidP="00F728AC">
            <w:pPr>
              <w:tabs>
                <w:tab w:val="left" w:pos="1690"/>
              </w:tabs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CRYM, SLC17A7, SLC17A6</w:t>
            </w: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ab/>
            </w:r>
          </w:p>
        </w:tc>
        <w:tc>
          <w:tcPr>
            <w:tcW w:w="2546" w:type="dxa"/>
          </w:tcPr>
          <w:p w14:paraId="3DB66DF2" w14:textId="77777777" w:rsidR="00D673DC" w:rsidRPr="00B425CC" w:rsidRDefault="00D673DC" w:rsidP="00F728AC">
            <w:pPr>
              <w:tabs>
                <w:tab w:val="left" w:pos="1690"/>
              </w:tabs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253</w:t>
            </w:r>
          </w:p>
        </w:tc>
      </w:tr>
      <w:tr w:rsidR="00D673DC" w:rsidRPr="00B425CC" w14:paraId="7DE2D703" w14:textId="77777777" w:rsidTr="00F728AC">
        <w:tc>
          <w:tcPr>
            <w:tcW w:w="2689" w:type="dxa"/>
          </w:tcPr>
          <w:p w14:paraId="39353C1E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GSCs</w:t>
            </w:r>
          </w:p>
        </w:tc>
        <w:tc>
          <w:tcPr>
            <w:tcW w:w="3827" w:type="dxa"/>
          </w:tcPr>
          <w:p w14:paraId="4A501EBE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PAX6, SOX2</w:t>
            </w:r>
          </w:p>
        </w:tc>
        <w:tc>
          <w:tcPr>
            <w:tcW w:w="2546" w:type="dxa"/>
          </w:tcPr>
          <w:p w14:paraId="7EB842AD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594</w:t>
            </w:r>
          </w:p>
        </w:tc>
      </w:tr>
      <w:tr w:rsidR="00D673DC" w:rsidRPr="00B425CC" w14:paraId="38C7F371" w14:textId="77777777" w:rsidTr="00F728AC">
        <w:tc>
          <w:tcPr>
            <w:tcW w:w="2689" w:type="dxa"/>
          </w:tcPr>
          <w:p w14:paraId="025F8B26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Inhibitory neurons</w:t>
            </w:r>
          </w:p>
        </w:tc>
        <w:tc>
          <w:tcPr>
            <w:tcW w:w="3827" w:type="dxa"/>
          </w:tcPr>
          <w:p w14:paraId="2669EA6D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GAD1, SST, WIF1</w:t>
            </w:r>
          </w:p>
        </w:tc>
        <w:tc>
          <w:tcPr>
            <w:tcW w:w="2546" w:type="dxa"/>
          </w:tcPr>
          <w:p w14:paraId="4853253A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189</w:t>
            </w:r>
          </w:p>
        </w:tc>
      </w:tr>
      <w:tr w:rsidR="00D673DC" w:rsidRPr="00B425CC" w14:paraId="4E94A639" w14:textId="77777777" w:rsidTr="00F728AC">
        <w:tc>
          <w:tcPr>
            <w:tcW w:w="2689" w:type="dxa"/>
          </w:tcPr>
          <w:p w14:paraId="69D319EE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MES</w:t>
            </w:r>
          </w:p>
        </w:tc>
        <w:tc>
          <w:tcPr>
            <w:tcW w:w="3827" w:type="dxa"/>
          </w:tcPr>
          <w:p w14:paraId="62969E2B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TGBF1, MGST1, NCSTN</w:t>
            </w:r>
          </w:p>
        </w:tc>
        <w:tc>
          <w:tcPr>
            <w:tcW w:w="2546" w:type="dxa"/>
          </w:tcPr>
          <w:p w14:paraId="473EC83D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365</w:t>
            </w:r>
          </w:p>
        </w:tc>
      </w:tr>
      <w:tr w:rsidR="00D673DC" w:rsidRPr="00B425CC" w14:paraId="6A5C5AE1" w14:textId="77777777" w:rsidTr="00F728AC">
        <w:tc>
          <w:tcPr>
            <w:tcW w:w="2689" w:type="dxa"/>
          </w:tcPr>
          <w:p w14:paraId="37B9BF49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Oligodendrocytes</w:t>
            </w:r>
          </w:p>
        </w:tc>
        <w:tc>
          <w:tcPr>
            <w:tcW w:w="3827" w:type="dxa"/>
          </w:tcPr>
          <w:p w14:paraId="6BEC208B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CAPN3, MOBP, MOG, OPALIN</w:t>
            </w:r>
          </w:p>
        </w:tc>
        <w:tc>
          <w:tcPr>
            <w:tcW w:w="2546" w:type="dxa"/>
          </w:tcPr>
          <w:p w14:paraId="5CA96A35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2174</w:t>
            </w:r>
          </w:p>
        </w:tc>
      </w:tr>
      <w:tr w:rsidR="00D673DC" w:rsidRPr="00B425CC" w14:paraId="4B51930F" w14:textId="77777777" w:rsidTr="00F728AC">
        <w:tc>
          <w:tcPr>
            <w:tcW w:w="2689" w:type="dxa"/>
          </w:tcPr>
          <w:p w14:paraId="74174B97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OPC</w:t>
            </w:r>
          </w:p>
        </w:tc>
        <w:tc>
          <w:tcPr>
            <w:tcW w:w="3827" w:type="dxa"/>
          </w:tcPr>
          <w:p w14:paraId="3CBBE89A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PDGFRA, SOX10, OLIG2</w:t>
            </w:r>
          </w:p>
        </w:tc>
        <w:tc>
          <w:tcPr>
            <w:tcW w:w="2546" w:type="dxa"/>
          </w:tcPr>
          <w:p w14:paraId="0FD72275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653</w:t>
            </w:r>
          </w:p>
        </w:tc>
      </w:tr>
      <w:tr w:rsidR="00D673DC" w:rsidRPr="00B425CC" w14:paraId="33A6EE3A" w14:textId="77777777" w:rsidTr="00F728AC">
        <w:tc>
          <w:tcPr>
            <w:tcW w:w="2689" w:type="dxa"/>
          </w:tcPr>
          <w:p w14:paraId="138374E7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T-cells</w:t>
            </w:r>
          </w:p>
        </w:tc>
        <w:tc>
          <w:tcPr>
            <w:tcW w:w="3827" w:type="dxa"/>
          </w:tcPr>
          <w:p w14:paraId="35287C37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CD4</w:t>
            </w:r>
          </w:p>
        </w:tc>
        <w:tc>
          <w:tcPr>
            <w:tcW w:w="2546" w:type="dxa"/>
          </w:tcPr>
          <w:p w14:paraId="6D320998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686</w:t>
            </w:r>
          </w:p>
        </w:tc>
      </w:tr>
      <w:tr w:rsidR="00D673DC" w:rsidRPr="00B425CC" w14:paraId="7601DD3D" w14:textId="77777777" w:rsidTr="00F728AC">
        <w:tc>
          <w:tcPr>
            <w:tcW w:w="2689" w:type="dxa"/>
          </w:tcPr>
          <w:p w14:paraId="260DF107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TAMs</w:t>
            </w:r>
          </w:p>
        </w:tc>
        <w:tc>
          <w:tcPr>
            <w:tcW w:w="3827" w:type="dxa"/>
          </w:tcPr>
          <w:p w14:paraId="7FE457BB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CD163, CD68, P2RY12, CX3CR1, TREM2</w:t>
            </w:r>
          </w:p>
        </w:tc>
        <w:tc>
          <w:tcPr>
            <w:tcW w:w="2546" w:type="dxa"/>
          </w:tcPr>
          <w:p w14:paraId="760697FE" w14:textId="77777777" w:rsidR="00D673DC" w:rsidRPr="00B425CC" w:rsidRDefault="00D673DC" w:rsidP="00F728AC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425CC">
              <w:rPr>
                <w:rFonts w:ascii="Calibri" w:hAnsi="Calibri" w:cs="Calibri"/>
                <w:sz w:val="18"/>
                <w:szCs w:val="18"/>
                <w:lang w:val="en-GB"/>
              </w:rPr>
              <w:t>865</w:t>
            </w:r>
          </w:p>
        </w:tc>
      </w:tr>
    </w:tbl>
    <w:p w14:paraId="5B499D19" w14:textId="740B24AE" w:rsidR="001738FC" w:rsidRPr="00B425CC" w:rsidRDefault="001738FC" w:rsidP="00D673DC">
      <w:pPr>
        <w:rPr>
          <w:rFonts w:ascii="Calibri" w:hAnsi="Calibri" w:cs="Calibri"/>
          <w:sz w:val="20"/>
          <w:szCs w:val="20"/>
          <w:lang w:val="en-GB"/>
        </w:rPr>
      </w:pPr>
    </w:p>
    <w:p w14:paraId="6A8B14E7" w14:textId="77777777" w:rsidR="001738FC" w:rsidRPr="00B425CC" w:rsidRDefault="001738FC">
      <w:pPr>
        <w:spacing w:line="278" w:lineRule="auto"/>
        <w:rPr>
          <w:rFonts w:ascii="Calibri" w:hAnsi="Calibri" w:cs="Calibri"/>
          <w:sz w:val="20"/>
          <w:szCs w:val="20"/>
          <w:lang w:val="en-GB"/>
        </w:rPr>
      </w:pPr>
      <w:r w:rsidRPr="00B425CC">
        <w:rPr>
          <w:rFonts w:ascii="Calibri" w:hAnsi="Calibri" w:cs="Calibri"/>
          <w:sz w:val="20"/>
          <w:szCs w:val="20"/>
          <w:lang w:val="en-GB"/>
        </w:rPr>
        <w:br w:type="page"/>
      </w:r>
    </w:p>
    <w:p w14:paraId="4D55961B" w14:textId="73BF9386" w:rsidR="001738FC" w:rsidRPr="00B425CC" w:rsidRDefault="001738FC" w:rsidP="001738FC">
      <w:pPr>
        <w:pStyle w:val="Heading1"/>
        <w:rPr>
          <w:lang w:val="en-GB"/>
        </w:rPr>
      </w:pPr>
      <w:bookmarkStart w:id="2" w:name="_Toc211847974"/>
      <w:r w:rsidRPr="00B425CC">
        <w:rPr>
          <w:lang w:val="en-GB"/>
        </w:rPr>
        <w:lastRenderedPageBreak/>
        <w:t>Supplementary text 1: Lipidomics LC-MS/MS and lipid identification</w:t>
      </w:r>
      <w:bookmarkEnd w:id="2"/>
    </w:p>
    <w:p w14:paraId="36BF525A" w14:textId="33D499F1" w:rsidR="001738FC" w:rsidRPr="00B425CC" w:rsidRDefault="001738FC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  <w:r w:rsidRPr="00B425CC">
        <w:rPr>
          <w:rFonts w:ascii="Calibri" w:hAnsi="Calibri" w:cs="Calibri"/>
          <w:sz w:val="20"/>
          <w:szCs w:val="20"/>
          <w:lang w:val="en-GB"/>
        </w:rPr>
        <w:t xml:space="preserve">Lipids and proteins were extracted as follows. To 5 mg of GBM dissected material, 400 µL MTBE was added, the sample was vortexed for 1 minute and then incubated in a thermoshaker at 20 °C and 950 rpm for 1 hour. Next, 100 µL water was added, the tube was vortexed for 1 </w:t>
      </w:r>
      <w:proofErr w:type="gramStart"/>
      <w:r w:rsidRPr="00B425CC">
        <w:rPr>
          <w:rFonts w:ascii="Calibri" w:hAnsi="Calibri" w:cs="Calibri"/>
          <w:sz w:val="20"/>
          <w:szCs w:val="20"/>
          <w:lang w:val="en-GB"/>
        </w:rPr>
        <w:t>min, and</w:t>
      </w:r>
      <w:proofErr w:type="gramEnd"/>
      <w:r w:rsidRPr="00B425CC">
        <w:rPr>
          <w:rFonts w:ascii="Calibri" w:hAnsi="Calibri" w:cs="Calibri"/>
          <w:sz w:val="20"/>
          <w:szCs w:val="20"/>
          <w:lang w:val="en-GB"/>
        </w:rPr>
        <w:t xml:space="preserve"> centrifuged at 1,000 g for 10 min (Eppendorf 5353). The upper organic (lipid) layer was transferred to a new 2 mL tube. Lipids remaining in the lower aqueous phase were re-extracted by adding 300 µL MTBE, 40 µL MeOH, and 30 µL water, </w:t>
      </w:r>
      <w:proofErr w:type="spellStart"/>
      <w:r w:rsidRPr="00B425CC">
        <w:rPr>
          <w:rFonts w:ascii="Calibri" w:hAnsi="Calibri" w:cs="Calibri"/>
          <w:sz w:val="20"/>
          <w:szCs w:val="20"/>
          <w:lang w:val="en-GB"/>
        </w:rPr>
        <w:t>vortexing</w:t>
      </w:r>
      <w:proofErr w:type="spellEnd"/>
      <w:r w:rsidRPr="00B425CC">
        <w:rPr>
          <w:rFonts w:ascii="Calibri" w:hAnsi="Calibri" w:cs="Calibri"/>
          <w:sz w:val="20"/>
          <w:szCs w:val="20"/>
          <w:lang w:val="en-GB"/>
        </w:rPr>
        <w:t xml:space="preserve"> for 1 min, and centrifuging again for 10 min at 1,000 g. The upper organic layers from both extractions were combined per sample, dried completely in a vacuum centrifuge (</w:t>
      </w:r>
      <w:proofErr w:type="spellStart"/>
      <w:r w:rsidRPr="00B425CC">
        <w:rPr>
          <w:rFonts w:ascii="Calibri" w:hAnsi="Calibri" w:cs="Calibri"/>
          <w:sz w:val="20"/>
          <w:szCs w:val="20"/>
          <w:lang w:val="en-GB"/>
        </w:rPr>
        <w:t>Heto</w:t>
      </w:r>
      <w:proofErr w:type="spellEnd"/>
      <w:r w:rsidRPr="00B425CC">
        <w:rPr>
          <w:rFonts w:ascii="Calibri" w:hAnsi="Calibri" w:cs="Calibri"/>
          <w:sz w:val="20"/>
          <w:szCs w:val="20"/>
          <w:lang w:val="en-GB"/>
        </w:rPr>
        <w:t xml:space="preserve"> Lab), reconstituted in 50 µL 1:1 ACN:IPA, and </w:t>
      </w:r>
      <w:proofErr w:type="spellStart"/>
      <w:r w:rsidRPr="00B425CC">
        <w:rPr>
          <w:rFonts w:ascii="Calibri" w:hAnsi="Calibri" w:cs="Calibri"/>
          <w:sz w:val="20"/>
          <w:szCs w:val="20"/>
          <w:lang w:val="en-GB"/>
        </w:rPr>
        <w:t>analyzed</w:t>
      </w:r>
      <w:proofErr w:type="spellEnd"/>
      <w:r w:rsidRPr="00B425CC">
        <w:rPr>
          <w:rFonts w:ascii="Calibri" w:hAnsi="Calibri" w:cs="Calibri"/>
          <w:sz w:val="20"/>
          <w:szCs w:val="20"/>
          <w:lang w:val="en-GB"/>
        </w:rPr>
        <w:t xml:space="preserve"> by LC-MS/MS (Vanquish UHPLC, </w:t>
      </w:r>
      <w:proofErr w:type="spellStart"/>
      <w:r w:rsidRPr="00B425CC">
        <w:rPr>
          <w:rFonts w:ascii="Calibri" w:hAnsi="Calibri" w:cs="Calibri"/>
          <w:sz w:val="20"/>
          <w:szCs w:val="20"/>
          <w:lang w:val="en-GB"/>
        </w:rPr>
        <w:t>Hypersil</w:t>
      </w:r>
      <w:proofErr w:type="spellEnd"/>
      <w:r w:rsidRPr="00B425CC">
        <w:rPr>
          <w:rFonts w:ascii="Calibri" w:hAnsi="Calibri" w:cs="Calibri"/>
          <w:sz w:val="20"/>
          <w:szCs w:val="20"/>
          <w:lang w:val="en-GB"/>
        </w:rPr>
        <w:t xml:space="preserve"> GOLD 100 × 2.1 mm, Orbitrap </w:t>
      </w:r>
      <w:proofErr w:type="spellStart"/>
      <w:r w:rsidRPr="00B425CC">
        <w:rPr>
          <w:rFonts w:ascii="Calibri" w:hAnsi="Calibri" w:cs="Calibri"/>
          <w:sz w:val="20"/>
          <w:szCs w:val="20"/>
          <w:lang w:val="en-GB"/>
        </w:rPr>
        <w:t>Exploris</w:t>
      </w:r>
      <w:proofErr w:type="spellEnd"/>
      <w:r w:rsidRPr="00B425CC">
        <w:rPr>
          <w:rFonts w:ascii="Calibri" w:hAnsi="Calibri" w:cs="Calibri"/>
          <w:sz w:val="20"/>
          <w:szCs w:val="20"/>
          <w:lang w:val="en-GB"/>
        </w:rPr>
        <w:t xml:space="preserve"> 480; Thermo Fisher) using a generic lipidomics protocol </w:t>
      </w:r>
      <w:r w:rsidRPr="00B425CC">
        <w:rPr>
          <w:rFonts w:ascii="Calibri" w:hAnsi="Calibri" w:cs="Calibri"/>
          <w:sz w:val="20"/>
          <w:szCs w:val="20"/>
          <w:lang w:val="en-GB"/>
        </w:rPr>
        <w:fldChar w:fldCharType="begin">
          <w:fldData xml:space="preserve">PEVuZE5vdGU+PENpdGU+PEF1dGhvcj5CcmVpdGtvcGY8L0F1dGhvcj48WWVhcj4yMDE3PC9ZZWFy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</w:fldData>
        </w:fldChar>
      </w:r>
      <w:r w:rsidRPr="00B425CC">
        <w:rPr>
          <w:rFonts w:ascii="Calibri" w:hAnsi="Calibri" w:cs="Calibri"/>
          <w:sz w:val="20"/>
          <w:szCs w:val="20"/>
          <w:lang w:val="en-GB"/>
        </w:rPr>
        <w:instrText xml:space="preserve"> ADDIN EN.CITE </w:instrText>
      </w:r>
      <w:r w:rsidRPr="00B425CC">
        <w:rPr>
          <w:rFonts w:ascii="Calibri" w:hAnsi="Calibri" w:cs="Calibri"/>
          <w:sz w:val="20"/>
          <w:szCs w:val="20"/>
          <w:lang w:val="en-GB"/>
        </w:rPr>
        <w:fldChar w:fldCharType="begin">
          <w:fldData xml:space="preserve">PEVuZE5vdGU+PENpdGU+PEF1dGhvcj5CcmVpdGtvcGY8L0F1dGhvcj48WWVhcj4yMDE3PC9ZZWFy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</w:fldData>
        </w:fldChar>
      </w:r>
      <w:r w:rsidRPr="00B425CC">
        <w:rPr>
          <w:rFonts w:ascii="Calibri" w:hAnsi="Calibri" w:cs="Calibri"/>
          <w:sz w:val="20"/>
          <w:szCs w:val="20"/>
          <w:lang w:val="en-GB"/>
        </w:rPr>
        <w:instrText xml:space="preserve"> ADDIN EN.CITE.DATA </w:instrText>
      </w:r>
      <w:r w:rsidRPr="00B425CC">
        <w:rPr>
          <w:rFonts w:ascii="Calibri" w:hAnsi="Calibri" w:cs="Calibri"/>
          <w:sz w:val="20"/>
          <w:szCs w:val="20"/>
          <w:lang w:val="en-GB"/>
        </w:rPr>
      </w:r>
      <w:r w:rsidRPr="00B425CC">
        <w:rPr>
          <w:rFonts w:ascii="Calibri" w:hAnsi="Calibri" w:cs="Calibri"/>
          <w:sz w:val="20"/>
          <w:szCs w:val="20"/>
          <w:lang w:val="en-GB"/>
        </w:rPr>
        <w:fldChar w:fldCharType="end"/>
      </w:r>
      <w:r w:rsidRPr="00B425CC">
        <w:rPr>
          <w:rFonts w:ascii="Calibri" w:hAnsi="Calibri" w:cs="Calibri"/>
          <w:sz w:val="20"/>
          <w:szCs w:val="20"/>
          <w:lang w:val="en-GB"/>
        </w:rPr>
      </w:r>
      <w:r w:rsidRPr="00B425CC">
        <w:rPr>
          <w:rFonts w:ascii="Calibri" w:hAnsi="Calibri" w:cs="Calibri"/>
          <w:sz w:val="20"/>
          <w:szCs w:val="20"/>
          <w:lang w:val="en-GB"/>
        </w:rPr>
        <w:fldChar w:fldCharType="separate"/>
      </w:r>
      <w:r w:rsidRPr="00B425CC">
        <w:rPr>
          <w:rFonts w:ascii="Calibri" w:hAnsi="Calibri" w:cs="Calibri"/>
          <w:noProof/>
          <w:sz w:val="20"/>
          <w:szCs w:val="20"/>
          <w:vertAlign w:val="superscript"/>
          <w:lang w:val="en-GB"/>
        </w:rPr>
        <w:t>1</w:t>
      </w:r>
      <w:r w:rsidRPr="00B425CC">
        <w:rPr>
          <w:rFonts w:ascii="Calibri" w:hAnsi="Calibri" w:cs="Calibri"/>
          <w:sz w:val="20"/>
          <w:szCs w:val="20"/>
          <w:lang w:val="en-GB"/>
        </w:rPr>
        <w:fldChar w:fldCharType="end"/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. </w:t>
      </w:r>
    </w:p>
    <w:p w14:paraId="0D3637E6" w14:textId="1E789B90" w:rsidR="001F1B3C" w:rsidRPr="00B425CC" w:rsidRDefault="001738FC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  <w:r w:rsidRPr="00B425CC">
        <w:rPr>
          <w:rFonts w:ascii="Calibri" w:hAnsi="Calibri" w:cs="Calibri"/>
          <w:sz w:val="20"/>
          <w:szCs w:val="20"/>
          <w:lang w:val="en-GB"/>
        </w:rPr>
        <w:t xml:space="preserve">Lipid identification was performed on an Orbitrap </w:t>
      </w:r>
      <w:proofErr w:type="spellStart"/>
      <w:r w:rsidRPr="00B425CC">
        <w:rPr>
          <w:rFonts w:ascii="Calibri" w:hAnsi="Calibri" w:cs="Calibri"/>
          <w:sz w:val="20"/>
          <w:szCs w:val="20"/>
          <w:lang w:val="en-GB"/>
        </w:rPr>
        <w:t>Exploris</w:t>
      </w:r>
      <w:proofErr w:type="spellEnd"/>
      <w:r w:rsidRPr="00B425CC">
        <w:rPr>
          <w:rFonts w:ascii="Calibri" w:hAnsi="Calibri" w:cs="Calibri"/>
          <w:sz w:val="20"/>
          <w:szCs w:val="20"/>
          <w:lang w:val="en-GB"/>
        </w:rPr>
        <w:t xml:space="preserve"> 480 mass spectrometer (Thermo Fisher Scientific, USA) in data-dependent acquisition (DDA) positive mode. MS</w:t>
      </w:r>
      <w:r w:rsidRPr="00B425CC">
        <w:rPr>
          <w:rFonts w:ascii="Calibri" w:hAnsi="Calibri" w:cs="Calibri"/>
          <w:sz w:val="20"/>
          <w:szCs w:val="20"/>
          <w:vertAlign w:val="superscript"/>
          <w:lang w:val="en-GB"/>
        </w:rPr>
        <w:t>1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data (m/z 200-1450) were acquired at 60.000 resolution with a 65 </w:t>
      </w:r>
      <w:proofErr w:type="spellStart"/>
      <w:r w:rsidRPr="00B425CC">
        <w:rPr>
          <w:rFonts w:ascii="Calibri" w:hAnsi="Calibri" w:cs="Calibri"/>
          <w:sz w:val="20"/>
          <w:szCs w:val="20"/>
          <w:lang w:val="en-GB"/>
        </w:rPr>
        <w:t>ms</w:t>
      </w:r>
      <w:proofErr w:type="spellEnd"/>
      <w:r w:rsidRPr="00B425CC">
        <w:rPr>
          <w:rFonts w:ascii="Calibri" w:hAnsi="Calibri" w:cs="Calibri"/>
          <w:sz w:val="20"/>
          <w:szCs w:val="20"/>
          <w:lang w:val="en-GB"/>
        </w:rPr>
        <w:t xml:space="preserve"> injection time. In parallel, MS</w:t>
      </w:r>
      <w:r w:rsidRPr="00B425CC">
        <w:rPr>
          <w:rFonts w:ascii="Calibri" w:hAnsi="Calibri" w:cs="Calibri"/>
          <w:sz w:val="20"/>
          <w:szCs w:val="20"/>
          <w:vertAlign w:val="superscript"/>
          <w:lang w:val="en-GB"/>
        </w:rPr>
        <w:t>2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spectra were acquired in the ion trap using collision-induced dissociation (CID) with a 1.7 Da isolation window at 30,000 </w:t>
      </w:r>
      <w:proofErr w:type="gramStart"/>
      <w:r w:rsidRPr="00B425CC">
        <w:rPr>
          <w:rFonts w:ascii="Calibri" w:hAnsi="Calibri" w:cs="Calibri"/>
          <w:sz w:val="20"/>
          <w:szCs w:val="20"/>
          <w:lang w:val="en-GB"/>
        </w:rPr>
        <w:t>resolution</w:t>
      </w:r>
      <w:proofErr w:type="gramEnd"/>
      <w:r w:rsidRPr="00B425CC">
        <w:rPr>
          <w:rFonts w:ascii="Calibri" w:hAnsi="Calibri" w:cs="Calibri"/>
          <w:sz w:val="20"/>
          <w:szCs w:val="20"/>
          <w:lang w:val="en-GB"/>
        </w:rPr>
        <w:t>. LC-MS/MS lipid species were assigned from DDA MS</w:t>
      </w:r>
      <w:r w:rsidRPr="00B425CC">
        <w:rPr>
          <w:rFonts w:ascii="Calibri" w:hAnsi="Calibri" w:cs="Calibri"/>
          <w:sz w:val="20"/>
          <w:szCs w:val="20"/>
          <w:vertAlign w:val="superscript"/>
          <w:lang w:val="en-GB"/>
        </w:rPr>
        <w:t>1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and MS</w:t>
      </w:r>
      <w:r w:rsidRPr="00B425CC">
        <w:rPr>
          <w:rFonts w:ascii="Calibri" w:hAnsi="Calibri" w:cs="Calibri"/>
          <w:sz w:val="20"/>
          <w:szCs w:val="20"/>
          <w:vertAlign w:val="superscript"/>
          <w:lang w:val="en-GB"/>
        </w:rPr>
        <w:t>2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spectra in Lipostar2 v2.1.2. MALDI-MSI lipid identifications were assigned by linking MALDI-MSI MS</w:t>
      </w:r>
      <w:r w:rsidRPr="00B425CC">
        <w:rPr>
          <w:rFonts w:ascii="Calibri" w:hAnsi="Calibri" w:cs="Calibri"/>
          <w:sz w:val="20"/>
          <w:szCs w:val="20"/>
          <w:vertAlign w:val="superscript"/>
          <w:lang w:val="en-GB"/>
        </w:rPr>
        <w:t>1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precursor ions to the corresponding LC-MS/MS MS</w:t>
      </w:r>
      <w:r w:rsidRPr="00B425CC">
        <w:rPr>
          <w:rFonts w:ascii="Calibri" w:hAnsi="Calibri" w:cs="Calibri"/>
          <w:sz w:val="20"/>
          <w:szCs w:val="20"/>
          <w:vertAlign w:val="superscript"/>
          <w:lang w:val="en-GB"/>
        </w:rPr>
        <w:t>1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+ MS</w:t>
      </w:r>
      <w:r w:rsidRPr="00B425CC">
        <w:rPr>
          <w:rFonts w:ascii="Calibri" w:hAnsi="Calibri" w:cs="Calibri"/>
          <w:sz w:val="20"/>
          <w:szCs w:val="20"/>
          <w:vertAlign w:val="superscript"/>
          <w:lang w:val="en-GB"/>
        </w:rPr>
        <w:t>2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m/z values, and finalized in LipostarMSI v2.0.1 using the LIPID MAPS database (3- and 4-star ratings; Molecular Horizon, Bettona, PG, Italy) </w:t>
      </w:r>
      <w:r w:rsidRPr="00B425CC">
        <w:rPr>
          <w:rFonts w:ascii="Calibri" w:hAnsi="Calibri" w:cs="Calibri"/>
          <w:sz w:val="20"/>
          <w:szCs w:val="20"/>
          <w:lang w:val="en-GB"/>
        </w:rPr>
        <w:fldChar w:fldCharType="begin">
          <w:fldData xml:space="preserve">PEVuZE5vdGU+PENpdGU+PEF1dGhvcj5Ub3J0b3JlbGxhPC9BdXRob3I+PFllYXI+MjAyMDwvWWVh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</w:fldData>
        </w:fldChar>
      </w:r>
      <w:r w:rsidRPr="00B425CC">
        <w:rPr>
          <w:rFonts w:ascii="Calibri" w:hAnsi="Calibri" w:cs="Calibri"/>
          <w:sz w:val="20"/>
          <w:szCs w:val="20"/>
          <w:lang w:val="en-GB"/>
        </w:rPr>
        <w:instrText xml:space="preserve"> ADDIN EN.CITE </w:instrText>
      </w:r>
      <w:r w:rsidRPr="00B425CC">
        <w:rPr>
          <w:rFonts w:ascii="Calibri" w:hAnsi="Calibri" w:cs="Calibri"/>
          <w:sz w:val="20"/>
          <w:szCs w:val="20"/>
          <w:lang w:val="en-GB"/>
        </w:rPr>
        <w:fldChar w:fldCharType="begin">
          <w:fldData xml:space="preserve">PEVuZE5vdGU+PENpdGU+PEF1dGhvcj5Ub3J0b3JlbGxhPC9BdXRob3I+PFllYXI+MjAyMDwvWWVh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</w:fldData>
        </w:fldChar>
      </w:r>
      <w:r w:rsidRPr="00B425CC">
        <w:rPr>
          <w:rFonts w:ascii="Calibri" w:hAnsi="Calibri" w:cs="Calibri"/>
          <w:sz w:val="20"/>
          <w:szCs w:val="20"/>
          <w:lang w:val="en-GB"/>
        </w:rPr>
        <w:instrText xml:space="preserve"> ADDIN EN.CITE.DATA </w:instrText>
      </w:r>
      <w:r w:rsidRPr="00B425CC">
        <w:rPr>
          <w:rFonts w:ascii="Calibri" w:hAnsi="Calibri" w:cs="Calibri"/>
          <w:sz w:val="20"/>
          <w:szCs w:val="20"/>
          <w:lang w:val="en-GB"/>
        </w:rPr>
      </w:r>
      <w:r w:rsidRPr="00B425CC">
        <w:rPr>
          <w:rFonts w:ascii="Calibri" w:hAnsi="Calibri" w:cs="Calibri"/>
          <w:sz w:val="20"/>
          <w:szCs w:val="20"/>
          <w:lang w:val="en-GB"/>
        </w:rPr>
        <w:fldChar w:fldCharType="end"/>
      </w:r>
      <w:r w:rsidRPr="00B425CC">
        <w:rPr>
          <w:rFonts w:ascii="Calibri" w:hAnsi="Calibri" w:cs="Calibri"/>
          <w:sz w:val="20"/>
          <w:szCs w:val="20"/>
          <w:lang w:val="en-GB"/>
        </w:rPr>
      </w:r>
      <w:r w:rsidRPr="00B425CC">
        <w:rPr>
          <w:rFonts w:ascii="Calibri" w:hAnsi="Calibri" w:cs="Calibri"/>
          <w:sz w:val="20"/>
          <w:szCs w:val="20"/>
          <w:lang w:val="en-GB"/>
        </w:rPr>
        <w:fldChar w:fldCharType="separate"/>
      </w:r>
      <w:r w:rsidRPr="00B425CC">
        <w:rPr>
          <w:rFonts w:ascii="Calibri" w:hAnsi="Calibri" w:cs="Calibri"/>
          <w:noProof/>
          <w:sz w:val="20"/>
          <w:szCs w:val="20"/>
          <w:vertAlign w:val="superscript"/>
          <w:lang w:val="en-GB"/>
        </w:rPr>
        <w:t>2</w:t>
      </w:r>
      <w:r w:rsidRPr="00B425CC">
        <w:rPr>
          <w:rFonts w:ascii="Calibri" w:hAnsi="Calibri" w:cs="Calibri"/>
          <w:sz w:val="20"/>
          <w:szCs w:val="20"/>
          <w:lang w:val="en-GB"/>
        </w:rPr>
        <w:fldChar w:fldCharType="end"/>
      </w:r>
      <w:r w:rsidRPr="00B425CC">
        <w:rPr>
          <w:rFonts w:ascii="Calibri" w:hAnsi="Calibri" w:cs="Calibri"/>
          <w:sz w:val="20"/>
          <w:szCs w:val="20"/>
          <w:lang w:val="en-GB"/>
        </w:rPr>
        <w:t>.</w:t>
      </w:r>
    </w:p>
    <w:p w14:paraId="391C2BF4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  <w:sectPr w:rsidR="006D74DF" w:rsidRPr="00B425CC" w:rsidSect="005568A9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A530DD0" w14:textId="0094A284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  <w:r w:rsidRPr="00B425CC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8D11D0A" wp14:editId="7188350D">
            <wp:simplePos x="0" y="0"/>
            <wp:positionH relativeFrom="margin">
              <wp:align>right</wp:align>
            </wp:positionH>
            <wp:positionV relativeFrom="paragraph">
              <wp:posOffset>49829</wp:posOffset>
            </wp:positionV>
            <wp:extent cx="10412730" cy="5960745"/>
            <wp:effectExtent l="0" t="0" r="7620" b="1905"/>
            <wp:wrapNone/>
            <wp:docPr id="567792862" name="Picture 1" descr="A black and white image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792862" name="Picture 1" descr="A black and white image of a cit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730" cy="596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AC7DC" w14:textId="7F1FC34F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62B2B7A5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08D2A97F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39285B39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2CB7F4E6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77300905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37FA4FD4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495BFF9F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2D52A4C0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194676E3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53E91785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775E4808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178CAC67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4D2A9124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57B43118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579A80FF" w14:textId="77777777" w:rsidR="006D74DF" w:rsidRPr="00B425CC" w:rsidRDefault="006D74DF" w:rsidP="001738FC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1BAE2B08" w14:textId="77777777" w:rsidR="006D74DF" w:rsidRPr="00B425CC" w:rsidRDefault="006D74DF" w:rsidP="006D74DF">
      <w:pPr>
        <w:pStyle w:val="Heading1"/>
        <w:ind w:firstLine="720"/>
        <w:jc w:val="both"/>
        <w:rPr>
          <w:rFonts w:cs="Calibri"/>
          <w:szCs w:val="20"/>
          <w:lang w:val="en-GB"/>
        </w:rPr>
      </w:pPr>
      <w:bookmarkStart w:id="3" w:name="_Toc211847975"/>
      <w:r w:rsidRPr="00B425CC">
        <w:rPr>
          <w:rFonts w:cs="Calibri"/>
          <w:szCs w:val="20"/>
          <w:lang w:val="en-GB"/>
        </w:rPr>
        <w:t>Supplementary figure 1: Per-gene RNA abundance comparison between MALDI-MSI measured and control regions (mouse brain).</w:t>
      </w:r>
      <w:bookmarkEnd w:id="3"/>
      <w:r w:rsidRPr="00B425CC">
        <w:rPr>
          <w:rFonts w:cs="Calibri"/>
          <w:szCs w:val="20"/>
          <w:lang w:val="en-GB"/>
        </w:rPr>
        <w:t xml:space="preserve"> </w:t>
      </w:r>
    </w:p>
    <w:p w14:paraId="4B1D0A1F" w14:textId="0A11FCD9" w:rsidR="00D528F7" w:rsidRPr="00B425CC" w:rsidRDefault="006D74DF" w:rsidP="00B425CC">
      <w:pPr>
        <w:ind w:left="720"/>
        <w:jc w:val="both"/>
        <w:rPr>
          <w:rFonts w:ascii="Calibri" w:hAnsi="Calibri" w:cs="Calibri"/>
          <w:sz w:val="20"/>
          <w:szCs w:val="40"/>
          <w:lang w:val="en-GB"/>
        </w:rPr>
        <w:sectPr w:rsidR="00D528F7" w:rsidRPr="00B425CC" w:rsidSect="006D74DF">
          <w:pgSz w:w="16838" w:h="11906" w:orient="landscape"/>
          <w:pgMar w:top="397" w:right="397" w:bottom="397" w:left="397" w:header="709" w:footer="709" w:gutter="0"/>
          <w:cols w:space="708"/>
          <w:docGrid w:linePitch="360"/>
        </w:sectPr>
      </w:pPr>
      <w:r w:rsidRPr="00B425CC">
        <w:rPr>
          <w:rFonts w:ascii="Calibri" w:hAnsi="Calibri" w:cs="Calibri"/>
          <w:sz w:val="20"/>
          <w:szCs w:val="20"/>
          <w:lang w:val="en-GB"/>
        </w:rPr>
        <w:t xml:space="preserve">Bars show the </w:t>
      </w:r>
      <w:r w:rsidR="00910B39" w:rsidRPr="00B425CC">
        <w:rPr>
          <w:rFonts w:ascii="Calibri" w:hAnsi="Calibri" w:cs="Calibri"/>
          <w:sz w:val="20"/>
          <w:szCs w:val="20"/>
          <w:lang w:val="en-GB"/>
        </w:rPr>
        <w:t>average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transcripts per area, normalized by the number of segmented cells</w:t>
      </w:r>
      <w:r w:rsidR="00546762" w:rsidRPr="00B425CC">
        <w:rPr>
          <w:rFonts w:ascii="Calibri" w:hAnsi="Calibri" w:cs="Calibri"/>
          <w:sz w:val="20"/>
          <w:szCs w:val="20"/>
          <w:lang w:val="en-GB"/>
        </w:rPr>
        <w:t xml:space="preserve"> (control: 7763 cells, MALDI-MSI: 7963 cells)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in the ROI. Dotted bars: MALDI-MSI; striped </w:t>
      </w:r>
      <w:proofErr w:type="spellStart"/>
      <w:r w:rsidRPr="00B425CC">
        <w:rPr>
          <w:rFonts w:ascii="Calibri" w:hAnsi="Calibri" w:cs="Calibri"/>
          <w:sz w:val="20"/>
          <w:szCs w:val="20"/>
          <w:lang w:val="en-GB"/>
        </w:rPr>
        <w:t>bars</w:t>
      </w:r>
      <w:proofErr w:type="spellEnd"/>
      <w:r w:rsidRPr="00B425CC">
        <w:rPr>
          <w:rFonts w:ascii="Calibri" w:hAnsi="Calibri" w:cs="Calibri"/>
          <w:sz w:val="20"/>
          <w:szCs w:val="20"/>
          <w:lang w:val="en-GB"/>
        </w:rPr>
        <w:t xml:space="preserve">: control. Genes are listed along the x-axis; two matched </w:t>
      </w:r>
      <w:r w:rsidR="00FB39EB" w:rsidRPr="00B425CC">
        <w:rPr>
          <w:rFonts w:ascii="Calibri" w:hAnsi="Calibri" w:cs="Calibri"/>
          <w:sz w:val="20"/>
          <w:szCs w:val="20"/>
          <w:lang w:val="en-GB"/>
        </w:rPr>
        <w:t>ROI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are shown. This analysis assesses per-gene expression between conditions.</w:t>
      </w:r>
    </w:p>
    <w:p w14:paraId="21F5CA62" w14:textId="77777777" w:rsidR="00D673DC" w:rsidRPr="00B425CC" w:rsidRDefault="00D673DC" w:rsidP="00D673DC">
      <w:pPr>
        <w:rPr>
          <w:rFonts w:ascii="Calibri" w:hAnsi="Calibri" w:cs="Calibri"/>
          <w:sz w:val="20"/>
          <w:szCs w:val="20"/>
          <w:lang w:val="en-GB"/>
        </w:rPr>
      </w:pPr>
      <w:r w:rsidRPr="00B425CC">
        <w:rPr>
          <w:rFonts w:ascii="Calibri" w:hAnsi="Calibri" w:cs="Calibri"/>
          <w:noProof/>
          <w:sz w:val="20"/>
          <w:szCs w:val="20"/>
          <w:lang w:val="en-GB"/>
        </w:rPr>
        <w:lastRenderedPageBreak/>
        <w:drawing>
          <wp:inline distT="0" distB="0" distL="0" distR="0" wp14:anchorId="7B1CEFF0" wp14:editId="202DCA18">
            <wp:extent cx="5760720" cy="7660005"/>
            <wp:effectExtent l="19050" t="19050" r="11430" b="17145"/>
            <wp:docPr id="188508273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082738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6000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D61E837" w14:textId="773A6788" w:rsidR="00D673DC" w:rsidRPr="00B425CC" w:rsidRDefault="00D673DC" w:rsidP="00D673DC">
      <w:pPr>
        <w:pStyle w:val="Heading1"/>
        <w:rPr>
          <w:lang w:val="en-GB"/>
        </w:rPr>
      </w:pPr>
      <w:bookmarkStart w:id="4" w:name="_Toc211847976"/>
      <w:r w:rsidRPr="00B425CC">
        <w:rPr>
          <w:lang w:val="en-GB"/>
        </w:rPr>
        <w:t xml:space="preserve">Supplementary figure </w:t>
      </w:r>
      <w:r w:rsidR="00781600" w:rsidRPr="00B425CC">
        <w:rPr>
          <w:lang w:val="en-GB"/>
        </w:rPr>
        <w:t>2</w:t>
      </w:r>
      <w:r w:rsidRPr="00B425CC">
        <w:rPr>
          <w:lang w:val="en-GB"/>
        </w:rPr>
        <w:t>: ESCDAT Software GUI and explanation.</w:t>
      </w:r>
      <w:bookmarkEnd w:id="4"/>
    </w:p>
    <w:p w14:paraId="60168548" w14:textId="77777777" w:rsidR="00D673DC" w:rsidRPr="00B425CC" w:rsidRDefault="00D673DC" w:rsidP="00D673DC">
      <w:pPr>
        <w:rPr>
          <w:rFonts w:ascii="Calibri" w:hAnsi="Calibri" w:cs="Calibri"/>
          <w:sz w:val="20"/>
          <w:szCs w:val="20"/>
          <w:lang w:val="en-GB"/>
        </w:rPr>
      </w:pPr>
      <w:r w:rsidRPr="00B425CC">
        <w:rPr>
          <w:rFonts w:ascii="Calibri" w:hAnsi="Calibri" w:cs="Calibri"/>
          <w:sz w:val="20"/>
          <w:szCs w:val="20"/>
          <w:lang w:val="en-GB"/>
        </w:rPr>
        <w:br w:type="page"/>
      </w:r>
    </w:p>
    <w:p w14:paraId="5B040C5F" w14:textId="77777777" w:rsidR="00D673DC" w:rsidRPr="00B425CC" w:rsidRDefault="00D673DC" w:rsidP="00D673DC">
      <w:pPr>
        <w:rPr>
          <w:rFonts w:ascii="Calibri" w:hAnsi="Calibri" w:cs="Calibri"/>
          <w:sz w:val="20"/>
          <w:szCs w:val="20"/>
          <w:lang w:val="en-GB"/>
        </w:rPr>
      </w:pPr>
    </w:p>
    <w:p w14:paraId="455B83F5" w14:textId="77777777" w:rsidR="00D673DC" w:rsidRPr="00B425CC" w:rsidRDefault="00D673DC" w:rsidP="00D673DC">
      <w:pPr>
        <w:rPr>
          <w:rFonts w:ascii="Calibri" w:hAnsi="Calibri" w:cs="Calibri"/>
          <w:i/>
          <w:iCs/>
          <w:sz w:val="20"/>
          <w:szCs w:val="20"/>
          <w:lang w:val="en-GB"/>
        </w:rPr>
      </w:pPr>
      <w:r w:rsidRPr="00B425CC">
        <w:rPr>
          <w:rFonts w:ascii="Calibri" w:hAnsi="Calibri" w:cs="Calibri"/>
          <w:i/>
          <w:iCs/>
          <w:noProof/>
          <w:sz w:val="20"/>
          <w:szCs w:val="20"/>
          <w:lang w:val="en-GB"/>
        </w:rPr>
        <w:drawing>
          <wp:inline distT="0" distB="0" distL="0" distR="0" wp14:anchorId="17AEB098" wp14:editId="4BC2759B">
            <wp:extent cx="5751485" cy="2257063"/>
            <wp:effectExtent l="0" t="0" r="1905" b="0"/>
            <wp:docPr id="573774869" name="Picture 7" descr="A graph of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774869" name="Picture 7" descr="A graph of different colo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902" cy="2270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E239F9" w14:textId="3D5A3ADA" w:rsidR="00D673DC" w:rsidRPr="00B425CC" w:rsidRDefault="00D673DC" w:rsidP="00D673DC">
      <w:pPr>
        <w:jc w:val="both"/>
        <w:rPr>
          <w:rFonts w:ascii="Calibri" w:hAnsi="Calibri" w:cs="Calibri"/>
          <w:b/>
          <w:bCs/>
          <w:sz w:val="20"/>
          <w:szCs w:val="20"/>
          <w:lang w:val="en-GB"/>
        </w:rPr>
      </w:pPr>
      <w:bookmarkStart w:id="5" w:name="_Toc211847977"/>
      <w:r w:rsidRPr="00B425CC">
        <w:rPr>
          <w:rStyle w:val="Heading1Char"/>
        </w:rPr>
        <w:t xml:space="preserve">Supplementary figure </w:t>
      </w:r>
      <w:r w:rsidR="00781600" w:rsidRPr="00B425CC">
        <w:rPr>
          <w:rStyle w:val="Heading1Char"/>
        </w:rPr>
        <w:t>3</w:t>
      </w:r>
      <w:r w:rsidRPr="00B425CC">
        <w:rPr>
          <w:rStyle w:val="Heading1Char"/>
        </w:rPr>
        <w:t>: Distribution of gene counts and gene features per cell type.</w:t>
      </w:r>
      <w:bookmarkEnd w:id="5"/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t xml:space="preserve"> </w:t>
      </w:r>
      <w:r w:rsidR="006802E0" w:rsidRPr="00B425CC">
        <w:rPr>
          <w:rFonts w:ascii="Calibri" w:hAnsi="Calibri" w:cs="Calibri"/>
          <w:sz w:val="20"/>
          <w:szCs w:val="20"/>
          <w:lang w:val="en-GB"/>
        </w:rPr>
        <w:t xml:space="preserve">Human glioblastoma tissue. </w:t>
      </w:r>
      <w:r w:rsidRPr="00B425CC">
        <w:rPr>
          <w:rFonts w:ascii="Calibri" w:hAnsi="Calibri" w:cs="Calibri"/>
          <w:sz w:val="20"/>
          <w:szCs w:val="20"/>
          <w:lang w:val="en-GB"/>
        </w:rPr>
        <w:t>Violin plots of total UMI counts per cell (</w:t>
      </w:r>
      <w:proofErr w:type="spellStart"/>
      <w:r w:rsidRPr="00B425CC">
        <w:rPr>
          <w:rFonts w:ascii="Calibri" w:hAnsi="Calibri" w:cs="Calibri"/>
          <w:sz w:val="20"/>
          <w:szCs w:val="20"/>
          <w:lang w:val="en-GB"/>
        </w:rPr>
        <w:t>nCount_RNA</w:t>
      </w:r>
      <w:proofErr w:type="spellEnd"/>
      <w:r w:rsidRPr="00B425CC">
        <w:rPr>
          <w:rFonts w:ascii="Calibri" w:hAnsi="Calibri" w:cs="Calibri"/>
          <w:sz w:val="20"/>
          <w:szCs w:val="20"/>
          <w:lang w:val="en-GB"/>
        </w:rPr>
        <w:t>) and number of detected genes per cell (</w:t>
      </w:r>
      <w:proofErr w:type="spellStart"/>
      <w:r w:rsidRPr="00B425CC">
        <w:rPr>
          <w:rFonts w:ascii="Calibri" w:hAnsi="Calibri" w:cs="Calibri"/>
          <w:sz w:val="20"/>
          <w:szCs w:val="20"/>
          <w:lang w:val="en-GB"/>
        </w:rPr>
        <w:t>nFeature_RNA</w:t>
      </w:r>
      <w:proofErr w:type="spellEnd"/>
      <w:r w:rsidRPr="00B425CC">
        <w:rPr>
          <w:rFonts w:ascii="Calibri" w:hAnsi="Calibri" w:cs="Calibri"/>
          <w:sz w:val="20"/>
          <w:szCs w:val="20"/>
          <w:lang w:val="en-GB"/>
        </w:rPr>
        <w:t>) are shown for each predicted cell‐type cluster; TAMs, astrocytes, endothelial cells, MES, t-cells, OPC, oligodendrocytes, inhibitory neurons, GSCs, excitatory neurons. Comparable distributions across all groups demonstrate uniform sequencing depth and gene‐detection efficiency, with no cluster‐specific biases affecting downstream analyses.</w:t>
      </w:r>
      <w:r w:rsidR="006802E0" w:rsidRPr="00B425CC">
        <w:rPr>
          <w:rFonts w:ascii="Calibri" w:hAnsi="Calibri" w:cs="Calibri"/>
          <w:sz w:val="20"/>
          <w:szCs w:val="20"/>
          <w:lang w:val="en-GB"/>
        </w:rPr>
        <w:t xml:space="preserve"> </w:t>
      </w:r>
    </w:p>
    <w:p w14:paraId="1BD6FBD9" w14:textId="77777777" w:rsidR="00D673DC" w:rsidRPr="00B425CC" w:rsidRDefault="00D673DC" w:rsidP="00D673DC">
      <w:pPr>
        <w:rPr>
          <w:rFonts w:ascii="Calibri" w:hAnsi="Calibri" w:cs="Calibri"/>
          <w:b/>
          <w:bCs/>
          <w:sz w:val="20"/>
          <w:szCs w:val="20"/>
          <w:lang w:val="en-GB"/>
        </w:rPr>
      </w:pPr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br w:type="page"/>
      </w:r>
    </w:p>
    <w:p w14:paraId="21886703" w14:textId="77777777" w:rsidR="00D673DC" w:rsidRPr="00B425CC" w:rsidRDefault="00D673DC" w:rsidP="00D673DC">
      <w:pPr>
        <w:jc w:val="both"/>
        <w:rPr>
          <w:rFonts w:ascii="Calibri" w:hAnsi="Calibri" w:cs="Calibri"/>
          <w:i/>
          <w:iCs/>
          <w:sz w:val="20"/>
          <w:szCs w:val="20"/>
          <w:lang w:val="en-GB"/>
        </w:rPr>
      </w:pPr>
      <w:r w:rsidRPr="00B425CC">
        <w:rPr>
          <w:noProof/>
          <w:lang w:val="en-GB"/>
        </w:rPr>
        <w:lastRenderedPageBreak/>
        <w:drawing>
          <wp:inline distT="0" distB="0" distL="0" distR="0" wp14:anchorId="1EB178A3" wp14:editId="7192786B">
            <wp:extent cx="5169535" cy="6280315"/>
            <wp:effectExtent l="0" t="0" r="0" b="6350"/>
            <wp:docPr id="1822472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472385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535" cy="628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493E4" w14:textId="2100CBC2" w:rsidR="00D673DC" w:rsidRPr="00B425CC" w:rsidRDefault="00D673DC" w:rsidP="00D673DC">
      <w:pPr>
        <w:spacing w:line="240" w:lineRule="auto"/>
        <w:jc w:val="both"/>
        <w:rPr>
          <w:rFonts w:ascii="Calibri" w:hAnsi="Calibri" w:cs="Calibri"/>
          <w:sz w:val="20"/>
          <w:szCs w:val="20"/>
          <w:lang w:val="en-GB"/>
        </w:rPr>
      </w:pPr>
      <w:bookmarkStart w:id="6" w:name="_Toc211847978"/>
      <w:r w:rsidRPr="00B425CC">
        <w:rPr>
          <w:rStyle w:val="Heading1Char"/>
        </w:rPr>
        <w:t xml:space="preserve">Supplementary figure </w:t>
      </w:r>
      <w:r w:rsidR="00781600" w:rsidRPr="00B425CC">
        <w:rPr>
          <w:rStyle w:val="Heading1Char"/>
        </w:rPr>
        <w:t>4</w:t>
      </w:r>
      <w:r w:rsidRPr="00B425CC">
        <w:rPr>
          <w:rStyle w:val="Heading1Char"/>
        </w:rPr>
        <w:t>: Score distribution per cell type.</w:t>
      </w:r>
      <w:bookmarkEnd w:id="6"/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t xml:space="preserve"> </w:t>
      </w:r>
      <w:r w:rsidRPr="00B425CC">
        <w:rPr>
          <w:rFonts w:ascii="Calibri" w:hAnsi="Calibri" w:cs="Calibri"/>
          <w:sz w:val="20"/>
          <w:szCs w:val="20"/>
          <w:lang w:val="en-GB"/>
        </w:rPr>
        <w:t>For each of the ten selected cell-type signatures</w:t>
      </w:r>
      <w:r w:rsidR="006802E0" w:rsidRPr="00B425CC">
        <w:rPr>
          <w:rFonts w:ascii="Calibri" w:hAnsi="Calibri" w:cs="Calibri"/>
          <w:sz w:val="20"/>
          <w:szCs w:val="20"/>
          <w:lang w:val="en-GB"/>
        </w:rPr>
        <w:t xml:space="preserve"> in human glioblastoma tissue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we calculated an </w:t>
      </w:r>
      <w:proofErr w:type="spellStart"/>
      <w:r w:rsidRPr="00B425CC">
        <w:rPr>
          <w:rFonts w:ascii="Calibri" w:hAnsi="Calibri" w:cs="Calibri"/>
          <w:sz w:val="20"/>
          <w:szCs w:val="20"/>
          <w:lang w:val="en-GB"/>
        </w:rPr>
        <w:t>AddModuleScore</w:t>
      </w:r>
      <w:proofErr w:type="spellEnd"/>
      <w:r w:rsidRPr="00B425CC">
        <w:rPr>
          <w:rFonts w:ascii="Calibri" w:hAnsi="Calibri" w:cs="Calibri"/>
          <w:sz w:val="20"/>
          <w:szCs w:val="20"/>
          <w:lang w:val="en-GB"/>
        </w:rPr>
        <w:t xml:space="preserve"> per cell and then assigned each cell to the signature with its highest score. In every violin plot, the y-axis shows the range of module scores for that signature, and the x-axis groups cells by their assigned cell type.  The signature score is sharply enriched in its matching cell-type cohort while remaining near zero in all other groups. However, low background signatures can be seen in cell types, possibly reflecting baseline expression.</w:t>
      </w:r>
    </w:p>
    <w:p w14:paraId="440A5557" w14:textId="77777777" w:rsidR="00D673DC" w:rsidRPr="00B425CC" w:rsidRDefault="00D673DC" w:rsidP="00D673DC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5B78B755" w14:textId="77777777" w:rsidR="00D673DC" w:rsidRPr="00B425CC" w:rsidRDefault="00D673DC" w:rsidP="00D673DC">
      <w:pPr>
        <w:rPr>
          <w:rFonts w:ascii="Calibri" w:hAnsi="Calibri" w:cs="Calibri"/>
          <w:b/>
          <w:bCs/>
          <w:sz w:val="20"/>
          <w:szCs w:val="20"/>
          <w:lang w:val="en-GB"/>
        </w:rPr>
      </w:pPr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br w:type="page"/>
      </w:r>
    </w:p>
    <w:p w14:paraId="411E11B8" w14:textId="77777777" w:rsidR="00D673DC" w:rsidRPr="00B425CC" w:rsidRDefault="00D673DC" w:rsidP="00D673DC">
      <w:pPr>
        <w:rPr>
          <w:rFonts w:ascii="Calibri" w:hAnsi="Calibri" w:cs="Calibri"/>
          <w:b/>
          <w:bCs/>
          <w:i/>
          <w:iCs/>
          <w:sz w:val="20"/>
          <w:szCs w:val="20"/>
          <w:lang w:val="en-GB"/>
        </w:rPr>
      </w:pPr>
      <w:r w:rsidRPr="00B425CC">
        <w:rPr>
          <w:rFonts w:ascii="Calibri" w:hAnsi="Calibri" w:cs="Calibri"/>
          <w:b/>
          <w:bCs/>
          <w:i/>
          <w:iCs/>
          <w:noProof/>
          <w:sz w:val="20"/>
          <w:szCs w:val="20"/>
          <w:lang w:val="en-GB"/>
        </w:rPr>
        <w:lastRenderedPageBreak/>
        <w:drawing>
          <wp:inline distT="0" distB="0" distL="0" distR="0" wp14:anchorId="21618F54" wp14:editId="36C44E4D">
            <wp:extent cx="5760720" cy="5598795"/>
            <wp:effectExtent l="0" t="0" r="0" b="1905"/>
            <wp:docPr id="1078872652" name="Picture 4" descr="A screenshot of a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872652" name="Picture 4" descr="A screenshot of a char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9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A9184" w14:textId="23030054" w:rsidR="005163C2" w:rsidRPr="00B425CC" w:rsidRDefault="00D673DC" w:rsidP="00D673DC">
      <w:pPr>
        <w:spacing w:line="240" w:lineRule="auto"/>
        <w:jc w:val="both"/>
        <w:rPr>
          <w:rFonts w:ascii="Calibri" w:hAnsi="Calibri" w:cs="Calibri"/>
          <w:sz w:val="20"/>
          <w:szCs w:val="20"/>
          <w:lang w:val="en-GB"/>
        </w:rPr>
      </w:pPr>
      <w:bookmarkStart w:id="7" w:name="_Toc211847979"/>
      <w:r w:rsidRPr="00B425CC">
        <w:rPr>
          <w:rStyle w:val="Heading1Char"/>
        </w:rPr>
        <w:t xml:space="preserve">Supplementary figure </w:t>
      </w:r>
      <w:r w:rsidR="00781600" w:rsidRPr="00B425CC">
        <w:rPr>
          <w:rStyle w:val="Heading1Char"/>
        </w:rPr>
        <w:t>5</w:t>
      </w:r>
      <w:r w:rsidRPr="00B425CC">
        <w:rPr>
          <w:rStyle w:val="Heading1Char"/>
        </w:rPr>
        <w:t>: Score distribution of individual marker‐gene specificity across predicted cell types.</w:t>
      </w:r>
      <w:bookmarkEnd w:id="7"/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t xml:space="preserve"> </w:t>
      </w:r>
      <w:r w:rsidRPr="00B425CC">
        <w:rPr>
          <w:rFonts w:ascii="Calibri" w:hAnsi="Calibri" w:cs="Calibri"/>
          <w:sz w:val="20"/>
          <w:szCs w:val="20"/>
          <w:lang w:val="en-GB"/>
        </w:rPr>
        <w:t>For each marker gene, normalized Xenium RNA expression is shown as a violin density plot across all cells, grouped by their predicted cell type.</w:t>
      </w:r>
    </w:p>
    <w:p w14:paraId="304ABFD9" w14:textId="77777777" w:rsidR="005163C2" w:rsidRPr="00B425CC" w:rsidRDefault="005163C2">
      <w:pPr>
        <w:spacing w:line="278" w:lineRule="auto"/>
        <w:rPr>
          <w:rFonts w:ascii="Calibri" w:hAnsi="Calibri" w:cs="Calibri"/>
          <w:sz w:val="20"/>
          <w:szCs w:val="20"/>
          <w:lang w:val="en-GB"/>
        </w:rPr>
      </w:pPr>
      <w:r w:rsidRPr="00B425CC">
        <w:rPr>
          <w:rFonts w:ascii="Calibri" w:hAnsi="Calibri" w:cs="Calibri"/>
          <w:sz w:val="20"/>
          <w:szCs w:val="20"/>
          <w:lang w:val="en-GB"/>
        </w:rPr>
        <w:br w:type="page"/>
      </w:r>
    </w:p>
    <w:p w14:paraId="54435431" w14:textId="77777777" w:rsidR="00D673DC" w:rsidRPr="00B425CC" w:rsidRDefault="00D673DC" w:rsidP="00D673DC">
      <w:pPr>
        <w:rPr>
          <w:rFonts w:ascii="Calibri" w:hAnsi="Calibri" w:cs="Calibri"/>
          <w:b/>
          <w:bCs/>
          <w:i/>
          <w:iCs/>
          <w:sz w:val="20"/>
          <w:szCs w:val="20"/>
          <w:lang w:val="en-GB"/>
        </w:rPr>
      </w:pPr>
      <w:r w:rsidRPr="00B425CC">
        <w:rPr>
          <w:rFonts w:ascii="Calibri" w:hAnsi="Calibri" w:cs="Calibri"/>
          <w:b/>
          <w:bCs/>
          <w:i/>
          <w:iCs/>
          <w:noProof/>
          <w:sz w:val="20"/>
          <w:szCs w:val="20"/>
          <w:lang w:val="en-GB"/>
        </w:rPr>
        <w:lastRenderedPageBreak/>
        <w:drawing>
          <wp:inline distT="0" distB="0" distL="0" distR="0" wp14:anchorId="23FCB013" wp14:editId="3F40F579">
            <wp:extent cx="5404673" cy="8048625"/>
            <wp:effectExtent l="0" t="0" r="5715" b="0"/>
            <wp:docPr id="1205558861" name="Picture 6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051606" name="Picture 6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944" cy="807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1CDEB" w14:textId="3C32F129" w:rsidR="00D673DC" w:rsidRPr="00B425CC" w:rsidRDefault="00D673DC" w:rsidP="00D673DC">
      <w:pPr>
        <w:jc w:val="both"/>
        <w:rPr>
          <w:rFonts w:ascii="Calibri" w:hAnsi="Calibri" w:cs="Calibri"/>
          <w:b/>
          <w:bCs/>
          <w:sz w:val="20"/>
          <w:szCs w:val="20"/>
          <w:lang w:val="en-GB"/>
        </w:rPr>
      </w:pPr>
      <w:bookmarkStart w:id="8" w:name="_Toc211847980"/>
      <w:r w:rsidRPr="00B425CC">
        <w:rPr>
          <w:rStyle w:val="Heading1Char"/>
        </w:rPr>
        <w:t xml:space="preserve">Supplementary figure </w:t>
      </w:r>
      <w:r w:rsidR="00781600" w:rsidRPr="00B425CC">
        <w:rPr>
          <w:rStyle w:val="Heading1Char"/>
        </w:rPr>
        <w:t>6</w:t>
      </w:r>
      <w:r w:rsidRPr="00B425CC">
        <w:rPr>
          <w:rStyle w:val="Heading1Char"/>
        </w:rPr>
        <w:t>: Heatmap of top RNA markers across predicted cell types</w:t>
      </w:r>
      <w:r w:rsidR="006802E0" w:rsidRPr="00B425CC">
        <w:rPr>
          <w:rStyle w:val="Heading1Char"/>
        </w:rPr>
        <w:t xml:space="preserve"> in human GBM</w:t>
      </w:r>
      <w:r w:rsidRPr="00B425CC">
        <w:rPr>
          <w:rStyle w:val="Heading1Char"/>
        </w:rPr>
        <w:t>.</w:t>
      </w:r>
      <w:bookmarkEnd w:id="8"/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t xml:space="preserve"> </w:t>
      </w:r>
      <w:r w:rsidRPr="00B425CC">
        <w:rPr>
          <w:rFonts w:ascii="Calibri" w:hAnsi="Calibri" w:cs="Calibri"/>
          <w:sz w:val="20"/>
          <w:szCs w:val="20"/>
          <w:lang w:val="en-GB"/>
        </w:rPr>
        <w:t>Normalized RNA expression of the top ten positive marker genes for each predicted cell‐type cluster identified via Seurat displayed in a heatmap.</w:t>
      </w:r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t xml:space="preserve"> </w:t>
      </w:r>
    </w:p>
    <w:p w14:paraId="7E457C58" w14:textId="77777777" w:rsidR="00D673DC" w:rsidRPr="00B425CC" w:rsidRDefault="00D673DC" w:rsidP="00D673DC">
      <w:pPr>
        <w:rPr>
          <w:rFonts w:ascii="Calibri" w:hAnsi="Calibri" w:cs="Calibri"/>
          <w:b/>
          <w:bCs/>
          <w:sz w:val="20"/>
          <w:szCs w:val="20"/>
          <w:lang w:val="en-GB"/>
        </w:rPr>
      </w:pPr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br w:type="page"/>
      </w:r>
      <w:r w:rsidRPr="00B425CC">
        <w:rPr>
          <w:rFonts w:ascii="Calibri" w:hAnsi="Calibri" w:cs="Calibri"/>
          <w:b/>
          <w:bCs/>
          <w:noProof/>
          <w:sz w:val="20"/>
          <w:szCs w:val="20"/>
          <w:lang w:val="en-GB"/>
        </w:rPr>
        <w:lastRenderedPageBreak/>
        <w:drawing>
          <wp:inline distT="0" distB="0" distL="0" distR="0" wp14:anchorId="5EDF3B66" wp14:editId="34F6A24E">
            <wp:extent cx="5419717" cy="8031600"/>
            <wp:effectExtent l="0" t="0" r="0" b="7620"/>
            <wp:docPr id="977889978" name="Picture 8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067766" name="Picture 8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17" cy="80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2DEDA" w14:textId="3CF997BD" w:rsidR="00EE1B7E" w:rsidRPr="00B425CC" w:rsidRDefault="00D673DC" w:rsidP="00D673DC">
      <w:pPr>
        <w:jc w:val="both"/>
        <w:rPr>
          <w:rFonts w:ascii="Calibri" w:hAnsi="Calibri" w:cs="Calibri"/>
          <w:b/>
          <w:bCs/>
          <w:sz w:val="20"/>
          <w:szCs w:val="20"/>
          <w:lang w:val="en-GB"/>
        </w:rPr>
      </w:pPr>
      <w:bookmarkStart w:id="9" w:name="_Toc211847981"/>
      <w:r w:rsidRPr="00B425CC">
        <w:rPr>
          <w:rStyle w:val="Heading1Char"/>
        </w:rPr>
        <w:t xml:space="preserve">Supplementary figure </w:t>
      </w:r>
      <w:r w:rsidR="00781600" w:rsidRPr="00B425CC">
        <w:rPr>
          <w:rStyle w:val="Heading1Char"/>
        </w:rPr>
        <w:t>7</w:t>
      </w:r>
      <w:r w:rsidRPr="00B425CC">
        <w:rPr>
          <w:rStyle w:val="Heading1Char"/>
        </w:rPr>
        <w:t xml:space="preserve">: Heatmap of top </w:t>
      </w:r>
      <w:r w:rsidRPr="00B425CC">
        <w:rPr>
          <w:rStyle w:val="Heading1Char"/>
          <w:i/>
          <w:iCs/>
        </w:rPr>
        <w:t>m/z</w:t>
      </w:r>
      <w:r w:rsidRPr="00B425CC">
        <w:rPr>
          <w:rStyle w:val="Heading1Char"/>
        </w:rPr>
        <w:t xml:space="preserve"> markers across predicted cell types</w:t>
      </w:r>
      <w:r w:rsidR="006802E0" w:rsidRPr="00B425CC">
        <w:rPr>
          <w:rStyle w:val="Heading1Char"/>
        </w:rPr>
        <w:t xml:space="preserve"> in human GBM</w:t>
      </w:r>
      <w:r w:rsidRPr="00B425CC">
        <w:rPr>
          <w:rStyle w:val="Heading1Char"/>
        </w:rPr>
        <w:t>.</w:t>
      </w:r>
      <w:bookmarkEnd w:id="9"/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t xml:space="preserve"> 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Normalized </w:t>
      </w:r>
      <w:r w:rsidRPr="00B425CC">
        <w:rPr>
          <w:rFonts w:ascii="Calibri" w:hAnsi="Calibri" w:cs="Calibri"/>
          <w:i/>
          <w:iCs/>
          <w:sz w:val="20"/>
          <w:szCs w:val="20"/>
          <w:lang w:val="en-GB"/>
        </w:rPr>
        <w:t>m/z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expression of the top ten positive marker </w:t>
      </w:r>
      <w:r w:rsidRPr="00B425CC">
        <w:rPr>
          <w:rFonts w:ascii="Calibri" w:hAnsi="Calibri" w:cs="Calibri"/>
          <w:i/>
          <w:iCs/>
          <w:sz w:val="20"/>
          <w:szCs w:val="20"/>
          <w:lang w:val="en-GB"/>
        </w:rPr>
        <w:t xml:space="preserve">m/z </w:t>
      </w:r>
      <w:r w:rsidRPr="00B425CC">
        <w:rPr>
          <w:rFonts w:ascii="Calibri" w:hAnsi="Calibri" w:cs="Calibri"/>
          <w:sz w:val="20"/>
          <w:szCs w:val="20"/>
          <w:lang w:val="en-GB"/>
        </w:rPr>
        <w:t>values for each predicted cell‐type cluster identified via Seurat displayed in a heatmap.</w:t>
      </w:r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t xml:space="preserve"> </w:t>
      </w:r>
    </w:p>
    <w:p w14:paraId="38D3F794" w14:textId="31C2205D" w:rsidR="00EE1B7E" w:rsidRPr="00B425CC" w:rsidRDefault="00EE1B7E">
      <w:pPr>
        <w:spacing w:line="278" w:lineRule="auto"/>
        <w:rPr>
          <w:rFonts w:ascii="Calibri" w:hAnsi="Calibri" w:cs="Calibri"/>
          <w:b/>
          <w:bCs/>
          <w:sz w:val="20"/>
          <w:szCs w:val="20"/>
          <w:lang w:val="en-GB"/>
        </w:rPr>
      </w:pPr>
      <w:r w:rsidRPr="00B425CC">
        <w:rPr>
          <w:rFonts w:ascii="Calibri" w:hAnsi="Calibri" w:cs="Calibri"/>
          <w:b/>
          <w:bCs/>
          <w:noProof/>
          <w:sz w:val="20"/>
          <w:szCs w:val="20"/>
        </w:rPr>
        <w:lastRenderedPageBreak/>
        <w:drawing>
          <wp:inline distT="0" distB="0" distL="0" distR="0" wp14:anchorId="2825A87C" wp14:editId="0A88534D">
            <wp:extent cx="5760720" cy="4377690"/>
            <wp:effectExtent l="0" t="0" r="0" b="3810"/>
            <wp:docPr id="71264386" name="Picture 2" descr="A collage of images of a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64386" name="Picture 2" descr="A collage of images of a ma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7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66A13" w14:textId="64ECB5B4" w:rsidR="00EE1B7E" w:rsidRPr="00B425CC" w:rsidRDefault="00EE1B7E" w:rsidP="00EE1B7E">
      <w:pPr>
        <w:spacing w:line="278" w:lineRule="auto"/>
        <w:jc w:val="both"/>
        <w:rPr>
          <w:rFonts w:ascii="Calibri" w:hAnsi="Calibri" w:cs="Calibri"/>
          <w:sz w:val="20"/>
          <w:szCs w:val="20"/>
          <w:lang w:val="en-GB"/>
        </w:rPr>
      </w:pPr>
      <w:bookmarkStart w:id="10" w:name="_Toc211847982"/>
      <w:r w:rsidRPr="00B425CC">
        <w:rPr>
          <w:rStyle w:val="Heading1Char"/>
          <w:lang w:val="en-GB"/>
        </w:rPr>
        <w:t xml:space="preserve">Supplementary figure </w:t>
      </w:r>
      <w:r w:rsidR="00781600" w:rsidRPr="00B425CC">
        <w:rPr>
          <w:rStyle w:val="Heading1Char"/>
          <w:lang w:val="en-GB"/>
        </w:rPr>
        <w:t>8</w:t>
      </w:r>
      <w:r w:rsidRPr="00B425CC">
        <w:rPr>
          <w:rStyle w:val="Heading1Char"/>
          <w:lang w:val="en-GB"/>
        </w:rPr>
        <w:t>: Intra-lineage metabolic variation within astrocytes in human GBM.</w:t>
      </w:r>
      <w:bookmarkEnd w:id="10"/>
      <w:r w:rsidRPr="00B425CC">
        <w:rPr>
          <w:rFonts w:ascii="Calibri" w:hAnsi="Calibri" w:cs="Calibri"/>
          <w:sz w:val="20"/>
          <w:szCs w:val="20"/>
          <w:lang w:val="en-GB"/>
        </w:rPr>
        <w:t xml:space="preserve"> (A) Heatmap selection (astrocytes only) from the TIC-normalized MALDI assay; rows are ions, columns are cells ordered by RNA identity. Boxes mark astrocyte cells in the upper (green) and lower (blue) quartiles of </w:t>
      </w:r>
      <w:r w:rsidRPr="00B425CC">
        <w:rPr>
          <w:rFonts w:ascii="Calibri" w:hAnsi="Calibri" w:cs="Calibri"/>
          <w:i/>
          <w:iCs/>
          <w:sz w:val="20"/>
          <w:szCs w:val="20"/>
          <w:lang w:val="en-GB"/>
        </w:rPr>
        <w:t>m/z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546.52 intensity. (B) MALDI-MSI ion image (</w:t>
      </w:r>
      <w:r w:rsidRPr="00B425CC">
        <w:rPr>
          <w:rFonts w:ascii="Calibri" w:hAnsi="Calibri" w:cs="Calibri"/>
          <w:i/>
          <w:iCs/>
          <w:sz w:val="20"/>
          <w:szCs w:val="20"/>
          <w:lang w:val="en-GB"/>
        </w:rPr>
        <w:t>m/z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546.52); same field of view as C–D. (C–D) Tissue-coordinate maps showing sampled astrocyte cells (</w:t>
      </w:r>
      <w:r w:rsidRPr="00B425CC">
        <w:rPr>
          <w:rFonts w:ascii="Segoe UI Symbol" w:hAnsi="Segoe UI Symbol" w:cs="Segoe UI Symbol"/>
          <w:sz w:val="20"/>
          <w:szCs w:val="20"/>
          <w:lang w:val="en-GB"/>
        </w:rPr>
        <w:t>★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) from panel A. (C), high-intensity (upper quartile); (D), low-intensity (lower quartile). Background in C–D is the </w:t>
      </w:r>
      <w:r w:rsidRPr="00B425CC">
        <w:rPr>
          <w:rFonts w:ascii="Calibri" w:hAnsi="Calibri" w:cs="Calibri"/>
          <w:i/>
          <w:iCs/>
          <w:sz w:val="20"/>
          <w:szCs w:val="20"/>
          <w:lang w:val="en-GB"/>
        </w:rPr>
        <w:t>m/z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546.52 ion image.</w:t>
      </w:r>
    </w:p>
    <w:p w14:paraId="4AC04337" w14:textId="18EC35AD" w:rsidR="00D673DC" w:rsidRPr="00B425CC" w:rsidRDefault="00D673DC" w:rsidP="00D673DC">
      <w:pPr>
        <w:jc w:val="both"/>
        <w:rPr>
          <w:rFonts w:ascii="Calibri" w:hAnsi="Calibri" w:cs="Calibri"/>
          <w:b/>
          <w:bCs/>
          <w:sz w:val="20"/>
          <w:szCs w:val="20"/>
          <w:lang w:val="en-GB"/>
        </w:rPr>
      </w:pPr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br w:type="page"/>
      </w:r>
    </w:p>
    <w:p w14:paraId="31E20904" w14:textId="52F0D1DF" w:rsidR="00D673DC" w:rsidRPr="00B425CC" w:rsidRDefault="007C311B" w:rsidP="007C311B">
      <w:pPr>
        <w:spacing w:line="360" w:lineRule="auto"/>
        <w:jc w:val="center"/>
        <w:rPr>
          <w:rFonts w:ascii="Calibri" w:hAnsi="Calibri" w:cs="Calibri"/>
          <w:i/>
          <w:iCs/>
          <w:sz w:val="20"/>
          <w:szCs w:val="20"/>
          <w:lang w:val="en-GB"/>
        </w:rPr>
      </w:pPr>
      <w:r w:rsidRPr="00B425CC">
        <w:rPr>
          <w:rFonts w:ascii="Calibri" w:hAnsi="Calibri" w:cs="Calibri"/>
          <w:i/>
          <w:iCs/>
          <w:noProof/>
          <w:sz w:val="20"/>
          <w:szCs w:val="20"/>
        </w:rPr>
        <w:lastRenderedPageBreak/>
        <w:drawing>
          <wp:inline distT="0" distB="0" distL="0" distR="0" wp14:anchorId="3BC9F595" wp14:editId="1B9CD7AE">
            <wp:extent cx="5100378" cy="7349878"/>
            <wp:effectExtent l="0" t="0" r="5080" b="3810"/>
            <wp:docPr id="19007622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762204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459" cy="7383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68782" w14:textId="335179FB" w:rsidR="00D673DC" w:rsidRPr="00B425CC" w:rsidRDefault="007C311B" w:rsidP="00B03262">
      <w:pPr>
        <w:spacing w:line="276" w:lineRule="auto"/>
        <w:jc w:val="both"/>
        <w:rPr>
          <w:rFonts w:ascii="Calibri" w:hAnsi="Calibri" w:cs="Calibri"/>
          <w:i/>
          <w:iCs/>
          <w:sz w:val="20"/>
          <w:szCs w:val="20"/>
          <w:lang w:val="en-GB"/>
        </w:rPr>
      </w:pPr>
      <w:bookmarkStart w:id="11" w:name="_Toc211847983"/>
      <w:r w:rsidRPr="00B425CC">
        <w:rPr>
          <w:rStyle w:val="Heading1Char"/>
        </w:rPr>
        <w:t xml:space="preserve">Supplementary figure </w:t>
      </w:r>
      <w:r w:rsidR="00781600" w:rsidRPr="00B425CC">
        <w:rPr>
          <w:rStyle w:val="Heading1Char"/>
        </w:rPr>
        <w:t>9</w:t>
      </w:r>
      <w:r w:rsidRPr="00B425CC">
        <w:rPr>
          <w:rStyle w:val="Heading1Char"/>
        </w:rPr>
        <w:t>: RNA vs MALDI-MSI embeddings and astrocyte-focused spatial structure.</w:t>
      </w:r>
      <w:bookmarkEnd w:id="11"/>
      <w:r w:rsidRPr="00B425CC">
        <w:rPr>
          <w:rFonts w:ascii="Calibri" w:hAnsi="Calibri" w:cs="Calibri"/>
          <w:sz w:val="20"/>
          <w:szCs w:val="20"/>
        </w:rPr>
        <w:t xml:space="preserve"> Top row: RNA UMAP (left) and MALDI-only UMAP (right), points are colored by de novo clusters. Second row: spatial projections of the same clusters in tissue coordinates. RNA clusters are intermixed across the section, whereas MALDI clusters segregate into distinct regions. Third row: astrocyte-focused view. astrocytes colored, all other cell types in gray. In the MALDI UMAP, astrocytes occupy both metabolomic clusters. Bottom row: astrocytes in space. RNA-defined astrocyte clusters are spread throughout the section. The astrocytes in MALDI-defined UMAP shows intra-lineage metabolic heterogeneity, which is defined by tissue context.</w:t>
      </w:r>
      <w:r w:rsidR="00D673DC" w:rsidRPr="00B425CC">
        <w:rPr>
          <w:rFonts w:ascii="Calibri" w:hAnsi="Calibri" w:cs="Calibri"/>
          <w:b/>
          <w:bCs/>
          <w:i/>
          <w:iCs/>
          <w:sz w:val="20"/>
          <w:szCs w:val="20"/>
          <w:lang w:val="en-GB"/>
        </w:rPr>
        <w:br w:type="page"/>
      </w:r>
    </w:p>
    <w:p w14:paraId="6B996250" w14:textId="77777777" w:rsidR="00D673DC" w:rsidRPr="00B425CC" w:rsidRDefault="00D673DC" w:rsidP="00D673DC">
      <w:pPr>
        <w:spacing w:line="360" w:lineRule="auto"/>
        <w:jc w:val="both"/>
        <w:rPr>
          <w:rFonts w:ascii="Calibri" w:hAnsi="Calibri" w:cs="Calibri"/>
          <w:i/>
          <w:iCs/>
          <w:sz w:val="20"/>
          <w:szCs w:val="20"/>
          <w:lang w:val="en-GB"/>
        </w:rPr>
      </w:pPr>
      <w:r w:rsidRPr="00B425CC">
        <w:rPr>
          <w:rFonts w:ascii="Calibri" w:hAnsi="Calibri" w:cs="Calibri"/>
          <w:i/>
          <w:iCs/>
          <w:noProof/>
          <w:sz w:val="20"/>
          <w:szCs w:val="20"/>
          <w:lang w:val="en-GB"/>
        </w:rPr>
        <w:lastRenderedPageBreak/>
        <w:drawing>
          <wp:inline distT="0" distB="0" distL="0" distR="0" wp14:anchorId="4F00997A" wp14:editId="2B98E8EF">
            <wp:extent cx="6480810" cy="4645660"/>
            <wp:effectExtent l="0" t="0" r="0" b="2540"/>
            <wp:docPr id="558340325" name="Picture 3" descr="A green and blue rectangular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340325" name="Picture 3" descr="A green and blue rectangular objec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4645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5D79F7" w14:textId="31345696" w:rsidR="00D673DC" w:rsidRPr="00B425CC" w:rsidRDefault="00D673DC" w:rsidP="00D673DC">
      <w:pPr>
        <w:jc w:val="both"/>
        <w:rPr>
          <w:rFonts w:ascii="Calibri" w:hAnsi="Calibri" w:cs="Calibri"/>
          <w:b/>
          <w:bCs/>
          <w:sz w:val="20"/>
          <w:szCs w:val="20"/>
          <w:lang w:val="en-GB"/>
        </w:rPr>
      </w:pPr>
      <w:bookmarkStart w:id="12" w:name="_Toc211847984"/>
      <w:r w:rsidRPr="00B425CC">
        <w:rPr>
          <w:rStyle w:val="Heading1Char"/>
        </w:rPr>
        <w:t xml:space="preserve">Supplementary Figure </w:t>
      </w:r>
      <w:r w:rsidR="00781600" w:rsidRPr="00B425CC">
        <w:rPr>
          <w:rStyle w:val="Heading1Char"/>
        </w:rPr>
        <w:t>10</w:t>
      </w:r>
      <w:r w:rsidRPr="00B425CC">
        <w:rPr>
          <w:rStyle w:val="Heading1Char"/>
        </w:rPr>
        <w:t>. Global gene – MALDI-MSI correlation heatmap</w:t>
      </w:r>
      <w:r w:rsidR="006802E0" w:rsidRPr="00B425CC">
        <w:rPr>
          <w:rStyle w:val="Heading1Char"/>
        </w:rPr>
        <w:t xml:space="preserve"> of human GBM tissue</w:t>
      </w:r>
      <w:r w:rsidRPr="00B425CC">
        <w:rPr>
          <w:rStyle w:val="Heading1Char"/>
        </w:rPr>
        <w:t>.</w:t>
      </w:r>
      <w:bookmarkEnd w:id="12"/>
      <w:r w:rsidRPr="00B425CC">
        <w:rPr>
          <w:rFonts w:ascii="Calibri" w:hAnsi="Calibri" w:cs="Calibri"/>
          <w:b/>
          <w:bCs/>
          <w:sz w:val="20"/>
          <w:szCs w:val="20"/>
          <w:lang w:val="en-GB"/>
        </w:rPr>
        <w:t xml:space="preserve"> 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Pearson correlation coefficients between normalized expression of all genes (horizontal) and intensities of all MALDI-MSI </w:t>
      </w:r>
      <w:r w:rsidRPr="00B425CC">
        <w:rPr>
          <w:rFonts w:ascii="Calibri" w:hAnsi="Calibri" w:cs="Calibri"/>
          <w:i/>
          <w:iCs/>
          <w:sz w:val="20"/>
          <w:szCs w:val="20"/>
          <w:lang w:val="en-GB"/>
        </w:rPr>
        <w:t>m/z</w:t>
      </w:r>
      <w:r w:rsidRPr="00B425CC">
        <w:rPr>
          <w:rFonts w:ascii="Calibri" w:hAnsi="Calibri" w:cs="Calibri"/>
          <w:sz w:val="20"/>
          <w:szCs w:val="20"/>
          <w:lang w:val="en-GB"/>
        </w:rPr>
        <w:t xml:space="preserve"> features (vertical) across all single‐cell profiles. Both rows and columns are hierarchically clustered (dendrograms at top and left) to reveal co-varying modules. This map shows distinct gene-metabolite/lipid clusters.</w:t>
      </w:r>
    </w:p>
    <w:p w14:paraId="0853D420" w14:textId="067148BB" w:rsidR="00A1690C" w:rsidRPr="00B425CC" w:rsidRDefault="00A1690C">
      <w:pPr>
        <w:spacing w:line="278" w:lineRule="auto"/>
      </w:pPr>
      <w:r w:rsidRPr="00B425CC">
        <w:br w:type="page"/>
      </w:r>
    </w:p>
    <w:p w14:paraId="4B7FF4C2" w14:textId="2298E511" w:rsidR="00A1690C" w:rsidRPr="00B425CC" w:rsidRDefault="00A1690C" w:rsidP="00A1690C">
      <w:r w:rsidRPr="00B425CC">
        <w:rPr>
          <w:noProof/>
        </w:rPr>
        <w:lastRenderedPageBreak/>
        <w:drawing>
          <wp:inline distT="0" distB="0" distL="0" distR="0" wp14:anchorId="3D5A47C4" wp14:editId="7E82BD95">
            <wp:extent cx="5760720" cy="7584440"/>
            <wp:effectExtent l="0" t="0" r="0" b="0"/>
            <wp:docPr id="1374839816" name="Picture 4" descr="A collage of images of a map of a person's bod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839816" name="Picture 4" descr="A collage of images of a map of a person's bod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8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1BAD8" w14:textId="086211ED" w:rsidR="00A1690C" w:rsidRPr="00B425CC" w:rsidRDefault="00A1690C" w:rsidP="00A1690C">
      <w:pPr>
        <w:spacing w:line="278" w:lineRule="auto"/>
        <w:jc w:val="both"/>
        <w:rPr>
          <w:rFonts w:ascii="Calibri" w:hAnsi="Calibri" w:cs="Calibri"/>
          <w:kern w:val="2"/>
          <w:sz w:val="20"/>
          <w:szCs w:val="20"/>
        </w:rPr>
      </w:pPr>
      <w:bookmarkStart w:id="13" w:name="_Toc211847985"/>
      <w:r w:rsidRPr="00B425CC">
        <w:rPr>
          <w:rStyle w:val="Heading1Char"/>
        </w:rPr>
        <w:t>Supplementary figure 1</w:t>
      </w:r>
      <w:r w:rsidR="00781600" w:rsidRPr="00B425CC">
        <w:rPr>
          <w:rStyle w:val="Heading1Char"/>
        </w:rPr>
        <w:t>1</w:t>
      </w:r>
      <w:r w:rsidRPr="00B425CC">
        <w:rPr>
          <w:rStyle w:val="Heading1Char"/>
        </w:rPr>
        <w:t>: Spatial illustration of a gen</w:t>
      </w:r>
      <w:r w:rsidR="00304BDA" w:rsidRPr="00B425CC">
        <w:rPr>
          <w:rStyle w:val="Heading1Char"/>
        </w:rPr>
        <w:t>e-i</w:t>
      </w:r>
      <w:r w:rsidRPr="00B425CC">
        <w:rPr>
          <w:rStyle w:val="Heading1Char"/>
        </w:rPr>
        <w:t>on pair in GBM.</w:t>
      </w:r>
      <w:bookmarkEnd w:id="13"/>
      <w:r w:rsidRPr="00B425CC">
        <w:rPr>
          <w:rFonts w:ascii="Calibri" w:hAnsi="Calibri" w:cs="Calibri"/>
          <w:i/>
          <w:iCs/>
          <w:kern w:val="2"/>
          <w:sz w:val="20"/>
          <w:szCs w:val="20"/>
        </w:rPr>
        <w:t xml:space="preserve"> </w:t>
      </w:r>
      <w:r w:rsidRPr="00B425CC">
        <w:rPr>
          <w:rFonts w:ascii="Calibri" w:hAnsi="Calibri" w:cs="Calibri"/>
          <w:kern w:val="2"/>
          <w:sz w:val="20"/>
          <w:szCs w:val="20"/>
        </w:rPr>
        <w:t>(A) Cells plotted in tissue coordinates; red dots indicate MOBP</w:t>
      </w:r>
      <w:r w:rsidR="002645D4" w:rsidRPr="00B425CC">
        <w:rPr>
          <w:rFonts w:ascii="Calibri" w:hAnsi="Calibri" w:cs="Calibri"/>
          <w:kern w:val="2"/>
          <w:sz w:val="20"/>
          <w:szCs w:val="20"/>
        </w:rPr>
        <w:t xml:space="preserve"> rich regions</w:t>
      </w:r>
      <w:r w:rsidRPr="00B425CC">
        <w:rPr>
          <w:rFonts w:ascii="Calibri" w:hAnsi="Calibri" w:cs="Calibri"/>
          <w:kern w:val="2"/>
          <w:sz w:val="20"/>
          <w:szCs w:val="20"/>
        </w:rPr>
        <w:t xml:space="preserve">, turquoise dots mark oligodendrocyte-labeled cells (RNA-based identities); other cells omitted for clarity. (B) MALDI-MSI ion image for </w:t>
      </w:r>
      <w:r w:rsidRPr="00B425CC">
        <w:rPr>
          <w:rFonts w:ascii="Calibri" w:hAnsi="Calibri" w:cs="Calibri"/>
          <w:i/>
          <w:iCs/>
          <w:kern w:val="2"/>
          <w:sz w:val="20"/>
          <w:szCs w:val="20"/>
        </w:rPr>
        <w:t>m/z</w:t>
      </w:r>
      <w:r w:rsidRPr="00B425CC">
        <w:rPr>
          <w:rFonts w:ascii="Calibri" w:hAnsi="Calibri" w:cs="Calibri"/>
          <w:kern w:val="2"/>
          <w:sz w:val="20"/>
          <w:szCs w:val="20"/>
        </w:rPr>
        <w:t xml:space="preserve"> 631.62 (± </w:t>
      </w:r>
      <w:r w:rsidR="00587742" w:rsidRPr="00B425CC">
        <w:rPr>
          <w:rFonts w:ascii="Calibri" w:hAnsi="Calibri" w:cs="Calibri"/>
          <w:kern w:val="2"/>
          <w:sz w:val="20"/>
          <w:szCs w:val="20"/>
        </w:rPr>
        <w:t>0.0153 Da</w:t>
      </w:r>
      <w:r w:rsidRPr="00B425CC">
        <w:rPr>
          <w:rFonts w:ascii="Calibri" w:hAnsi="Calibri" w:cs="Calibri"/>
          <w:kern w:val="2"/>
          <w:sz w:val="20"/>
          <w:szCs w:val="20"/>
        </w:rPr>
        <w:t xml:space="preserve">) </w:t>
      </w:r>
      <w:r w:rsidR="00587742" w:rsidRPr="00B425CC">
        <w:rPr>
          <w:rFonts w:ascii="Calibri" w:hAnsi="Calibri" w:cs="Calibri"/>
          <w:kern w:val="2"/>
          <w:sz w:val="20"/>
          <w:szCs w:val="20"/>
        </w:rPr>
        <w:t xml:space="preserve">(CE (18:2)) </w:t>
      </w:r>
      <w:r w:rsidRPr="00B425CC">
        <w:rPr>
          <w:rFonts w:ascii="Calibri" w:hAnsi="Calibri" w:cs="Calibri"/>
          <w:kern w:val="2"/>
          <w:sz w:val="20"/>
          <w:szCs w:val="20"/>
        </w:rPr>
        <w:t>acquired at 5 µm pixel pitch. Images are shown in the same field of view and coordinate system.</w:t>
      </w:r>
    </w:p>
    <w:bookmarkEnd w:id="0"/>
    <w:p w14:paraId="0529C2AB" w14:textId="77777777" w:rsidR="001738FC" w:rsidRPr="00B425CC" w:rsidRDefault="001738FC"/>
    <w:p w14:paraId="4AE35B8B" w14:textId="77777777" w:rsidR="001738FC" w:rsidRPr="00B425CC" w:rsidRDefault="001738FC"/>
    <w:p w14:paraId="6278CE56" w14:textId="77777777" w:rsidR="001738FC" w:rsidRPr="00B425CC" w:rsidRDefault="001738FC" w:rsidP="00A83232">
      <w:pPr>
        <w:pStyle w:val="EndNoteBibliography"/>
        <w:spacing w:after="0"/>
        <w:jc w:val="both"/>
        <w:rPr>
          <w:rFonts w:ascii="Calibri" w:hAnsi="Calibri" w:cs="Calibri"/>
          <w:sz w:val="18"/>
          <w:szCs w:val="18"/>
        </w:rPr>
      </w:pPr>
      <w:r w:rsidRPr="00B425CC">
        <w:rPr>
          <w:rFonts w:ascii="Calibri" w:hAnsi="Calibri" w:cs="Calibri"/>
          <w:sz w:val="18"/>
          <w:szCs w:val="18"/>
        </w:rPr>
        <w:fldChar w:fldCharType="begin"/>
      </w:r>
      <w:r w:rsidRPr="00B425CC">
        <w:rPr>
          <w:rFonts w:ascii="Calibri" w:hAnsi="Calibri" w:cs="Calibri"/>
          <w:sz w:val="18"/>
          <w:szCs w:val="18"/>
        </w:rPr>
        <w:instrText xml:space="preserve"> ADDIN EN.REFLIST </w:instrText>
      </w:r>
      <w:r w:rsidRPr="00B425CC">
        <w:rPr>
          <w:rFonts w:ascii="Calibri" w:hAnsi="Calibri" w:cs="Calibri"/>
          <w:sz w:val="18"/>
          <w:szCs w:val="18"/>
        </w:rPr>
        <w:fldChar w:fldCharType="separate"/>
      </w:r>
      <w:r w:rsidRPr="00B425CC">
        <w:rPr>
          <w:rFonts w:ascii="Calibri" w:hAnsi="Calibri" w:cs="Calibri"/>
          <w:sz w:val="18"/>
          <w:szCs w:val="18"/>
        </w:rPr>
        <w:t xml:space="preserve">(1) Breitkopf, S. B.; Ricoult, S. J. H.; Yuan, M.; Xu, Y.; Peake, D. A.; Manning, B. D.; Asara, J. M. A relative quantitative positive/negative ion switching method for untargeted lipidomics via high resolution LC-MS/MS from any biological source. </w:t>
      </w:r>
      <w:r w:rsidRPr="00B425CC">
        <w:rPr>
          <w:rFonts w:ascii="Calibri" w:hAnsi="Calibri" w:cs="Calibri"/>
          <w:i/>
          <w:sz w:val="18"/>
          <w:szCs w:val="18"/>
        </w:rPr>
        <w:t xml:space="preserve">Metabolomics </w:t>
      </w:r>
      <w:r w:rsidRPr="00B425CC">
        <w:rPr>
          <w:rFonts w:ascii="Calibri" w:hAnsi="Calibri" w:cs="Calibri"/>
          <w:b/>
          <w:sz w:val="18"/>
          <w:szCs w:val="18"/>
        </w:rPr>
        <w:t>2017</w:t>
      </w:r>
      <w:r w:rsidRPr="00B425CC">
        <w:rPr>
          <w:rFonts w:ascii="Calibri" w:hAnsi="Calibri" w:cs="Calibri"/>
          <w:sz w:val="18"/>
          <w:szCs w:val="18"/>
        </w:rPr>
        <w:t xml:space="preserve">, </w:t>
      </w:r>
      <w:r w:rsidRPr="00B425CC">
        <w:rPr>
          <w:rFonts w:ascii="Calibri" w:hAnsi="Calibri" w:cs="Calibri"/>
          <w:i/>
          <w:sz w:val="18"/>
          <w:szCs w:val="18"/>
        </w:rPr>
        <w:t>13</w:t>
      </w:r>
      <w:r w:rsidRPr="00B425CC">
        <w:rPr>
          <w:rFonts w:ascii="Calibri" w:hAnsi="Calibri" w:cs="Calibri"/>
          <w:sz w:val="18"/>
          <w:szCs w:val="18"/>
        </w:rPr>
        <w:t xml:space="preserve"> (3). DOI: 10.1007/s11306-016-1157-8  From NLM PubMed-not-MEDLINE.</w:t>
      </w:r>
    </w:p>
    <w:p w14:paraId="6F48C002" w14:textId="77777777" w:rsidR="001738FC" w:rsidRPr="00B425CC" w:rsidRDefault="001738FC" w:rsidP="00A83232">
      <w:pPr>
        <w:pStyle w:val="EndNoteBibliography"/>
        <w:jc w:val="both"/>
        <w:rPr>
          <w:rFonts w:ascii="Calibri" w:hAnsi="Calibri" w:cs="Calibri"/>
          <w:sz w:val="18"/>
          <w:szCs w:val="18"/>
        </w:rPr>
      </w:pPr>
      <w:r w:rsidRPr="00B425CC">
        <w:rPr>
          <w:rFonts w:ascii="Calibri" w:hAnsi="Calibri" w:cs="Calibri"/>
          <w:sz w:val="18"/>
          <w:szCs w:val="18"/>
        </w:rPr>
        <w:t xml:space="preserve">(2) Tortorella, S.; Tiberi, P.; Bowman, A. P.; Claes, B. S. R.; Scupakova, K.; Heeren, R. M. A.; Ellis, S. R.; Cruciani, G. LipostarMSI: Comprehensive, Vendor-Neutral Software for Visualization, Data Analysis, and Automated Molecular Identification in Mass Spectrometry Imaging. </w:t>
      </w:r>
      <w:r w:rsidRPr="00B425CC">
        <w:rPr>
          <w:rFonts w:ascii="Calibri" w:hAnsi="Calibri" w:cs="Calibri"/>
          <w:i/>
          <w:sz w:val="18"/>
          <w:szCs w:val="18"/>
        </w:rPr>
        <w:t xml:space="preserve">J Am Soc Mass Spectrom </w:t>
      </w:r>
      <w:r w:rsidRPr="00B425CC">
        <w:rPr>
          <w:rFonts w:ascii="Calibri" w:hAnsi="Calibri" w:cs="Calibri"/>
          <w:b/>
          <w:sz w:val="18"/>
          <w:szCs w:val="18"/>
        </w:rPr>
        <w:t>2020</w:t>
      </w:r>
      <w:r w:rsidRPr="00B425CC">
        <w:rPr>
          <w:rFonts w:ascii="Calibri" w:hAnsi="Calibri" w:cs="Calibri"/>
          <w:sz w:val="18"/>
          <w:szCs w:val="18"/>
        </w:rPr>
        <w:t xml:space="preserve">, </w:t>
      </w:r>
      <w:r w:rsidRPr="00B425CC">
        <w:rPr>
          <w:rFonts w:ascii="Calibri" w:hAnsi="Calibri" w:cs="Calibri"/>
          <w:i/>
          <w:sz w:val="18"/>
          <w:szCs w:val="18"/>
        </w:rPr>
        <w:t>31</w:t>
      </w:r>
      <w:r w:rsidRPr="00B425CC">
        <w:rPr>
          <w:rFonts w:ascii="Calibri" w:hAnsi="Calibri" w:cs="Calibri"/>
          <w:sz w:val="18"/>
          <w:szCs w:val="18"/>
        </w:rPr>
        <w:t xml:space="preserve"> (1), 155-163. DOI: 10.1021/jasms.9b00034  From NLM PubMed-not-MEDLINE.</w:t>
      </w:r>
    </w:p>
    <w:p w14:paraId="42FFE921" w14:textId="7A642768" w:rsidR="008E5D1E" w:rsidRDefault="001738FC" w:rsidP="00A83232">
      <w:pPr>
        <w:jc w:val="both"/>
      </w:pPr>
      <w:r w:rsidRPr="00B425CC">
        <w:rPr>
          <w:rFonts w:ascii="Calibri" w:hAnsi="Calibri" w:cs="Calibri"/>
          <w:sz w:val="18"/>
          <w:szCs w:val="18"/>
        </w:rPr>
        <w:fldChar w:fldCharType="end"/>
      </w:r>
    </w:p>
    <w:sectPr w:rsidR="008E5D1E" w:rsidSect="00D528F7">
      <w:pgSz w:w="11906" w:h="16838"/>
      <w:pgMar w:top="1417" w:right="1417" w:bottom="1417" w:left="1417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81EAD" w14:textId="77777777" w:rsidR="002D70FF" w:rsidRDefault="002D70FF" w:rsidP="00D673DC">
      <w:pPr>
        <w:spacing w:after="0" w:line="240" w:lineRule="auto"/>
      </w:pPr>
      <w:r>
        <w:separator/>
      </w:r>
    </w:p>
  </w:endnote>
  <w:endnote w:type="continuationSeparator" w:id="0">
    <w:p w14:paraId="615A1442" w14:textId="77777777" w:rsidR="002D70FF" w:rsidRDefault="002D70FF" w:rsidP="00D67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15838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9A02B" w14:textId="4D37C118" w:rsidR="00D673DC" w:rsidRDefault="00D673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881B21" w14:textId="77777777" w:rsidR="00D673DC" w:rsidRDefault="00D673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7E0C5" w14:textId="77777777" w:rsidR="002D70FF" w:rsidRDefault="002D70FF" w:rsidP="00D673DC">
      <w:pPr>
        <w:spacing w:after="0" w:line="240" w:lineRule="auto"/>
      </w:pPr>
      <w:r>
        <w:separator/>
      </w:r>
    </w:p>
  </w:footnote>
  <w:footnote w:type="continuationSeparator" w:id="0">
    <w:p w14:paraId="2619DB02" w14:textId="77777777" w:rsidR="002D70FF" w:rsidRDefault="002D70FF" w:rsidP="00D673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 Seperate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prpttwfjd0f9nesd9axdre3zdad09d0dsde&quot;&gt;My EndNote Library&lt;record-ids&gt;&lt;item&gt;16&lt;/item&gt;&lt;item&gt;49&lt;/item&gt;&lt;/record-ids&gt;&lt;/item&gt;&lt;/Libraries&gt;"/>
  </w:docVars>
  <w:rsids>
    <w:rsidRoot w:val="00D673DC"/>
    <w:rsid w:val="00003E9A"/>
    <w:rsid w:val="0001561A"/>
    <w:rsid w:val="00077CC3"/>
    <w:rsid w:val="0010322C"/>
    <w:rsid w:val="00167C18"/>
    <w:rsid w:val="001738FC"/>
    <w:rsid w:val="00182A36"/>
    <w:rsid w:val="001F0798"/>
    <w:rsid w:val="001F1B3C"/>
    <w:rsid w:val="001F5FE0"/>
    <w:rsid w:val="00204BE8"/>
    <w:rsid w:val="0024114B"/>
    <w:rsid w:val="002645D4"/>
    <w:rsid w:val="002D1A6E"/>
    <w:rsid w:val="002D70FF"/>
    <w:rsid w:val="002D7F61"/>
    <w:rsid w:val="00300851"/>
    <w:rsid w:val="00304BDA"/>
    <w:rsid w:val="0030549B"/>
    <w:rsid w:val="00313D58"/>
    <w:rsid w:val="00332494"/>
    <w:rsid w:val="0038402F"/>
    <w:rsid w:val="00396536"/>
    <w:rsid w:val="004C27A3"/>
    <w:rsid w:val="004F6132"/>
    <w:rsid w:val="005163C2"/>
    <w:rsid w:val="00546762"/>
    <w:rsid w:val="0055203F"/>
    <w:rsid w:val="005568A9"/>
    <w:rsid w:val="00557F7D"/>
    <w:rsid w:val="00587742"/>
    <w:rsid w:val="00587E2C"/>
    <w:rsid w:val="00624FCC"/>
    <w:rsid w:val="006303D1"/>
    <w:rsid w:val="00644667"/>
    <w:rsid w:val="0065234F"/>
    <w:rsid w:val="00662AA0"/>
    <w:rsid w:val="00663B2C"/>
    <w:rsid w:val="006802E0"/>
    <w:rsid w:val="00681DE8"/>
    <w:rsid w:val="006A4AE4"/>
    <w:rsid w:val="006B7E15"/>
    <w:rsid w:val="006D55E7"/>
    <w:rsid w:val="006D74DF"/>
    <w:rsid w:val="006E7496"/>
    <w:rsid w:val="006F7346"/>
    <w:rsid w:val="00771A24"/>
    <w:rsid w:val="00781600"/>
    <w:rsid w:val="007C311B"/>
    <w:rsid w:val="007E500E"/>
    <w:rsid w:val="007F3C93"/>
    <w:rsid w:val="00882D3B"/>
    <w:rsid w:val="008E5D1E"/>
    <w:rsid w:val="00910B39"/>
    <w:rsid w:val="00995CCF"/>
    <w:rsid w:val="00A1690C"/>
    <w:rsid w:val="00A24D74"/>
    <w:rsid w:val="00A6357D"/>
    <w:rsid w:val="00A72B25"/>
    <w:rsid w:val="00A73071"/>
    <w:rsid w:val="00A83232"/>
    <w:rsid w:val="00AA311F"/>
    <w:rsid w:val="00AD6742"/>
    <w:rsid w:val="00B03262"/>
    <w:rsid w:val="00B113A6"/>
    <w:rsid w:val="00B425CC"/>
    <w:rsid w:val="00B772C0"/>
    <w:rsid w:val="00BD7B74"/>
    <w:rsid w:val="00C306AD"/>
    <w:rsid w:val="00C46F9F"/>
    <w:rsid w:val="00C7507B"/>
    <w:rsid w:val="00C759AE"/>
    <w:rsid w:val="00C976AB"/>
    <w:rsid w:val="00CC5FEF"/>
    <w:rsid w:val="00CD60A7"/>
    <w:rsid w:val="00D528F7"/>
    <w:rsid w:val="00D673DC"/>
    <w:rsid w:val="00E256DD"/>
    <w:rsid w:val="00E30D83"/>
    <w:rsid w:val="00E53F0D"/>
    <w:rsid w:val="00E5596A"/>
    <w:rsid w:val="00E62B45"/>
    <w:rsid w:val="00E72680"/>
    <w:rsid w:val="00EE1B7E"/>
    <w:rsid w:val="00F53825"/>
    <w:rsid w:val="00F66D88"/>
    <w:rsid w:val="00F974EC"/>
    <w:rsid w:val="00FB39EB"/>
    <w:rsid w:val="00FD5C90"/>
    <w:rsid w:val="00F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11E5717"/>
  <w15:chartTrackingRefBased/>
  <w15:docId w15:val="{1C405125-36F4-4158-8B09-7F64E3B3C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3DC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aliases w:val="Headers Supplementary"/>
    <w:basedOn w:val="Normal"/>
    <w:next w:val="Normal"/>
    <w:link w:val="Heading1Char"/>
    <w:uiPriority w:val="9"/>
    <w:qFormat/>
    <w:rsid w:val="00D673DC"/>
    <w:pPr>
      <w:keepNext/>
      <w:keepLines/>
      <w:spacing w:before="360" w:after="80"/>
      <w:outlineLvl w:val="0"/>
    </w:pPr>
    <w:rPr>
      <w:rFonts w:ascii="Calibri" w:eastAsiaTheme="majorEastAsia" w:hAnsi="Calibri" w:cstheme="majorBidi"/>
      <w:b/>
      <w:color w:val="000000" w:themeColor="text1"/>
      <w:kern w:val="2"/>
      <w:sz w:val="2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3D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3D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ers Supplementary Char"/>
    <w:basedOn w:val="DefaultParagraphFont"/>
    <w:link w:val="Heading1"/>
    <w:uiPriority w:val="9"/>
    <w:rsid w:val="00D673DC"/>
    <w:rPr>
      <w:rFonts w:ascii="Calibri" w:eastAsiaTheme="majorEastAsia" w:hAnsi="Calibri" w:cstheme="majorBidi"/>
      <w:b/>
      <w:color w:val="000000" w:themeColor="text1"/>
      <w:sz w:val="2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3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3D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3D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3D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3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3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3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3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3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3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3D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3D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3D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3DC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D673DC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73D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67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3DC"/>
    <w:rPr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67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3DC"/>
    <w:rPr>
      <w:kern w:val="0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D673DC"/>
    <w:pPr>
      <w:spacing w:after="100"/>
    </w:pPr>
  </w:style>
  <w:style w:type="character" w:styleId="CommentReference">
    <w:name w:val="annotation reference"/>
    <w:basedOn w:val="DefaultParagraphFont"/>
    <w:uiPriority w:val="99"/>
    <w:semiHidden/>
    <w:unhideWhenUsed/>
    <w:rsid w:val="00F538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38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3825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3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825"/>
    <w:rPr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BD7B74"/>
    <w:pPr>
      <w:spacing w:after="0" w:line="240" w:lineRule="auto"/>
    </w:pPr>
    <w:rPr>
      <w:kern w:val="0"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rsid w:val="001738FC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738FC"/>
    <w:rPr>
      <w:rFonts w:ascii="Aptos" w:hAnsi="Aptos"/>
      <w:noProof/>
      <w:kern w:val="0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1738FC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738FC"/>
    <w:rPr>
      <w:rFonts w:ascii="Aptos" w:hAnsi="Aptos"/>
      <w:noProof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1/2025.07.16.665110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e.cuypers@maastrichtuniversity.nl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tiff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3FE19-E16F-4681-9B4B-CCECEBB33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16</Pages>
  <Words>1553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10389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Hendriks, Tim (M4I)</dc:creator>
  <cp:keywords/>
  <dc:description/>
  <cp:lastModifiedBy>Hendriks, Tim (M4I)</cp:lastModifiedBy>
  <cp:revision>6</cp:revision>
  <cp:lastPrinted>2025-09-24T11:18:00Z</cp:lastPrinted>
  <dcterms:created xsi:type="dcterms:W3CDTF">2025-10-17T17:06:00Z</dcterms:created>
  <dcterms:modified xsi:type="dcterms:W3CDTF">2025-10-20T08:19:00Z</dcterms:modified>
</cp:coreProperties>
</file>