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07F6EF">
      <w:pPr>
        <w:rPr>
          <w:rFonts w:hint="default" w:ascii="Times New Roman" w:hAnsi="Times New Roman" w:cs="Times New Roman"/>
          <w:sz w:val="20"/>
          <w:szCs w:val="22"/>
        </w:rPr>
      </w:pPr>
      <w:r>
        <w:rPr>
          <w:rFonts w:hint="default" w:ascii="Times New Roman" w:hAnsi="Times New Roman" w:cs="Times New Roman"/>
          <w:sz w:val="20"/>
          <w:szCs w:val="22"/>
        </w:rPr>
        <w:t>Table S</w:t>
      </w:r>
      <w:r>
        <w:rPr>
          <w:rFonts w:hint="default" w:ascii="Times New Roman" w:hAnsi="Times New Roman" w:cs="Times New Roman"/>
          <w:sz w:val="20"/>
          <w:szCs w:val="22"/>
          <w:lang w:val="en-US" w:eastAsia="zh-CN"/>
        </w:rPr>
        <w:t>2</w:t>
      </w:r>
      <w:r>
        <w:rPr>
          <w:rFonts w:hint="default" w:ascii="Times New Roman" w:hAnsi="Times New Roman" w:cs="Times New Roman"/>
          <w:sz w:val="20"/>
          <w:szCs w:val="22"/>
        </w:rPr>
        <w:t>. Partial correlation between IKS and CT controlling for other AI literacy dimensions</w:t>
      </w:r>
    </w:p>
    <w:tbl>
      <w:tblPr>
        <w:tblStyle w:val="3"/>
        <w:tblW w:w="98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0" w:type="dxa"/>
          <w:left w:w="128" w:type="dxa"/>
          <w:bottom w:w="80" w:type="dxa"/>
          <w:right w:w="128" w:type="dxa"/>
        </w:tblCellMar>
      </w:tblPr>
      <w:tblGrid>
        <w:gridCol w:w="4256"/>
        <w:gridCol w:w="2673"/>
        <w:gridCol w:w="2189"/>
        <w:gridCol w:w="736"/>
      </w:tblGrid>
      <w:tr w14:paraId="33C83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8" w:type="dxa"/>
            <w:bottom w:w="80" w:type="dxa"/>
            <w:right w:w="128" w:type="dxa"/>
          </w:tblCellMar>
        </w:tblPrEx>
        <w:trPr>
          <w:trHeight w:val="0" w:hRule="atLeast"/>
          <w:tblHeader/>
          <w:jc w:val="center"/>
        </w:trPr>
        <w:tc>
          <w:tcPr>
            <w:tcW w:w="4256" w:type="dxa"/>
            <w:shd w:val="clear" w:color="auto" w:fill="auto"/>
            <w:vAlign w:val="center"/>
          </w:tcPr>
          <w:p w14:paraId="7836451B">
            <w:pPr>
              <w:keepNext w:val="0"/>
              <w:keepLines w:val="0"/>
              <w:widowControl/>
              <w:suppressLineNumbers w:val="0"/>
              <w:snapToGrid w:val="0"/>
              <w:jc w:val="center"/>
              <w:rPr>
                <w:rFonts w:hint="default" w:ascii="Times New Roman" w:hAnsi="Times New Roman" w:eastAsia="宋体" w:cs="Times New Roman"/>
                <w:b/>
                <w:bCs/>
                <w:kern w:val="2"/>
                <w:sz w:val="20"/>
                <w:szCs w:val="20"/>
                <w:lang w:val="en-US" w:eastAsia="zh-CN" w:bidi="ar-SA"/>
              </w:rPr>
            </w:pPr>
            <w:r>
              <w:rPr>
                <w:rFonts w:hint="default" w:ascii="Times New Roman" w:hAnsi="Times New Roman" w:eastAsia="宋体" w:cs="Times New Roman"/>
                <w:b/>
                <w:bCs/>
                <w:kern w:val="0"/>
                <w:sz w:val="20"/>
                <w:szCs w:val="20"/>
                <w:lang w:val="en-US" w:eastAsia="zh-CN" w:bidi="ar"/>
              </w:rPr>
              <w:t>Controlled variables</w:t>
            </w:r>
          </w:p>
        </w:tc>
        <w:tc>
          <w:tcPr>
            <w:tcW w:w="2673" w:type="dxa"/>
            <w:shd w:val="clear" w:color="auto" w:fill="auto"/>
            <w:vAlign w:val="center"/>
          </w:tcPr>
          <w:p w14:paraId="3801BBBB">
            <w:pPr>
              <w:keepNext w:val="0"/>
              <w:keepLines w:val="0"/>
              <w:widowControl/>
              <w:suppressLineNumbers w:val="0"/>
              <w:snapToGrid w:val="0"/>
              <w:jc w:val="center"/>
              <w:rPr>
                <w:rFonts w:hint="default" w:ascii="Times New Roman" w:hAnsi="Times New Roman" w:eastAsia="宋体" w:cs="Times New Roman"/>
                <w:b/>
                <w:bCs/>
                <w:kern w:val="0"/>
                <w:sz w:val="20"/>
                <w:szCs w:val="20"/>
                <w:lang w:val="en-US" w:eastAsia="zh-CN" w:bidi="ar"/>
              </w:rPr>
            </w:pPr>
            <w:r>
              <w:rPr>
                <w:rFonts w:hint="default" w:ascii="Times New Roman" w:hAnsi="Times New Roman" w:eastAsia="宋体" w:cs="Times New Roman"/>
                <w:b/>
                <w:bCs/>
                <w:kern w:val="0"/>
                <w:sz w:val="20"/>
                <w:szCs w:val="20"/>
                <w:lang w:val="en-US" w:eastAsia="zh-CN" w:bidi="ar"/>
              </w:rPr>
              <w:t>Partial correlation</w:t>
            </w:r>
          </w:p>
          <w:p w14:paraId="0D78B7D1">
            <w:pPr>
              <w:keepNext w:val="0"/>
              <w:keepLines w:val="0"/>
              <w:widowControl/>
              <w:suppressLineNumbers w:val="0"/>
              <w:snapToGrid w:val="0"/>
              <w:jc w:val="center"/>
              <w:rPr>
                <w:rFonts w:hint="default" w:ascii="Times New Roman" w:hAnsi="Times New Roman" w:eastAsia="宋体" w:cs="Times New Roman"/>
                <w:b/>
                <w:bCs/>
                <w:kern w:val="0"/>
                <w:sz w:val="20"/>
                <w:szCs w:val="20"/>
                <w:lang w:val="en-US" w:eastAsia="zh-CN" w:bidi="ar"/>
              </w:rPr>
            </w:pPr>
            <w:r>
              <w:rPr>
                <w:rFonts w:hint="default" w:ascii="Times New Roman" w:hAnsi="Times New Roman" w:eastAsia="宋体" w:cs="Times New Roman"/>
                <w:b/>
                <w:bCs/>
                <w:kern w:val="0"/>
                <w:sz w:val="20"/>
                <w:szCs w:val="20"/>
                <w:lang w:val="en-US" w:eastAsia="zh-CN" w:bidi="ar"/>
              </w:rPr>
              <w:t>(r)</w:t>
            </w:r>
          </w:p>
        </w:tc>
        <w:tc>
          <w:tcPr>
            <w:tcW w:w="2189" w:type="dxa"/>
            <w:shd w:val="clear" w:color="auto" w:fill="auto"/>
            <w:vAlign w:val="center"/>
          </w:tcPr>
          <w:p w14:paraId="3CFD2D6C">
            <w:pPr>
              <w:keepNext w:val="0"/>
              <w:keepLines w:val="0"/>
              <w:widowControl/>
              <w:suppressLineNumbers w:val="0"/>
              <w:snapToGrid w:val="0"/>
              <w:jc w:val="center"/>
              <w:rPr>
                <w:rFonts w:hint="default" w:ascii="Times New Roman" w:hAnsi="Times New Roman" w:eastAsia="宋体" w:cs="Times New Roman"/>
                <w:b/>
                <w:bCs/>
                <w:kern w:val="2"/>
                <w:sz w:val="20"/>
                <w:szCs w:val="20"/>
                <w:lang w:val="en-US" w:eastAsia="zh-CN" w:bidi="ar-SA"/>
              </w:rPr>
            </w:pPr>
            <w:r>
              <w:rPr>
                <w:rFonts w:hint="default" w:ascii="Times New Roman" w:hAnsi="Times New Roman" w:eastAsia="宋体" w:cs="Times New Roman"/>
                <w:b/>
                <w:bCs/>
                <w:kern w:val="0"/>
                <w:sz w:val="20"/>
                <w:szCs w:val="20"/>
                <w:lang w:val="en-US" w:eastAsia="zh-CN" w:bidi="ar"/>
              </w:rPr>
              <w:t>Sig. (2-tailed)</w:t>
            </w:r>
          </w:p>
        </w:tc>
        <w:tc>
          <w:tcPr>
            <w:tcW w:w="736" w:type="dxa"/>
            <w:shd w:val="clear" w:color="auto" w:fill="auto"/>
            <w:vAlign w:val="center"/>
          </w:tcPr>
          <w:p w14:paraId="1684D1D3">
            <w:pPr>
              <w:keepNext w:val="0"/>
              <w:keepLines w:val="0"/>
              <w:widowControl/>
              <w:suppressLineNumbers w:val="0"/>
              <w:snapToGrid w:val="0"/>
              <w:jc w:val="center"/>
              <w:rPr>
                <w:rFonts w:hint="default" w:ascii="Times New Roman" w:hAnsi="Times New Roman" w:eastAsia="宋体" w:cs="Times New Roman"/>
                <w:b/>
                <w:bCs/>
                <w:kern w:val="2"/>
                <w:sz w:val="20"/>
                <w:szCs w:val="20"/>
                <w:lang w:val="en-US" w:eastAsia="zh-CN" w:bidi="ar-SA"/>
              </w:rPr>
            </w:pPr>
            <w:r>
              <w:rPr>
                <w:rFonts w:hint="default" w:ascii="Times New Roman" w:hAnsi="Times New Roman" w:eastAsia="宋体" w:cs="Times New Roman"/>
                <w:b/>
                <w:bCs/>
                <w:kern w:val="0"/>
                <w:sz w:val="20"/>
                <w:szCs w:val="20"/>
                <w:lang w:val="en-US" w:eastAsia="zh-CN" w:bidi="ar"/>
              </w:rPr>
              <w:t>N</w:t>
            </w:r>
          </w:p>
        </w:tc>
      </w:tr>
      <w:tr w14:paraId="7222A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8" w:type="dxa"/>
            <w:bottom w:w="80" w:type="dxa"/>
            <w:right w:w="128" w:type="dxa"/>
          </w:tblCellMar>
        </w:tblPrEx>
        <w:trPr>
          <w:trHeight w:val="0" w:hRule="atLeast"/>
          <w:jc w:val="center"/>
        </w:trPr>
        <w:tc>
          <w:tcPr>
            <w:tcW w:w="4256" w:type="dxa"/>
            <w:shd w:val="clear" w:color="auto" w:fill="auto"/>
            <w:vAlign w:val="center"/>
          </w:tcPr>
          <w:p w14:paraId="153A6793">
            <w:pPr>
              <w:keepNext w:val="0"/>
              <w:keepLines w:val="0"/>
              <w:widowControl/>
              <w:suppressLineNumbers w:val="0"/>
              <w:snapToGrid w:val="0"/>
              <w:jc w:val="center"/>
              <w:rPr>
                <w:rFonts w:hint="default" w:ascii="Times New Roman" w:hAnsi="Times New Roman" w:eastAsia="宋体" w:cs="Times New Roman"/>
                <w:kern w:val="2"/>
                <w:sz w:val="20"/>
                <w:szCs w:val="20"/>
                <w:lang w:val="en-US" w:eastAsia="zh-CN" w:bidi="ar-SA"/>
              </w:rPr>
            </w:pPr>
            <w:r>
              <w:rPr>
                <w:rFonts w:hint="default" w:ascii="Times New Roman" w:hAnsi="Times New Roman" w:eastAsia="宋体" w:cs="Times New Roman"/>
                <w:kern w:val="0"/>
                <w:sz w:val="20"/>
                <w:szCs w:val="20"/>
                <w:lang w:val="en-US" w:eastAsia="zh-CN" w:bidi="ar"/>
              </w:rPr>
              <w:t>Intelligent Responsibility, Intelligent Thinking, Human–Machine Collaboration</w:t>
            </w:r>
          </w:p>
        </w:tc>
        <w:tc>
          <w:tcPr>
            <w:tcW w:w="2673" w:type="dxa"/>
            <w:shd w:val="clear" w:color="auto" w:fill="auto"/>
            <w:vAlign w:val="center"/>
          </w:tcPr>
          <w:p w14:paraId="20482C0C">
            <w:pPr>
              <w:keepNext w:val="0"/>
              <w:keepLines w:val="0"/>
              <w:widowControl/>
              <w:suppressLineNumbers w:val="0"/>
              <w:snapToGrid w:val="0"/>
              <w:jc w:val="center"/>
              <w:rPr>
                <w:rFonts w:hint="default" w:ascii="Times New Roman" w:hAnsi="Times New Roman" w:eastAsia="宋体" w:cs="Times New Roman"/>
                <w:kern w:val="2"/>
                <w:sz w:val="20"/>
                <w:szCs w:val="20"/>
                <w:lang w:val="en-US" w:eastAsia="zh-CN" w:bidi="ar-SA"/>
              </w:rPr>
            </w:pPr>
            <w:r>
              <w:rPr>
                <w:rFonts w:hint="default" w:ascii="Times New Roman" w:hAnsi="Times New Roman" w:eastAsia="宋体" w:cs="Times New Roman"/>
                <w:kern w:val="0"/>
                <w:sz w:val="20"/>
                <w:szCs w:val="20"/>
                <w:lang w:val="en-US" w:eastAsia="zh-CN" w:bidi="ar"/>
              </w:rPr>
              <w:t>−0.078</w:t>
            </w:r>
          </w:p>
        </w:tc>
        <w:tc>
          <w:tcPr>
            <w:tcW w:w="2189" w:type="dxa"/>
            <w:shd w:val="clear" w:color="auto" w:fill="auto"/>
            <w:vAlign w:val="center"/>
          </w:tcPr>
          <w:p w14:paraId="18987188">
            <w:pPr>
              <w:keepNext w:val="0"/>
              <w:keepLines w:val="0"/>
              <w:widowControl/>
              <w:suppressLineNumbers w:val="0"/>
              <w:snapToGrid w:val="0"/>
              <w:jc w:val="center"/>
              <w:rPr>
                <w:rFonts w:hint="default" w:ascii="Times New Roman" w:hAnsi="Times New Roman" w:eastAsia="宋体" w:cs="Times New Roman"/>
                <w:kern w:val="2"/>
                <w:sz w:val="20"/>
                <w:szCs w:val="20"/>
                <w:lang w:val="en-US" w:eastAsia="zh-CN" w:bidi="ar-SA"/>
              </w:rPr>
            </w:pPr>
            <w:r>
              <w:rPr>
                <w:rFonts w:hint="default" w:ascii="Times New Roman" w:hAnsi="Times New Roman" w:eastAsia="宋体" w:cs="Times New Roman"/>
                <w:kern w:val="0"/>
                <w:sz w:val="20"/>
                <w:szCs w:val="20"/>
                <w:lang w:val="en-US" w:eastAsia="zh-CN" w:bidi="ar"/>
              </w:rPr>
              <w:t>0.003</w:t>
            </w:r>
          </w:p>
        </w:tc>
        <w:tc>
          <w:tcPr>
            <w:tcW w:w="736" w:type="dxa"/>
            <w:shd w:val="clear" w:color="auto" w:fill="auto"/>
            <w:vAlign w:val="center"/>
          </w:tcPr>
          <w:p w14:paraId="232920CC">
            <w:pPr>
              <w:keepNext w:val="0"/>
              <w:keepLines w:val="0"/>
              <w:widowControl/>
              <w:suppressLineNumbers w:val="0"/>
              <w:snapToGrid w:val="0"/>
              <w:jc w:val="center"/>
              <w:rPr>
                <w:rFonts w:hint="default" w:ascii="Times New Roman" w:hAnsi="Times New Roman" w:eastAsia="宋体" w:cs="Times New Roman"/>
                <w:kern w:val="2"/>
                <w:sz w:val="20"/>
                <w:szCs w:val="20"/>
                <w:lang w:val="en-US" w:eastAsia="zh-CN" w:bidi="ar-SA"/>
              </w:rPr>
            </w:pPr>
            <w:r>
              <w:rPr>
                <w:rFonts w:hint="default" w:ascii="Times New Roman" w:hAnsi="Times New Roman" w:eastAsia="宋体" w:cs="Times New Roman"/>
                <w:kern w:val="0"/>
                <w:sz w:val="20"/>
                <w:szCs w:val="20"/>
                <w:lang w:val="en-US" w:eastAsia="zh-CN" w:bidi="ar"/>
              </w:rPr>
              <w:t>1463</w:t>
            </w:r>
          </w:p>
        </w:tc>
      </w:tr>
    </w:tbl>
    <w:p w14:paraId="6134F91E">
      <w:pPr>
        <w:rPr>
          <w:rFonts w:hint="default" w:ascii="Times New Roman" w:hAnsi="Times New Roman" w:cs="Times New Roman"/>
          <w:sz w:val="20"/>
          <w:szCs w:val="22"/>
        </w:rPr>
      </w:pPr>
    </w:p>
    <w:p w14:paraId="183F0AB9">
      <w:pPr>
        <w:rPr>
          <w:rFonts w:hint="default" w:ascii="Times New Roman" w:hAnsi="Times New Roman" w:cs="Times New Roman"/>
          <w:sz w:val="20"/>
          <w:szCs w:val="22"/>
        </w:rPr>
      </w:pPr>
    </w:p>
    <w:p w14:paraId="2C0EF483">
      <w:pPr>
        <w:rPr>
          <w:rFonts w:hint="default" w:ascii="Times New Roman" w:hAnsi="Times New Roman" w:cs="Times New Roman"/>
          <w:sz w:val="20"/>
          <w:szCs w:val="22"/>
        </w:rPr>
      </w:pPr>
      <w:r>
        <w:rPr>
          <w:rFonts w:hint="default" w:ascii="Times New Roman" w:hAnsi="Times New Roman" w:cs="Times New Roman"/>
          <w:sz w:val="20"/>
          <w:szCs w:val="22"/>
        </w:rPr>
        <w:t>Figure S1. Partial regression plot between Intelligent Knowledge and Skills and Computational Thinking</w:t>
      </w:r>
    </w:p>
    <w:p w14:paraId="5B6EBF49">
      <w:pPr>
        <w:rPr>
          <w:rFonts w:hint="default" w:ascii="Times New Roman" w:hAnsi="Times New Roman" w:cs="Times New Roman"/>
          <w:sz w:val="20"/>
          <w:szCs w:val="22"/>
        </w:rPr>
      </w:pPr>
      <w:r>
        <w:rPr>
          <w:rFonts w:hint="eastAsia" w:ascii="Times New Roman" w:hAnsi="Times New Roman" w:cs="Times New Roman" w:eastAsiaTheme="minorEastAsia"/>
          <w:sz w:val="20"/>
          <w:szCs w:val="22"/>
          <w:lang w:eastAsia="zh-CN"/>
        </w:rPr>
        <w:drawing>
          <wp:inline distT="0" distB="0" distL="114300" distR="114300">
            <wp:extent cx="4658995" cy="2544445"/>
            <wp:effectExtent l="0" t="0" r="4445" b="635"/>
            <wp:docPr id="1" name="图片 1" descr="pianhuiguitu2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pianhuiguitu2_01"/>
                    <pic:cNvPicPr>
                      <a:picLocks noChangeAspect="1"/>
                    </pic:cNvPicPr>
                  </pic:nvPicPr>
                  <pic:blipFill>
                    <a:blip r:embed="rId4"/>
                    <a:srcRect l="7311" t="6625" r="4324" b="59252"/>
                    <a:stretch>
                      <a:fillRect/>
                    </a:stretch>
                  </pic:blipFill>
                  <pic:spPr>
                    <a:xfrm>
                      <a:off x="0" y="0"/>
                      <a:ext cx="4658995" cy="2544445"/>
                    </a:xfrm>
                    <a:prstGeom prst="rect">
                      <a:avLst/>
                    </a:prstGeom>
                  </pic:spPr>
                </pic:pic>
              </a:graphicData>
            </a:graphic>
          </wp:inline>
        </w:drawing>
      </w:r>
    </w:p>
    <w:p w14:paraId="2DF333E2">
      <w:pPr>
        <w:rPr>
          <w:rFonts w:hint="eastAsia" w:ascii="Times New Roman" w:hAnsi="Times New Roman" w:cs="Times New Roman" w:eastAsiaTheme="minorEastAsia"/>
          <w:sz w:val="20"/>
          <w:szCs w:val="22"/>
          <w:lang w:eastAsia="zh-CN"/>
        </w:rPr>
      </w:pPr>
      <w:r>
        <w:rPr>
          <w:rFonts w:hint="eastAsia" w:ascii="Times New Roman" w:hAnsi="Times New Roman" w:cs="Times New Roman" w:eastAsiaTheme="minorEastAsia"/>
          <w:sz w:val="20"/>
          <w:szCs w:val="22"/>
          <w:lang w:eastAsia="zh-CN"/>
        </w:rPr>
        <w:t>Note. This figure presents the residual relationship between Intelligent Knowledge and Skills (IKS) and Computational Thinking (CT) after controlling for Intelligent Responsibility, Intelligent Thinking, and Human–Machine Collaborative Hybrid Innovation. Each point represents the residuals of CT regressed on the control variables (y-axis) against the residuals of IKS regressed on the same controls (x-axis). The distribution shows a slight downward tendency, confirming a weak negative residual association (partial r = −0.078, p = .003). This pattern supports the interpretation that the negative standardized coefficient of IKS reflects a statistical suppression effect, not a true negative causal relationship.</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7950E3"/>
    <w:rsid w:val="207950E3"/>
    <w:rsid w:val="2BDB3982"/>
    <w:rsid w:val="6B9B65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Strong"/>
    <w:basedOn w:val="4"/>
    <w:qFormat/>
    <w:uiPriority w:val="0"/>
    <w:rPr>
      <w:b/>
    </w:rPr>
  </w:style>
  <w:style w:type="character" w:styleId="6">
    <w:name w:val="Emphasis"/>
    <w:basedOn w:val="4"/>
    <w:qFormat/>
    <w:uiPriority w:val="0"/>
    <w:rPr>
      <w:i/>
    </w:rPr>
  </w:style>
  <w:style w:type="paragraph" w:customStyle="1" w:styleId="7">
    <w:name w:val="我粘贴的正文"/>
    <w:basedOn w:val="1"/>
    <w:uiPriority w:val="0"/>
    <w:pPr>
      <w:ind w:firstLine="562" w:firstLineChars="200"/>
    </w:pPr>
    <w:rPr>
      <w:rFonts w:hint="eastAsia" w:ascii="Times New Roman" w:hAnsi="Times New Roman" w:eastAsia="宋体" w:cs="Times New Roman"/>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2025-10-21T14:41:00Z</dcterms:created>
  <dc:creator>WPS_1588237970</dc:creator>
  <cp:lastModifiedBy>WPS_1588237970</cp:lastModifiedBy>
  <dcterms:modified xsi:type="dcterms:W3CDTF">2025-10-21T15:12:24Z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90C2FE7B1F9C48ADA4D14F5B1189E30F_11</vt:lpwstr>
  </property>
  <property fmtid="{D5CDD505-2E9C-101B-9397-08002B2CF9AE}" pid="4" name="KSOTemplateDocerSaveRecord">
    <vt:lpwstr>eyJoZGlkIjoiZjYxNmZjZDI3NGZjNzA4YWVlMThmYzhhMWJiOTljOGEiLCJ1c2VySWQiOiI5NzEyNzQ3NzgifQ==</vt:lpwstr>
  </property>
</Properties>
</file>