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DED65" w14:textId="77777777" w:rsidR="0056660D" w:rsidRPr="003E00BE" w:rsidRDefault="0056660D" w:rsidP="0056660D">
      <w:pPr>
        <w:spacing w:line="360" w:lineRule="auto"/>
        <w:rPr>
          <w:rFonts w:ascii="Times New Roman" w:hAnsi="Times New Roman" w:cs="Times New Roman"/>
          <w:b/>
          <w:bCs/>
          <w:szCs w:val="21"/>
        </w:rPr>
      </w:pPr>
      <w:r w:rsidRPr="003E00BE">
        <w:rPr>
          <w:rFonts w:ascii="Times New Roman" w:hAnsi="Times New Roman" w:cs="Times New Roman"/>
          <w:b/>
          <w:bCs/>
        </w:rPr>
        <w:t>Supplementary material</w:t>
      </w:r>
      <w:r w:rsidRPr="003E00BE">
        <w:rPr>
          <w:rFonts w:ascii="Times New Roman" w:hAnsi="Times New Roman" w:cs="Times New Roman" w:hint="eastAsia"/>
          <w:b/>
          <w:bCs/>
        </w:rPr>
        <w:t xml:space="preserve">: </w:t>
      </w:r>
      <w:r w:rsidRPr="003E00BE">
        <w:rPr>
          <w:rFonts w:ascii="Times New Roman" w:hAnsi="Times New Roman" w:cs="Times New Roman"/>
          <w:b/>
          <w:bCs/>
        </w:rPr>
        <w:t>Detailed parameters of 10 machine learning algorithms</w:t>
      </w:r>
    </w:p>
    <w:p w14:paraId="4818F888" w14:textId="77777777" w:rsidR="0056660D" w:rsidRPr="00FB7CCF" w:rsidRDefault="0056660D" w:rsidP="0056660D">
      <w:pPr>
        <w:spacing w:line="360" w:lineRule="auto"/>
        <w:rPr>
          <w:rFonts w:ascii="Times New Roman" w:hAnsi="Times New Roman" w:cs="Times New Roman"/>
          <w:szCs w:val="21"/>
        </w:rPr>
      </w:pPr>
      <w:r w:rsidRPr="00FB7CCF">
        <w:rPr>
          <w:rFonts w:ascii="Times New Roman" w:hAnsi="Times New Roman" w:cs="Times New Roman"/>
          <w:szCs w:val="21"/>
        </w:rPr>
        <w:t xml:space="preserve">For the </w:t>
      </w:r>
      <w:proofErr w:type="spellStart"/>
      <w:r w:rsidRPr="00FB7CCF">
        <w:rPr>
          <w:rFonts w:ascii="Times New Roman" w:hAnsi="Times New Roman" w:cs="Times New Roman"/>
          <w:szCs w:val="21"/>
        </w:rPr>
        <w:t>CoxBoost</w:t>
      </w:r>
      <w:proofErr w:type="spellEnd"/>
      <w:r w:rsidRPr="00FB7CCF">
        <w:rPr>
          <w:rFonts w:ascii="Times New Roman" w:hAnsi="Times New Roman" w:cs="Times New Roman"/>
          <w:szCs w:val="21"/>
        </w:rPr>
        <w:t xml:space="preserve"> model, we first called the “</w:t>
      </w:r>
      <w:proofErr w:type="spellStart"/>
      <w:r w:rsidRPr="00FB7CCF">
        <w:rPr>
          <w:rFonts w:ascii="Times New Roman" w:hAnsi="Times New Roman" w:cs="Times New Roman"/>
          <w:szCs w:val="21"/>
        </w:rPr>
        <w:t>optimCoxBoostPenalty</w:t>
      </w:r>
      <w:proofErr w:type="spellEnd"/>
      <w:r w:rsidRPr="00FB7CCF">
        <w:rPr>
          <w:rFonts w:ascii="Times New Roman" w:hAnsi="Times New Roman" w:cs="Times New Roman"/>
          <w:szCs w:val="21"/>
        </w:rPr>
        <w:t xml:space="preserve">” function to determine the optimal penalty (shrinkage) value. We then combined this with cross-validation to perform 10-fold cross-validation on the </w:t>
      </w:r>
      <w:proofErr w:type="spellStart"/>
      <w:r w:rsidRPr="00FB7CCF">
        <w:rPr>
          <w:rFonts w:ascii="Times New Roman" w:hAnsi="Times New Roman" w:cs="Times New Roman"/>
          <w:szCs w:val="21"/>
        </w:rPr>
        <w:t>CoxBoost</w:t>
      </w:r>
      <w:proofErr w:type="spellEnd"/>
      <w:r w:rsidRPr="00FB7CCF">
        <w:rPr>
          <w:rFonts w:ascii="Times New Roman" w:hAnsi="Times New Roman" w:cs="Times New Roman"/>
          <w:szCs w:val="21"/>
        </w:rPr>
        <w:t xml:space="preserve"> model to search for the best number of boosting steps. Finally, the “</w:t>
      </w:r>
      <w:proofErr w:type="spellStart"/>
      <w:r w:rsidRPr="00FB7CCF">
        <w:rPr>
          <w:rFonts w:ascii="Times New Roman" w:hAnsi="Times New Roman" w:cs="Times New Roman"/>
          <w:szCs w:val="21"/>
        </w:rPr>
        <w:t>CoxBoost</w:t>
      </w:r>
      <w:proofErr w:type="spellEnd"/>
      <w:r w:rsidRPr="00FB7CCF">
        <w:rPr>
          <w:rFonts w:ascii="Times New Roman" w:hAnsi="Times New Roman" w:cs="Times New Roman"/>
          <w:szCs w:val="21"/>
        </w:rPr>
        <w:t xml:space="preserve">” function was used to fit the model. The stepwise cox analysis was performed using the survival package, and the complexity of the statistical model was evaluated based on the Akaike information criterion (AIC). We calculated all possible combinations for the direction parameter, including “both,” “backward,” and “forward.” Lasso, Ridge, and Enet models were implemented using the </w:t>
      </w:r>
      <w:proofErr w:type="spellStart"/>
      <w:r w:rsidRPr="00FB7CCF">
        <w:rPr>
          <w:rFonts w:ascii="Times New Roman" w:hAnsi="Times New Roman" w:cs="Times New Roman"/>
          <w:szCs w:val="21"/>
        </w:rPr>
        <w:t>glmnet</w:t>
      </w:r>
      <w:proofErr w:type="spellEnd"/>
      <w:r w:rsidRPr="00FB7CCF">
        <w:rPr>
          <w:rFonts w:ascii="Times New Roman" w:hAnsi="Times New Roman" w:cs="Times New Roman"/>
          <w:szCs w:val="21"/>
        </w:rPr>
        <w:t xml:space="preserve"> package and the “</w:t>
      </w:r>
      <w:proofErr w:type="spellStart"/>
      <w:proofErr w:type="gramStart"/>
      <w:r w:rsidRPr="00FB7CCF">
        <w:rPr>
          <w:rFonts w:ascii="Times New Roman" w:hAnsi="Times New Roman" w:cs="Times New Roman"/>
          <w:szCs w:val="21"/>
        </w:rPr>
        <w:t>cv.glmnet</w:t>
      </w:r>
      <w:proofErr w:type="spellEnd"/>
      <w:proofErr w:type="gramEnd"/>
      <w:r w:rsidRPr="00FB7CCF">
        <w:rPr>
          <w:rFonts w:ascii="Times New Roman" w:hAnsi="Times New Roman" w:cs="Times New Roman"/>
          <w:szCs w:val="21"/>
        </w:rPr>
        <w:t>” function. The regularization parameter lambda was determined through 10-fold cross-validation, while the tradeoff parameter alpha was set between 0 and 1 (interval = 0.1). When alpha is equal to 1, Lasso is executed, while Ridge is executed when alpha is equal to 0. For other values of alpha, Enet is executed. The survival-SVM model was implemented using the “</w:t>
      </w:r>
      <w:proofErr w:type="spellStart"/>
      <w:r w:rsidRPr="00FB7CCF">
        <w:rPr>
          <w:rFonts w:ascii="Times New Roman" w:hAnsi="Times New Roman" w:cs="Times New Roman"/>
          <w:szCs w:val="21"/>
        </w:rPr>
        <w:t>survivalsvm</w:t>
      </w:r>
      <w:proofErr w:type="spellEnd"/>
      <w:r w:rsidRPr="00FB7CCF">
        <w:rPr>
          <w:rFonts w:ascii="Times New Roman" w:hAnsi="Times New Roman" w:cs="Times New Roman"/>
          <w:szCs w:val="21"/>
        </w:rPr>
        <w:t xml:space="preserve">” function from the </w:t>
      </w:r>
      <w:proofErr w:type="spellStart"/>
      <w:r w:rsidRPr="00FB7CCF">
        <w:rPr>
          <w:rFonts w:ascii="Times New Roman" w:hAnsi="Times New Roman" w:cs="Times New Roman"/>
          <w:szCs w:val="21"/>
        </w:rPr>
        <w:t>survivalsvm</w:t>
      </w:r>
      <w:proofErr w:type="spellEnd"/>
      <w:r w:rsidRPr="00FB7CCF">
        <w:rPr>
          <w:rFonts w:ascii="Times New Roman" w:hAnsi="Times New Roman" w:cs="Times New Roman"/>
          <w:szCs w:val="21"/>
        </w:rPr>
        <w:t xml:space="preserve"> package, which employs support vector analysis on datasets with survival outcomes. The GBM model was implemented using the </w:t>
      </w:r>
      <w:proofErr w:type="spellStart"/>
      <w:r w:rsidRPr="00FB7CCF">
        <w:rPr>
          <w:rFonts w:ascii="Times New Roman" w:hAnsi="Times New Roman" w:cs="Times New Roman"/>
          <w:szCs w:val="21"/>
        </w:rPr>
        <w:t>gbm</w:t>
      </w:r>
      <w:proofErr w:type="spellEnd"/>
      <w:r w:rsidRPr="00FB7CCF">
        <w:rPr>
          <w:rFonts w:ascii="Times New Roman" w:hAnsi="Times New Roman" w:cs="Times New Roman"/>
          <w:szCs w:val="21"/>
        </w:rPr>
        <w:t xml:space="preserve"> package. The “</w:t>
      </w:r>
      <w:proofErr w:type="spellStart"/>
      <w:r w:rsidRPr="00FB7CCF">
        <w:rPr>
          <w:rFonts w:ascii="Times New Roman" w:hAnsi="Times New Roman" w:cs="Times New Roman"/>
          <w:szCs w:val="21"/>
        </w:rPr>
        <w:t>gbm</w:t>
      </w:r>
      <w:proofErr w:type="spellEnd"/>
      <w:r w:rsidRPr="00FB7CCF">
        <w:rPr>
          <w:rFonts w:ascii="Times New Roman" w:hAnsi="Times New Roman" w:cs="Times New Roman"/>
          <w:szCs w:val="21"/>
        </w:rPr>
        <w:t xml:space="preserve">” function was used with 10-fold cross-validation to fit a GBM. The </w:t>
      </w:r>
      <w:proofErr w:type="spellStart"/>
      <w:r w:rsidRPr="00FB7CCF">
        <w:rPr>
          <w:rFonts w:ascii="Times New Roman" w:hAnsi="Times New Roman" w:cs="Times New Roman"/>
          <w:szCs w:val="21"/>
        </w:rPr>
        <w:t>SuperPC</w:t>
      </w:r>
      <w:proofErr w:type="spellEnd"/>
      <w:r w:rsidRPr="00FB7CCF">
        <w:rPr>
          <w:rFonts w:ascii="Times New Roman" w:hAnsi="Times New Roman" w:cs="Times New Roman"/>
          <w:szCs w:val="21"/>
        </w:rPr>
        <w:t xml:space="preserve"> model was implemented using the </w:t>
      </w:r>
      <w:proofErr w:type="spellStart"/>
      <w:r w:rsidRPr="00FB7CCF">
        <w:rPr>
          <w:rFonts w:ascii="Times New Roman" w:hAnsi="Times New Roman" w:cs="Times New Roman"/>
          <w:szCs w:val="21"/>
        </w:rPr>
        <w:t>superpc</w:t>
      </w:r>
      <w:proofErr w:type="spellEnd"/>
      <w:r w:rsidRPr="00FB7CCF">
        <w:rPr>
          <w:rFonts w:ascii="Times New Roman" w:hAnsi="Times New Roman" w:cs="Times New Roman"/>
          <w:szCs w:val="21"/>
        </w:rPr>
        <w:t xml:space="preserve"> package, which is an extension of PCA. The “superpc.cv” function was also used with 10-fold cross-validation. For the </w:t>
      </w:r>
      <w:proofErr w:type="spellStart"/>
      <w:r w:rsidRPr="00FB7CCF">
        <w:rPr>
          <w:rFonts w:ascii="Times New Roman" w:hAnsi="Times New Roman" w:cs="Times New Roman"/>
          <w:szCs w:val="21"/>
        </w:rPr>
        <w:t>plsRcox</w:t>
      </w:r>
      <w:proofErr w:type="spellEnd"/>
      <w:r w:rsidRPr="00FB7CCF">
        <w:rPr>
          <w:rFonts w:ascii="Times New Roman" w:hAnsi="Times New Roman" w:cs="Times New Roman"/>
          <w:szCs w:val="21"/>
        </w:rPr>
        <w:t xml:space="preserve"> model, the “</w:t>
      </w:r>
      <w:proofErr w:type="spellStart"/>
      <w:proofErr w:type="gramStart"/>
      <w:r w:rsidRPr="00FB7CCF">
        <w:rPr>
          <w:rFonts w:ascii="Times New Roman" w:hAnsi="Times New Roman" w:cs="Times New Roman"/>
          <w:szCs w:val="21"/>
        </w:rPr>
        <w:t>cv.plsRcox</w:t>
      </w:r>
      <w:proofErr w:type="spellEnd"/>
      <w:proofErr w:type="gramEnd"/>
      <w:r w:rsidRPr="00FB7CCF">
        <w:rPr>
          <w:rFonts w:ascii="Times New Roman" w:hAnsi="Times New Roman" w:cs="Times New Roman"/>
          <w:szCs w:val="21"/>
        </w:rPr>
        <w:t xml:space="preserve">” function of the </w:t>
      </w:r>
      <w:proofErr w:type="spellStart"/>
      <w:r w:rsidRPr="00FB7CCF">
        <w:rPr>
          <w:rFonts w:ascii="Times New Roman" w:hAnsi="Times New Roman" w:cs="Times New Roman"/>
          <w:szCs w:val="21"/>
        </w:rPr>
        <w:t>plsRcox</w:t>
      </w:r>
      <w:proofErr w:type="spellEnd"/>
      <w:r w:rsidRPr="00FB7CCF">
        <w:rPr>
          <w:rFonts w:ascii="Times New Roman" w:hAnsi="Times New Roman" w:cs="Times New Roman"/>
          <w:szCs w:val="21"/>
        </w:rPr>
        <w:t xml:space="preserve"> package was used. For the RSF model, we utilized the </w:t>
      </w:r>
      <w:proofErr w:type="spellStart"/>
      <w:r w:rsidRPr="00FB7CCF">
        <w:rPr>
          <w:rFonts w:ascii="Times New Roman" w:hAnsi="Times New Roman" w:cs="Times New Roman"/>
          <w:szCs w:val="21"/>
        </w:rPr>
        <w:t>randomForestSRC</w:t>
      </w:r>
      <w:proofErr w:type="spellEnd"/>
      <w:r w:rsidRPr="00FB7CCF">
        <w:rPr>
          <w:rFonts w:ascii="Times New Roman" w:hAnsi="Times New Roman" w:cs="Times New Roman"/>
          <w:szCs w:val="21"/>
        </w:rPr>
        <w:t xml:space="preserve"> package and used the “</w:t>
      </w:r>
      <w:proofErr w:type="spellStart"/>
      <w:r w:rsidRPr="00FB7CCF">
        <w:rPr>
          <w:rFonts w:ascii="Times New Roman" w:hAnsi="Times New Roman" w:cs="Times New Roman"/>
          <w:szCs w:val="21"/>
        </w:rPr>
        <w:t>rfsrc</w:t>
      </w:r>
      <w:proofErr w:type="spellEnd"/>
      <w:r w:rsidRPr="00FB7CCF">
        <w:rPr>
          <w:rFonts w:ascii="Times New Roman" w:hAnsi="Times New Roman" w:cs="Times New Roman"/>
          <w:szCs w:val="21"/>
        </w:rPr>
        <w:t>” function with two important parameters: “</w:t>
      </w:r>
      <w:proofErr w:type="spellStart"/>
      <w:r w:rsidRPr="00FB7CCF">
        <w:rPr>
          <w:rFonts w:ascii="Times New Roman" w:hAnsi="Times New Roman" w:cs="Times New Roman"/>
          <w:szCs w:val="21"/>
        </w:rPr>
        <w:t>ntree</w:t>
      </w:r>
      <w:proofErr w:type="spellEnd"/>
      <w:r w:rsidRPr="00FB7CCF">
        <w:rPr>
          <w:rFonts w:ascii="Times New Roman" w:hAnsi="Times New Roman" w:cs="Times New Roman"/>
          <w:szCs w:val="21"/>
        </w:rPr>
        <w:t>” and “</w:t>
      </w:r>
      <w:proofErr w:type="spellStart"/>
      <w:r w:rsidRPr="00FB7CCF">
        <w:rPr>
          <w:rFonts w:ascii="Times New Roman" w:hAnsi="Times New Roman" w:cs="Times New Roman"/>
          <w:szCs w:val="21"/>
        </w:rPr>
        <w:t>nodesize</w:t>
      </w:r>
      <w:proofErr w:type="spellEnd"/>
      <w:r w:rsidRPr="00FB7CCF">
        <w:rPr>
          <w:rFonts w:ascii="Times New Roman" w:hAnsi="Times New Roman" w:cs="Times New Roman"/>
          <w:szCs w:val="21"/>
        </w:rPr>
        <w:t>.” The parameter “</w:t>
      </w:r>
      <w:proofErr w:type="spellStart"/>
      <w:r w:rsidRPr="00FB7CCF">
        <w:rPr>
          <w:rFonts w:ascii="Times New Roman" w:hAnsi="Times New Roman" w:cs="Times New Roman"/>
          <w:szCs w:val="21"/>
        </w:rPr>
        <w:t>ntree</w:t>
      </w:r>
      <w:proofErr w:type="spellEnd"/>
      <w:r w:rsidRPr="00FB7CCF">
        <w:rPr>
          <w:rFonts w:ascii="Times New Roman" w:hAnsi="Times New Roman" w:cs="Times New Roman"/>
          <w:szCs w:val="21"/>
        </w:rPr>
        <w:t>” represents the number of trees in the random forest, while “</w:t>
      </w:r>
      <w:proofErr w:type="spellStart"/>
      <w:r w:rsidRPr="00FB7CCF">
        <w:rPr>
          <w:rFonts w:ascii="Times New Roman" w:hAnsi="Times New Roman" w:cs="Times New Roman"/>
          <w:szCs w:val="21"/>
        </w:rPr>
        <w:t>nodesize</w:t>
      </w:r>
      <w:proofErr w:type="spellEnd"/>
      <w:r w:rsidRPr="00FB7CCF">
        <w:rPr>
          <w:rFonts w:ascii="Times New Roman" w:hAnsi="Times New Roman" w:cs="Times New Roman"/>
          <w:szCs w:val="21"/>
        </w:rPr>
        <w:t>” represents the minimum size of the terminal nodes. In this study, we set “</w:t>
      </w:r>
      <w:proofErr w:type="spellStart"/>
      <w:r w:rsidRPr="00FB7CCF">
        <w:rPr>
          <w:rFonts w:ascii="Times New Roman" w:hAnsi="Times New Roman" w:cs="Times New Roman"/>
          <w:szCs w:val="21"/>
        </w:rPr>
        <w:t>ntree</w:t>
      </w:r>
      <w:proofErr w:type="spellEnd"/>
      <w:r w:rsidRPr="00FB7CCF">
        <w:rPr>
          <w:rFonts w:ascii="Times New Roman" w:hAnsi="Times New Roman" w:cs="Times New Roman"/>
          <w:szCs w:val="21"/>
        </w:rPr>
        <w:t>” to 1,000 and “</w:t>
      </w:r>
      <w:proofErr w:type="spellStart"/>
      <w:r w:rsidRPr="00FB7CCF">
        <w:rPr>
          <w:rFonts w:ascii="Times New Roman" w:hAnsi="Times New Roman" w:cs="Times New Roman"/>
          <w:szCs w:val="21"/>
        </w:rPr>
        <w:t>nodesize</w:t>
      </w:r>
      <w:proofErr w:type="spellEnd"/>
      <w:r w:rsidRPr="00FB7CCF">
        <w:rPr>
          <w:rFonts w:ascii="Times New Roman" w:hAnsi="Times New Roman" w:cs="Times New Roman"/>
          <w:szCs w:val="21"/>
        </w:rPr>
        <w:t>” to 5.</w:t>
      </w:r>
    </w:p>
    <w:p w14:paraId="01036622" w14:textId="77777777" w:rsidR="0056660D" w:rsidRPr="00FB7CCF" w:rsidRDefault="0056660D" w:rsidP="0056660D">
      <w:pPr>
        <w:spacing w:line="360" w:lineRule="auto"/>
        <w:rPr>
          <w:rFonts w:ascii="Times New Roman" w:hAnsi="Times New Roman" w:cs="Times New Roman"/>
          <w:szCs w:val="21"/>
        </w:rPr>
      </w:pPr>
    </w:p>
    <w:p w14:paraId="779C6169" w14:textId="77777777" w:rsidR="007F0A22" w:rsidRPr="0056660D" w:rsidRDefault="007F0A22" w:rsidP="0056660D">
      <w:pPr>
        <w:rPr>
          <w:rFonts w:hint="eastAsia"/>
        </w:rPr>
      </w:pPr>
    </w:p>
    <w:sectPr w:rsidR="007F0A22" w:rsidRPr="0056660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854"/>
    <w:rsid w:val="001D7854"/>
    <w:rsid w:val="002265EB"/>
    <w:rsid w:val="003966CE"/>
    <w:rsid w:val="00433918"/>
    <w:rsid w:val="0056660D"/>
    <w:rsid w:val="0072133A"/>
    <w:rsid w:val="007F0A22"/>
    <w:rsid w:val="00853ED3"/>
    <w:rsid w:val="00C15036"/>
    <w:rsid w:val="00C63477"/>
    <w:rsid w:val="00FF7851"/>
    <w:rsid w:val="20CE3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A8362"/>
  <w15:docId w15:val="{CAFAF108-C0FB-417F-B181-D2679C3E0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1704</Characters>
  <Application>Microsoft Office Word</Application>
  <DocSecurity>0</DocSecurity>
  <Lines>22</Lines>
  <Paragraphs>2</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李祖炜 Dr</dc:creator>
  <cp:lastModifiedBy>李祖炜 Dr</cp:lastModifiedBy>
  <cp:revision>4</cp:revision>
  <dcterms:created xsi:type="dcterms:W3CDTF">2025-02-01T07:48:00Z</dcterms:created>
  <dcterms:modified xsi:type="dcterms:W3CDTF">2025-09-19T14:13:00Z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eyJoZGlkIjoiOWYzZmRlMjlmYWMzZjFkOGQ3N2JhOWEzMDRkODg1NTEiLCJ1c2VySWQiOiI3OTc5OTM4NjgifQ==</vt:lpwstr>
  </property>
  <property fmtid="{D5CDD505-2E9C-101B-9397-08002B2CF9AE}" pid="3" name="KSOProductBuildVer">
    <vt:lpwstr>2052-12.1.0.19770</vt:lpwstr>
  </property>
  <property fmtid="{D5CDD505-2E9C-101B-9397-08002B2CF9AE}" pid="4" name="ICV">
    <vt:lpwstr>E81C3B71C7274EF6BD0A595A0614B162_12</vt:lpwstr>
  </property>
</Properties>
</file>