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42" w:type="dxa"/>
        <w:tblInd w:w="-9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770"/>
        <w:gridCol w:w="1875"/>
        <w:gridCol w:w="1530"/>
        <w:gridCol w:w="2997"/>
        <w:gridCol w:w="2262"/>
      </w:tblGrid>
      <w:tr w14:paraId="6D719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500" w:hRule="atLeast"/>
        </w:trPr>
        <w:tc>
          <w:tcPr>
            <w:tcW w:w="8280" w:type="dxa"/>
            <w:gridSpan w:val="5"/>
            <w:shd w:val="clear" w:color="auto" w:fill="FFFFFF"/>
            <w:noWrap/>
            <w:vAlign w:val="bottom"/>
          </w:tcPr>
          <w:p w14:paraId="09910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-14" w:right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Supplementary Table 2: Interaction analysis of LV underfilling with established prognostic markers in PAH.</w:t>
            </w:r>
          </w:p>
        </w:tc>
      </w:tr>
      <w:tr w14:paraId="51534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45" w:hRule="atLeast"/>
        </w:trPr>
        <w:tc>
          <w:tcPr>
            <w:tcW w:w="177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D9D9D9"/>
            <w:vAlign w:val="center"/>
          </w:tcPr>
          <w:p w14:paraId="1F345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Prognostic Marker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D9D9D9"/>
            <w:vAlign w:val="center"/>
          </w:tcPr>
          <w:p w14:paraId="01AB2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Interaction Term 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D9D9D9"/>
            <w:vAlign w:val="center"/>
          </w:tcPr>
          <w:p w14:paraId="77F56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p-value for interaction</w:t>
            </w: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D9D9D9"/>
            <w:vAlign w:val="center"/>
          </w:tcPr>
          <w:p w14:paraId="18E4A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HR for LV underfilling (subgroup 1)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D9D9D9"/>
            <w:vAlign w:val="center"/>
          </w:tcPr>
          <w:p w14:paraId="5792E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HR for LV underfilling (subgroup 2)</w:t>
            </w:r>
          </w:p>
        </w:tc>
      </w:tr>
      <w:tr w14:paraId="4BD7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780" w:hRule="atLeast"/>
        </w:trPr>
        <w:tc>
          <w:tcPr>
            <w:tcW w:w="1770" w:type="dxa"/>
            <w:shd w:val="clear" w:color="auto" w:fill="FFFFFF"/>
            <w:vAlign w:val="center"/>
          </w:tcPr>
          <w:p w14:paraId="5151E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WHO-FC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01E4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LV underfilling × WHO-FC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D5AC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5C0BE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0.64 (WHOFC-III)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9390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3.94 (WHOFC-IV)</w:t>
            </w:r>
          </w:p>
        </w:tc>
      </w:tr>
      <w:tr w14:paraId="1D14F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40" w:hRule="atLeast"/>
        </w:trPr>
        <w:tc>
          <w:tcPr>
            <w:tcW w:w="1770" w:type="dxa"/>
            <w:shd w:val="clear" w:color="auto" w:fill="F2F2F2"/>
            <w:noWrap/>
            <w:vAlign w:val="center"/>
          </w:tcPr>
          <w:p w14:paraId="7A2BF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TAPSE, mm</w:t>
            </w:r>
          </w:p>
        </w:tc>
        <w:tc>
          <w:tcPr>
            <w:tcW w:w="1875" w:type="dxa"/>
            <w:shd w:val="clear" w:color="auto" w:fill="F2F2F2"/>
            <w:vAlign w:val="center"/>
          </w:tcPr>
          <w:p w14:paraId="253BF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LV underfilling × TAPSE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296E6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997" w:type="dxa"/>
            <w:shd w:val="clear" w:color="auto" w:fill="F2F2F2"/>
            <w:vAlign w:val="center"/>
          </w:tcPr>
          <w:p w14:paraId="314A1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0.03 (TAPSE </w:t>
            </w:r>
            <w:r>
              <w:rPr>
                <w:rFonts w:hint="default" w:ascii="Arial" w:hAnsi="Arial" w:eastAsia="Times New Roman" w:cs="Arial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17</w:t>
            </w:r>
          </w:p>
        </w:tc>
        <w:tc>
          <w:tcPr>
            <w:tcW w:w="2261" w:type="dxa"/>
            <w:shd w:val="clear" w:color="auto" w:fill="F2F2F2"/>
            <w:vAlign w:val="center"/>
          </w:tcPr>
          <w:p w14:paraId="07E96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0.25 (TAPSE &lt; 17)</w:t>
            </w:r>
          </w:p>
        </w:tc>
      </w:tr>
      <w:tr w14:paraId="5CEF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40" w:hRule="atLeast"/>
        </w:trPr>
        <w:tc>
          <w:tcPr>
            <w:tcW w:w="1770" w:type="dxa"/>
            <w:shd w:val="clear" w:color="auto" w:fill="FFFFFF"/>
            <w:noWrap/>
            <w:vAlign w:val="center"/>
          </w:tcPr>
          <w:p w14:paraId="0A95D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PVR, Wood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FB04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LV underfilling × PVR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255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0.045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1AA67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17.5 (PVR-4-8, wood)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9DCC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2.69 (PVR &gt;8, wood)</w:t>
            </w:r>
          </w:p>
        </w:tc>
      </w:tr>
      <w:tr w14:paraId="121A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40" w:hRule="atLeast"/>
        </w:trPr>
        <w:tc>
          <w:tcPr>
            <w:tcW w:w="1770" w:type="dxa"/>
            <w:shd w:val="clear" w:color="auto" w:fill="F2F2F2"/>
            <w:noWrap/>
            <w:vAlign w:val="center"/>
          </w:tcPr>
          <w:p w14:paraId="742FF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Ci L/min/m2</w:t>
            </w:r>
          </w:p>
        </w:tc>
        <w:tc>
          <w:tcPr>
            <w:tcW w:w="1875" w:type="dxa"/>
            <w:shd w:val="clear" w:color="auto" w:fill="F2F2F2"/>
            <w:vAlign w:val="center"/>
          </w:tcPr>
          <w:p w14:paraId="42F28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LV underfilling × CI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09D7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0.427</w:t>
            </w:r>
          </w:p>
        </w:tc>
        <w:tc>
          <w:tcPr>
            <w:tcW w:w="2997" w:type="dxa"/>
            <w:shd w:val="clear" w:color="auto" w:fill="F2F2F2"/>
            <w:vAlign w:val="center"/>
          </w:tcPr>
          <w:p w14:paraId="1BA49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6.69 (CI &gt;2.5, L/min/m2)</w:t>
            </w:r>
          </w:p>
        </w:tc>
        <w:tc>
          <w:tcPr>
            <w:tcW w:w="2261" w:type="dxa"/>
            <w:shd w:val="clear" w:color="auto" w:fill="F2F2F2"/>
            <w:vAlign w:val="center"/>
          </w:tcPr>
          <w:p w14:paraId="78B58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3.42 (CI &lt;2.5, L/min/m2)</w:t>
            </w:r>
          </w:p>
        </w:tc>
      </w:tr>
      <w:tr w14:paraId="011B7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45" w:hRule="atLeast"/>
        </w:trPr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559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log(NTproBNP, pg/ml)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831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LV underfilling × log (NTproBNP )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EE0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29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39DD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Style w:val="4"/>
                <w:rFonts w:eastAsia="Batang"/>
                <w:kern w:val="2"/>
                <w:bdr w:val="none" w:color="auto" w:sz="0" w:space="0"/>
                <w:lang w:val="en-US" w:eastAsia="zh-CN" w:bidi="ar"/>
              </w:rPr>
              <w:t xml:space="preserve">1.65 (NTproBNP </w:t>
            </w:r>
            <w:r>
              <w:rPr>
                <w:rStyle w:val="5"/>
                <w:rFonts w:eastAsia="Batang"/>
                <w:kern w:val="2"/>
                <w:bdr w:val="none" w:color="auto" w:sz="0" w:space="0"/>
                <w:lang w:val="en-US" w:eastAsia="zh-CN" w:bidi="ar"/>
              </w:rPr>
              <w:t>≤</w:t>
            </w:r>
            <w:r>
              <w:rPr>
                <w:rStyle w:val="4"/>
                <w:rFonts w:eastAsia="Batang"/>
                <w:kern w:val="2"/>
                <w:bdr w:val="none" w:color="auto" w:sz="0" w:space="0"/>
                <w:lang w:val="en-US" w:eastAsia="zh-CN" w:bidi="ar"/>
              </w:rPr>
              <w:t>1100 pg/ml)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9AD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kern w:val="0"/>
                <w:bdr w:val="none" w:color="auto" w:sz="0" w:space="0"/>
              </w:rPr>
            </w:pPr>
            <w:r>
              <w:rPr>
                <w:rFonts w:hint="default" w:ascii="Times New Roman" w:hAnsi="Times New Roman" w:eastAsia="Batang" w:cs="Times New Roman"/>
                <w:color w:val="auto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2.84 (NTproBNP &gt;1100 pg/ml)</w:t>
            </w:r>
          </w:p>
        </w:tc>
      </w:tr>
      <w:tr w14:paraId="09988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00" w:hRule="atLeast"/>
        </w:trPr>
        <w:tc>
          <w:tcPr>
            <w:tcW w:w="10434" w:type="dxa"/>
            <w:gridSpan w:val="5"/>
            <w:shd w:val="clear" w:color="auto" w:fill="FFFFFF"/>
            <w:vAlign w:val="top"/>
          </w:tcPr>
          <w:p w14:paraId="35159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eastAsia="Times New Roman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CI: cardiac Index; LV: left ventricle; PVR: pulmonary vascular resistance; TAPSE: tricuspid annular plane systolic excursion; WHOFC: World Health Organization functional class. </w:t>
            </w:r>
          </w:p>
          <w:p w14:paraId="656AD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eastAsia="Times New Roman"/>
                <w:kern w:val="0"/>
                <w:sz w:val="22"/>
                <w:szCs w:val="22"/>
                <w:bdr w:val="none" w:color="auto" w:sz="0" w:space="0"/>
              </w:rPr>
            </w:pPr>
          </w:p>
        </w:tc>
      </w:tr>
    </w:tbl>
    <w:p w14:paraId="00A9F57C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lang w:val="en-US"/>
        </w:rPr>
      </w:pPr>
    </w:p>
    <w:p w14:paraId="1EB5B740"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Batang">
    <w:altName w:val="Malgun Gothic"/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F1A7B"/>
    <w:rsid w:val="181C2A9C"/>
    <w:rsid w:val="476F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21"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2025-05-16T09:58:00Z</dcterms:created>
  <dc:creator>Ashfaq Ahmad</dc:creator>
  <cp:lastModifiedBy>Ashfaq Ahmad</cp:lastModifiedBy>
  <dcterms:modified xsi:type="dcterms:W3CDTF">2025-05-16T10:02:37Z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C9E198749D204CE38A4BA8F6716E7D3D_13</vt:lpwstr>
  </property>
</Properties>
</file>