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BA6EB6" w14:textId="77777777" w:rsidR="00F135CB" w:rsidRPr="00F135CB" w:rsidRDefault="00F135CB" w:rsidP="00F135CB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35CB">
        <w:rPr>
          <w:rFonts w:ascii="Times New Roman" w:hAnsi="Times New Roman" w:cs="Times New Roman"/>
          <w:b/>
          <w:i/>
          <w:sz w:val="24"/>
          <w:szCs w:val="24"/>
        </w:rPr>
        <w:t xml:space="preserve">Supplementary </w:t>
      </w:r>
      <w:r w:rsidR="00F854D5" w:rsidRPr="00F854D5">
        <w:rPr>
          <w:rFonts w:ascii="Times New Roman" w:hAnsi="Times New Roman" w:cs="Times New Roman"/>
          <w:b/>
          <w:i/>
          <w:sz w:val="24"/>
          <w:szCs w:val="24"/>
        </w:rPr>
        <w:t>Discussion</w:t>
      </w:r>
    </w:p>
    <w:p w14:paraId="52363307" w14:textId="77777777" w:rsidR="00F135CB" w:rsidRPr="00F135CB" w:rsidRDefault="00F135CB" w:rsidP="00F135CB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35CB">
        <w:rPr>
          <w:rFonts w:ascii="Times New Roman" w:hAnsi="Times New Roman" w:cs="Times New Roman"/>
          <w:b/>
          <w:i/>
          <w:sz w:val="24"/>
          <w:szCs w:val="24"/>
        </w:rPr>
        <w:t xml:space="preserve"> for</w:t>
      </w:r>
    </w:p>
    <w:p w14:paraId="04507794" w14:textId="77777777" w:rsidR="00F135CB" w:rsidRPr="00F135CB" w:rsidRDefault="00F135CB" w:rsidP="00F135C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135CB">
        <w:rPr>
          <w:rFonts w:ascii="Times New Roman" w:hAnsi="Times New Roman" w:cs="Times New Roman"/>
          <w:b/>
          <w:sz w:val="24"/>
          <w:szCs w:val="24"/>
          <w:lang w:val="en-US"/>
        </w:rPr>
        <w:t>Investigating Microstructural and Mechanical Properties Evolution in Biomedical AZ31 Magnesium Alloy under Different Casting Conditions</w:t>
      </w:r>
    </w:p>
    <w:p w14:paraId="1E0808B0" w14:textId="77777777" w:rsidR="00F135CB" w:rsidRDefault="00F135CB" w:rsidP="00F135C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54209F3" w14:textId="77777777" w:rsidR="00F135CB" w:rsidRPr="00F135CB" w:rsidRDefault="00F135CB" w:rsidP="00F135C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135CB">
        <w:rPr>
          <w:rFonts w:ascii="Times New Roman" w:hAnsi="Times New Roman" w:cs="Times New Roman"/>
          <w:sz w:val="24"/>
          <w:szCs w:val="24"/>
          <w:lang w:val="en-US"/>
        </w:rPr>
        <w:t>Gunvanta</w:t>
      </w:r>
      <w:proofErr w:type="spellEnd"/>
      <w:r w:rsidRPr="00F135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35CB">
        <w:rPr>
          <w:rFonts w:ascii="Times New Roman" w:hAnsi="Times New Roman" w:cs="Times New Roman"/>
          <w:sz w:val="24"/>
          <w:szCs w:val="24"/>
          <w:lang w:val="en-US"/>
        </w:rPr>
        <w:t>Dhanuskar</w:t>
      </w:r>
      <w:proofErr w:type="spellEnd"/>
      <w:r w:rsidRPr="00F135C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F135CB">
        <w:rPr>
          <w:rFonts w:ascii="Times New Roman" w:hAnsi="Times New Roman" w:cs="Times New Roman"/>
          <w:b/>
          <w:sz w:val="24"/>
          <w:szCs w:val="24"/>
          <w:vertAlign w:val="superscript"/>
          <w:lang w:val="en-US"/>
        </w:rPr>
        <w:t>a</w:t>
      </w:r>
      <w:r w:rsidRPr="00F135C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F135CB">
        <w:rPr>
          <w:rFonts w:ascii="Times New Roman" w:hAnsi="Times New Roman" w:cs="Times New Roman"/>
          <w:sz w:val="24"/>
          <w:szCs w:val="24"/>
          <w:lang w:val="en-US"/>
        </w:rPr>
        <w:t>Abhaykumar</w:t>
      </w:r>
      <w:proofErr w:type="spellEnd"/>
      <w:r w:rsidRPr="00F135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35CB">
        <w:rPr>
          <w:rFonts w:ascii="Times New Roman" w:hAnsi="Times New Roman" w:cs="Times New Roman"/>
          <w:sz w:val="24"/>
          <w:szCs w:val="24"/>
          <w:lang w:val="en-US"/>
        </w:rPr>
        <w:t>Kuthe</w:t>
      </w:r>
      <w:proofErr w:type="spellEnd"/>
      <w:r w:rsidRPr="00F135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35CB">
        <w:rPr>
          <w:rFonts w:ascii="Times New Roman" w:hAnsi="Times New Roman" w:cs="Times New Roman"/>
          <w:b/>
          <w:sz w:val="24"/>
          <w:szCs w:val="24"/>
          <w:vertAlign w:val="superscript"/>
          <w:lang w:val="en-US"/>
        </w:rPr>
        <w:t>a</w:t>
      </w:r>
      <w:r w:rsidRPr="00F135CB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r w:rsidRPr="00F135CB">
        <w:rPr>
          <w:rFonts w:ascii="Times New Roman" w:hAnsi="Times New Roman" w:cs="Times New Roman"/>
          <w:sz w:val="24"/>
          <w:szCs w:val="24"/>
          <w:lang w:val="en-US"/>
        </w:rPr>
        <w:t xml:space="preserve">Dheeraj </w:t>
      </w:r>
      <w:proofErr w:type="spellStart"/>
      <w:r w:rsidRPr="00F135CB">
        <w:rPr>
          <w:rFonts w:ascii="Times New Roman" w:hAnsi="Times New Roman" w:cs="Times New Roman"/>
          <w:sz w:val="24"/>
          <w:szCs w:val="24"/>
          <w:lang w:val="en-US"/>
        </w:rPr>
        <w:t>Bhiogade</w:t>
      </w:r>
      <w:proofErr w:type="spellEnd"/>
      <w:r w:rsidRPr="00F135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35CB">
        <w:rPr>
          <w:rFonts w:ascii="Times New Roman" w:hAnsi="Times New Roman" w:cs="Times New Roman"/>
          <w:b/>
          <w:sz w:val="24"/>
          <w:szCs w:val="24"/>
          <w:vertAlign w:val="superscript"/>
          <w:lang w:val="en-US"/>
        </w:rPr>
        <w:t>a</w:t>
      </w:r>
      <w:r w:rsidRPr="00F135CB">
        <w:rPr>
          <w:rFonts w:ascii="Times New Roman" w:hAnsi="Times New Roman" w:cs="Times New Roman"/>
          <w:sz w:val="24"/>
          <w:szCs w:val="24"/>
          <w:lang w:val="en-US"/>
        </w:rPr>
        <w:t xml:space="preserve">, Bhupesh </w:t>
      </w:r>
      <w:proofErr w:type="spellStart"/>
      <w:r w:rsidRPr="00F135CB">
        <w:rPr>
          <w:rFonts w:ascii="Times New Roman" w:hAnsi="Times New Roman" w:cs="Times New Roman"/>
          <w:sz w:val="24"/>
          <w:szCs w:val="24"/>
          <w:lang w:val="en-US"/>
        </w:rPr>
        <w:t>Sarode</w:t>
      </w:r>
      <w:proofErr w:type="spellEnd"/>
      <w:r w:rsidRPr="00F135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35CB">
        <w:rPr>
          <w:rFonts w:ascii="Times New Roman" w:hAnsi="Times New Roman" w:cs="Times New Roman"/>
          <w:b/>
          <w:sz w:val="24"/>
          <w:szCs w:val="24"/>
          <w:vertAlign w:val="superscript"/>
          <w:lang w:val="en-US"/>
        </w:rPr>
        <w:t>a</w:t>
      </w:r>
      <w:r>
        <w:rPr>
          <w:rFonts w:ascii="Times New Roman" w:hAnsi="Times New Roman" w:cs="Times New Roman"/>
          <w:b/>
          <w:sz w:val="24"/>
          <w:szCs w:val="24"/>
          <w:vertAlign w:val="superscript"/>
          <w:lang w:val="en-US"/>
        </w:rPr>
        <w:t>,</w:t>
      </w:r>
      <w:r w:rsidRPr="00F135CB">
        <w:rPr>
          <w:rFonts w:ascii="Times New Roman" w:hAnsi="Times New Roman" w:cs="Times New Roman"/>
          <w:sz w:val="24"/>
          <w:szCs w:val="24"/>
          <w:lang w:val="en-US"/>
        </w:rPr>
        <w:t xml:space="preserve"> and Ashutosh </w:t>
      </w:r>
      <w:proofErr w:type="spellStart"/>
      <w:r w:rsidRPr="00F135CB">
        <w:rPr>
          <w:rFonts w:ascii="Times New Roman" w:hAnsi="Times New Roman" w:cs="Times New Roman"/>
          <w:sz w:val="24"/>
          <w:szCs w:val="24"/>
          <w:lang w:val="en-US"/>
        </w:rPr>
        <w:t>Bagde</w:t>
      </w:r>
      <w:proofErr w:type="spellEnd"/>
      <w:r w:rsidRPr="00F135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F135CB">
        <w:rPr>
          <w:rFonts w:ascii="Times New Roman" w:hAnsi="Times New Roman" w:cs="Times New Roman"/>
          <w:b/>
          <w:sz w:val="24"/>
          <w:szCs w:val="24"/>
          <w:vertAlign w:val="superscript"/>
          <w:lang w:val="en-US"/>
        </w:rPr>
        <w:t>b,*</w:t>
      </w:r>
      <w:proofErr w:type="gramEnd"/>
    </w:p>
    <w:p w14:paraId="41848A17" w14:textId="77777777" w:rsidR="00F135CB" w:rsidRPr="00F135CB" w:rsidRDefault="00F135CB" w:rsidP="00F135C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135CB">
        <w:rPr>
          <w:rFonts w:ascii="Times New Roman" w:hAnsi="Times New Roman" w:cs="Times New Roman"/>
          <w:b/>
          <w:sz w:val="24"/>
          <w:szCs w:val="24"/>
          <w:vertAlign w:val="superscript"/>
          <w:lang w:val="en-US"/>
        </w:rPr>
        <w:t>a</w:t>
      </w:r>
      <w:r w:rsidRPr="00F135C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F135CB">
        <w:rPr>
          <w:rFonts w:ascii="Times New Roman" w:hAnsi="Times New Roman" w:cs="Times New Roman"/>
          <w:sz w:val="24"/>
          <w:szCs w:val="24"/>
          <w:lang w:val="en-US"/>
        </w:rPr>
        <w:t>Visvesvaraya National Institute of Technology, Nagpur, Maharashtra, 440010, India</w:t>
      </w:r>
    </w:p>
    <w:p w14:paraId="14B273E4" w14:textId="77777777" w:rsidR="00F135CB" w:rsidRPr="00F135CB" w:rsidRDefault="00F135CB" w:rsidP="00F135C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F135CB">
        <w:rPr>
          <w:rFonts w:ascii="Times New Roman" w:hAnsi="Times New Roman" w:cs="Times New Roman"/>
          <w:b/>
          <w:sz w:val="24"/>
          <w:szCs w:val="24"/>
          <w:vertAlign w:val="superscript"/>
          <w:lang w:val="en-US"/>
        </w:rPr>
        <w:t>b</w:t>
      </w:r>
      <w:r w:rsidRPr="00F135C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F135CB">
        <w:rPr>
          <w:rFonts w:ascii="Times New Roman" w:hAnsi="Times New Roman" w:cs="Times New Roman"/>
          <w:sz w:val="24"/>
          <w:szCs w:val="24"/>
          <w:lang w:val="en-US"/>
        </w:rPr>
        <w:t xml:space="preserve">Datta </w:t>
      </w:r>
      <w:proofErr w:type="spellStart"/>
      <w:r w:rsidRPr="00F135CB">
        <w:rPr>
          <w:rFonts w:ascii="Times New Roman" w:hAnsi="Times New Roman" w:cs="Times New Roman"/>
          <w:sz w:val="24"/>
          <w:szCs w:val="24"/>
          <w:lang w:val="en-US"/>
        </w:rPr>
        <w:t>Meghe</w:t>
      </w:r>
      <w:proofErr w:type="spellEnd"/>
      <w:r w:rsidRPr="00F135CB">
        <w:rPr>
          <w:rFonts w:ascii="Times New Roman" w:hAnsi="Times New Roman" w:cs="Times New Roman"/>
          <w:sz w:val="24"/>
          <w:szCs w:val="24"/>
          <w:lang w:val="en-US"/>
        </w:rPr>
        <w:t xml:space="preserve"> Institute of Higher Education and Research, Wardha, Maharashtra, 442005, India.</w:t>
      </w:r>
    </w:p>
    <w:p w14:paraId="1D14BC02" w14:textId="77777777" w:rsidR="00F135CB" w:rsidRDefault="00F135CB" w:rsidP="00F135CB">
      <w:pPr>
        <w:rPr>
          <w:rFonts w:ascii="Times New Roman" w:hAnsi="Times New Roman" w:cs="Times New Roman"/>
          <w:b/>
          <w:sz w:val="24"/>
          <w:szCs w:val="24"/>
        </w:rPr>
      </w:pPr>
    </w:p>
    <w:p w14:paraId="3F7D6BD3" w14:textId="77777777" w:rsidR="001211A4" w:rsidRDefault="001211A4" w:rsidP="00F135CB">
      <w:pPr>
        <w:rPr>
          <w:rFonts w:ascii="Times New Roman" w:hAnsi="Times New Roman" w:cs="Times New Roman"/>
          <w:b/>
          <w:sz w:val="24"/>
          <w:szCs w:val="24"/>
        </w:rPr>
      </w:pPr>
      <w:r w:rsidRPr="001211A4">
        <w:rPr>
          <w:rFonts w:ascii="Times New Roman" w:hAnsi="Times New Roman" w:cs="Times New Roman"/>
          <w:b/>
          <w:sz w:val="24"/>
          <w:szCs w:val="24"/>
        </w:rPr>
        <w:t>Supplementary Discussion</w:t>
      </w:r>
    </w:p>
    <w:p w14:paraId="499E41FD" w14:textId="77777777" w:rsidR="00F135CB" w:rsidRPr="00F135CB" w:rsidRDefault="00F135CB" w:rsidP="00F135CB">
      <w:pPr>
        <w:rPr>
          <w:rFonts w:ascii="Times New Roman" w:hAnsi="Times New Roman" w:cs="Times New Roman"/>
          <w:b/>
          <w:sz w:val="24"/>
          <w:szCs w:val="24"/>
        </w:rPr>
      </w:pPr>
      <w:r w:rsidRPr="00F135CB">
        <w:rPr>
          <w:rFonts w:ascii="Times New Roman" w:hAnsi="Times New Roman" w:cs="Times New Roman"/>
          <w:b/>
          <w:sz w:val="24"/>
          <w:szCs w:val="24"/>
        </w:rPr>
        <w:t>S1. Materials</w:t>
      </w:r>
    </w:p>
    <w:p w14:paraId="57565390" w14:textId="77777777" w:rsidR="00DE657A" w:rsidRPr="0051553D" w:rsidRDefault="00DE657A" w:rsidP="00DE657A">
      <w:pPr>
        <w:pStyle w:val="u-mb-24"/>
        <w:spacing w:line="360" w:lineRule="auto"/>
        <w:contextualSpacing/>
        <w:jc w:val="both"/>
        <w:rPr>
          <w:color w:val="222222"/>
          <w:spacing w:val="2"/>
          <w:sz w:val="20"/>
          <w:szCs w:val="20"/>
        </w:rPr>
      </w:pPr>
      <w:r w:rsidRPr="0051553D">
        <w:rPr>
          <w:b/>
          <w:color w:val="222222"/>
          <w:spacing w:val="2"/>
          <w:sz w:val="20"/>
          <w:szCs w:val="20"/>
        </w:rPr>
        <w:t>Fig. S1</w:t>
      </w:r>
      <w:r w:rsidRPr="0051553D">
        <w:rPr>
          <w:color w:val="222222"/>
          <w:spacing w:val="2"/>
          <w:sz w:val="20"/>
          <w:szCs w:val="20"/>
        </w:rPr>
        <w:t xml:space="preserve"> presents the X-ray diffraction (XRD) patterns of AZ31 magnesium alloy samples subjected to eight different experimental casting conditions (</w:t>
      </w:r>
      <w:r w:rsidRPr="0051553D">
        <w:rPr>
          <w:b/>
          <w:color w:val="222222"/>
          <w:spacing w:val="2"/>
          <w:sz w:val="20"/>
          <w:szCs w:val="20"/>
        </w:rPr>
        <w:t>Exp-1 to Exp-8</w:t>
      </w:r>
      <w:r w:rsidRPr="0051553D">
        <w:rPr>
          <w:color w:val="222222"/>
          <w:spacing w:val="2"/>
          <w:sz w:val="20"/>
          <w:szCs w:val="20"/>
        </w:rPr>
        <w:t xml:space="preserve">), highlighting the evolution of phase composition under varying furnace and atmospheric parameters. The observed diffraction peaks correspond to α-Mg, β-Mg₁₇Al₁₂, </w:t>
      </w:r>
      <w:proofErr w:type="spellStart"/>
      <w:r w:rsidRPr="0051553D">
        <w:rPr>
          <w:color w:val="222222"/>
          <w:spacing w:val="2"/>
          <w:sz w:val="20"/>
          <w:szCs w:val="20"/>
        </w:rPr>
        <w:t>Al₈Mn</w:t>
      </w:r>
      <w:proofErr w:type="spellEnd"/>
      <w:r w:rsidRPr="0051553D">
        <w:rPr>
          <w:color w:val="222222"/>
          <w:spacing w:val="2"/>
          <w:sz w:val="20"/>
          <w:szCs w:val="20"/>
        </w:rPr>
        <w:t xml:space="preserve">₅, and MgO (oxidation product). In </w:t>
      </w:r>
      <w:r w:rsidRPr="0051553D">
        <w:rPr>
          <w:b/>
          <w:color w:val="222222"/>
          <w:spacing w:val="2"/>
          <w:sz w:val="20"/>
          <w:szCs w:val="20"/>
        </w:rPr>
        <w:t>Exp-1 to Exp-4</w:t>
      </w:r>
      <w:r w:rsidRPr="0051553D">
        <w:rPr>
          <w:color w:val="222222"/>
          <w:spacing w:val="2"/>
          <w:sz w:val="20"/>
          <w:szCs w:val="20"/>
        </w:rPr>
        <w:t xml:space="preserve">, the dominant presence of MgO and diminished α-Mg and β-Mg₁₇Al₁₂ peaks indicates severe oxidation due to uncontrolled environments, with residues likely originating from surface-oxidized or partially sublimated metal. </w:t>
      </w:r>
      <w:r w:rsidRPr="0051553D">
        <w:rPr>
          <w:b/>
          <w:color w:val="222222"/>
          <w:spacing w:val="2"/>
          <w:sz w:val="20"/>
          <w:szCs w:val="20"/>
        </w:rPr>
        <w:t>Exp-5 to Exp-7</w:t>
      </w:r>
      <w:r w:rsidRPr="0051553D">
        <w:rPr>
          <w:color w:val="222222"/>
          <w:spacing w:val="2"/>
          <w:sz w:val="20"/>
          <w:szCs w:val="20"/>
        </w:rPr>
        <w:t xml:space="preserve"> show a gradual increase in β-Mg₁₇Al₁₂ and </w:t>
      </w:r>
      <w:proofErr w:type="spellStart"/>
      <w:r w:rsidRPr="0051553D">
        <w:rPr>
          <w:color w:val="222222"/>
          <w:spacing w:val="2"/>
          <w:sz w:val="20"/>
          <w:szCs w:val="20"/>
        </w:rPr>
        <w:t>Al₈Mn</w:t>
      </w:r>
      <w:proofErr w:type="spellEnd"/>
      <w:r w:rsidRPr="0051553D">
        <w:rPr>
          <w:color w:val="222222"/>
          <w:spacing w:val="2"/>
          <w:sz w:val="20"/>
          <w:szCs w:val="20"/>
        </w:rPr>
        <w:t xml:space="preserve">₅ peak intensities, corresponding to partially melted samples with incomplete phase development, corroborating the </w:t>
      </w:r>
      <w:proofErr w:type="spellStart"/>
      <w:r w:rsidRPr="0051553D">
        <w:rPr>
          <w:color w:val="222222"/>
          <w:spacing w:val="2"/>
          <w:sz w:val="20"/>
          <w:szCs w:val="20"/>
        </w:rPr>
        <w:t>macrographic</w:t>
      </w:r>
      <w:proofErr w:type="spellEnd"/>
      <w:r w:rsidRPr="0051553D">
        <w:rPr>
          <w:color w:val="222222"/>
          <w:spacing w:val="2"/>
          <w:sz w:val="20"/>
          <w:szCs w:val="20"/>
        </w:rPr>
        <w:t xml:space="preserve"> evidence in </w:t>
      </w:r>
      <w:r w:rsidRPr="0051553D">
        <w:rPr>
          <w:b/>
          <w:color w:val="222222"/>
          <w:spacing w:val="2"/>
          <w:sz w:val="20"/>
          <w:szCs w:val="20"/>
        </w:rPr>
        <w:t>Fig. 5(e–g</w:t>
      </w:r>
      <w:r w:rsidRPr="0051553D">
        <w:rPr>
          <w:color w:val="222222"/>
          <w:spacing w:val="2"/>
          <w:sz w:val="20"/>
          <w:szCs w:val="20"/>
        </w:rPr>
        <w:t xml:space="preserve">). Notably, </w:t>
      </w:r>
      <w:r w:rsidRPr="0051553D">
        <w:rPr>
          <w:b/>
          <w:color w:val="222222"/>
          <w:spacing w:val="2"/>
          <w:sz w:val="20"/>
          <w:szCs w:val="20"/>
        </w:rPr>
        <w:t>Exp-8</w:t>
      </w:r>
      <w:r w:rsidRPr="0051553D">
        <w:rPr>
          <w:color w:val="222222"/>
          <w:spacing w:val="2"/>
          <w:sz w:val="20"/>
          <w:szCs w:val="20"/>
        </w:rPr>
        <w:t xml:space="preserve"> reveals strong and distinct peaks of α-Mg, β-Mg₁₇Al₁₂, and </w:t>
      </w:r>
      <w:proofErr w:type="spellStart"/>
      <w:r w:rsidRPr="0051553D">
        <w:rPr>
          <w:color w:val="222222"/>
          <w:spacing w:val="2"/>
          <w:sz w:val="20"/>
          <w:szCs w:val="20"/>
        </w:rPr>
        <w:t>Al₈Mn</w:t>
      </w:r>
      <w:proofErr w:type="spellEnd"/>
      <w:r w:rsidRPr="0051553D">
        <w:rPr>
          <w:color w:val="222222"/>
          <w:spacing w:val="2"/>
          <w:sz w:val="20"/>
          <w:szCs w:val="20"/>
        </w:rPr>
        <w:t xml:space="preserve">₅ with minimal MgO, indicating successful casting under argon-assisted resistance furnace conditions. This confirms complete solidification and proper phase formation in </w:t>
      </w:r>
      <w:r w:rsidRPr="0051553D">
        <w:rPr>
          <w:b/>
          <w:color w:val="222222"/>
          <w:spacing w:val="2"/>
          <w:sz w:val="20"/>
          <w:szCs w:val="20"/>
        </w:rPr>
        <w:t>Exp-8</w:t>
      </w:r>
      <w:r w:rsidRPr="0051553D">
        <w:rPr>
          <w:color w:val="222222"/>
          <w:spacing w:val="2"/>
          <w:sz w:val="20"/>
          <w:szCs w:val="20"/>
        </w:rPr>
        <w:t>, making it suitable for direct comparison with the rolled AZ31 sheet</w:t>
      </w:r>
      <w:r w:rsidR="00E14FF5">
        <w:rPr>
          <w:color w:val="222222"/>
          <w:spacing w:val="2"/>
          <w:sz w:val="20"/>
          <w:szCs w:val="20"/>
        </w:rPr>
        <w:t xml:space="preserve"> (raw material)</w:t>
      </w:r>
      <w:r w:rsidRPr="0051553D">
        <w:rPr>
          <w:color w:val="222222"/>
          <w:spacing w:val="2"/>
          <w:sz w:val="20"/>
          <w:szCs w:val="20"/>
        </w:rPr>
        <w:t xml:space="preserve"> in subsequent structural and mechanical analyses (</w:t>
      </w:r>
      <w:r w:rsidRPr="0051553D">
        <w:rPr>
          <w:b/>
          <w:color w:val="222222"/>
          <w:spacing w:val="2"/>
          <w:sz w:val="20"/>
          <w:szCs w:val="20"/>
        </w:rPr>
        <w:t>Fig. 13, Table 3</w:t>
      </w:r>
      <w:r w:rsidRPr="0051553D">
        <w:rPr>
          <w:color w:val="222222"/>
          <w:spacing w:val="2"/>
          <w:sz w:val="20"/>
          <w:szCs w:val="20"/>
        </w:rPr>
        <w:t xml:space="preserve">). The progression of phase formation across experiments </w:t>
      </w:r>
      <w:r w:rsidR="00863F66">
        <w:rPr>
          <w:color w:val="222222"/>
          <w:spacing w:val="2"/>
          <w:sz w:val="20"/>
          <w:szCs w:val="20"/>
        </w:rPr>
        <w:t>underscores the importance of a protective atmosphere and thermal control during AZ31 casting in suppressing oxidation and promoting the desired intermetallic phase distribution, which is crucial</w:t>
      </w:r>
      <w:r w:rsidRPr="0051553D">
        <w:rPr>
          <w:color w:val="222222"/>
          <w:spacing w:val="2"/>
          <w:sz w:val="20"/>
          <w:szCs w:val="20"/>
        </w:rPr>
        <w:t xml:space="preserve"> for biomedical applications. </w:t>
      </w:r>
      <w:bookmarkStart w:id="0" w:name="_GoBack"/>
      <w:bookmarkEnd w:id="0"/>
    </w:p>
    <w:p w14:paraId="25D08E2F" w14:textId="77777777" w:rsidR="00DE657A" w:rsidRDefault="00DE657A" w:rsidP="00DE657A">
      <w:pPr>
        <w:pStyle w:val="u-mb-24"/>
        <w:spacing w:line="360" w:lineRule="auto"/>
        <w:contextualSpacing/>
        <w:jc w:val="both"/>
        <w:rPr>
          <w:color w:val="222222"/>
          <w:spacing w:val="2"/>
        </w:rPr>
      </w:pPr>
    </w:p>
    <w:p w14:paraId="4CEB76DE" w14:textId="77777777" w:rsidR="00DE657A" w:rsidRPr="00BA79FA" w:rsidRDefault="00DE657A" w:rsidP="00DE657A">
      <w:pPr>
        <w:pStyle w:val="u-mb-24"/>
        <w:spacing w:line="360" w:lineRule="auto"/>
        <w:contextualSpacing/>
        <w:jc w:val="both"/>
        <w:rPr>
          <w:color w:val="222222"/>
          <w:spacing w:val="2"/>
        </w:rPr>
      </w:pPr>
      <w:r>
        <w:rPr>
          <w:noProof/>
          <w:color w:val="222222"/>
          <w:spacing w:val="2"/>
        </w:rPr>
        <w:lastRenderedPageBreak/>
        <w:drawing>
          <wp:inline distT="0" distB="0" distL="0" distR="0" wp14:anchorId="63928738" wp14:editId="075A6E2F">
            <wp:extent cx="4238625" cy="62579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xrd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625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3BFBAB" w14:textId="77777777" w:rsidR="00DE657A" w:rsidRPr="003B6B4B" w:rsidRDefault="00DE657A" w:rsidP="00DE657A">
      <w:pPr>
        <w:spacing w:after="240" w:line="360" w:lineRule="auto"/>
        <w:rPr>
          <w:rFonts w:ascii="Times New Roman" w:hAnsi="Times New Roman" w:cs="Times New Roman"/>
          <w:color w:val="2433C6"/>
          <w:sz w:val="20"/>
          <w:szCs w:val="20"/>
        </w:rPr>
      </w:pPr>
      <w:r w:rsidRPr="003B6B4B">
        <w:rPr>
          <w:rFonts w:ascii="Times New Roman" w:hAnsi="Times New Roman" w:cs="Times New Roman"/>
          <w:b/>
          <w:color w:val="2433C6"/>
          <w:sz w:val="20"/>
          <w:szCs w:val="20"/>
        </w:rPr>
        <w:t xml:space="preserve">Fig. S1. </w:t>
      </w:r>
      <w:r w:rsidRPr="003B6B4B">
        <w:rPr>
          <w:rFonts w:ascii="Times New Roman" w:hAnsi="Times New Roman" w:cs="Times New Roman"/>
          <w:color w:val="2433C6"/>
          <w:sz w:val="20"/>
          <w:szCs w:val="20"/>
        </w:rPr>
        <w:t>XRD profiles of AZ31 magnesium alloy processed under eight experimental casting conditions (Exp-1 to Exp-8).</w:t>
      </w:r>
    </w:p>
    <w:p w14:paraId="18327A82" w14:textId="77777777" w:rsidR="00F135CB" w:rsidRPr="00F135CB" w:rsidRDefault="00F135CB">
      <w:pPr>
        <w:rPr>
          <w:rFonts w:ascii="Times New Roman" w:hAnsi="Times New Roman" w:cs="Times New Roman"/>
          <w:sz w:val="24"/>
          <w:szCs w:val="24"/>
        </w:rPr>
      </w:pPr>
    </w:p>
    <w:sectPr w:rsidR="00F135CB" w:rsidRPr="00F135CB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C25B66" w14:textId="77777777" w:rsidR="00A93D27" w:rsidRDefault="00A93D27" w:rsidP="009B33F9">
      <w:pPr>
        <w:spacing w:after="0" w:line="240" w:lineRule="auto"/>
      </w:pPr>
      <w:r>
        <w:separator/>
      </w:r>
    </w:p>
  </w:endnote>
  <w:endnote w:type="continuationSeparator" w:id="0">
    <w:p w14:paraId="598EC995" w14:textId="77777777" w:rsidR="00A93D27" w:rsidRDefault="00A93D27" w:rsidP="009B3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10323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E42DAD" w14:textId="77777777" w:rsidR="009B33F9" w:rsidRDefault="009B33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5B9362B" w14:textId="77777777" w:rsidR="009B33F9" w:rsidRDefault="009B3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A1AF09" w14:textId="77777777" w:rsidR="00A93D27" w:rsidRDefault="00A93D27" w:rsidP="009B33F9">
      <w:pPr>
        <w:spacing w:after="0" w:line="240" w:lineRule="auto"/>
      </w:pPr>
      <w:r>
        <w:separator/>
      </w:r>
    </w:p>
  </w:footnote>
  <w:footnote w:type="continuationSeparator" w:id="0">
    <w:p w14:paraId="39C85CA3" w14:textId="77777777" w:rsidR="00A93D27" w:rsidRDefault="00A93D27" w:rsidP="009B33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5CB"/>
    <w:rsid w:val="000224E9"/>
    <w:rsid w:val="001211A4"/>
    <w:rsid w:val="00164CA0"/>
    <w:rsid w:val="001D7E12"/>
    <w:rsid w:val="003B6B4B"/>
    <w:rsid w:val="0051553D"/>
    <w:rsid w:val="00582719"/>
    <w:rsid w:val="006D0F76"/>
    <w:rsid w:val="00863F66"/>
    <w:rsid w:val="009B33F9"/>
    <w:rsid w:val="00A61CF1"/>
    <w:rsid w:val="00A93D27"/>
    <w:rsid w:val="00AC52B7"/>
    <w:rsid w:val="00DC0742"/>
    <w:rsid w:val="00DE657A"/>
    <w:rsid w:val="00E14FF5"/>
    <w:rsid w:val="00F135CB"/>
    <w:rsid w:val="00F85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FFB05D"/>
  <w15:chartTrackingRefBased/>
  <w15:docId w15:val="{4A9F1AC9-956A-4A89-9CBF-29172DCB4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35CB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u-mb-24">
    <w:name w:val="u-mb-24"/>
    <w:basedOn w:val="Normal"/>
    <w:rsid w:val="00DE6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Header">
    <w:name w:val="header"/>
    <w:basedOn w:val="Normal"/>
    <w:link w:val="HeaderChar"/>
    <w:uiPriority w:val="99"/>
    <w:unhideWhenUsed/>
    <w:rsid w:val="009B33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33F9"/>
  </w:style>
  <w:style w:type="paragraph" w:styleId="Footer">
    <w:name w:val="footer"/>
    <w:basedOn w:val="Normal"/>
    <w:link w:val="FooterChar"/>
    <w:uiPriority w:val="99"/>
    <w:unhideWhenUsed/>
    <w:rsid w:val="009B33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33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1825</Characters>
  <Application>Microsoft Office Word</Application>
  <DocSecurity>0</DocSecurity>
  <Lines>32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Subodh</dc:creator>
  <cp:keywords/>
  <dc:description/>
  <cp:lastModifiedBy>Subodh</cp:lastModifiedBy>
  <cp:revision>2</cp:revision>
  <cp:lastPrinted>2025-07-21T06:37:00Z</cp:lastPrinted>
  <dcterms:created xsi:type="dcterms:W3CDTF">2025-07-21T10:08:00Z</dcterms:created>
  <dcterms:modified xsi:type="dcterms:W3CDTF">2025-07-21T10:08:00Z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bee6747b-2c22-402e-80f1-0e2c60765b33</vt:lpwstr>
  </property>
</Properties>
</file>