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491268" cy="2405276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1268" cy="24052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 S1.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Geographic location of Ślesin (Kuyavian-Pomeranian Voivodeship, Poland), where the long-ripened cheese cellar of Countess Potulicka’s Pantry is located, and representative photographs of the ripening room interior and close-up views of the stone and brick building materials used in its construction.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760720" cy="2219960"/>
            <wp:effectExtent b="0" l="0" r="0" t="0"/>
            <wp:docPr id="1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9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 S2.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Scheme of cheese ripening room with location of sampling location (PD_B1, PD_B2, PD_B3, PD_B4)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Sequences information from four biofilm samples, analyzed in triplicate.</w:t>
      </w:r>
    </w:p>
    <w:tbl>
      <w:tblPr>
        <w:tblStyle w:val="Table1"/>
        <w:tblW w:w="7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245"/>
        <w:gridCol w:w="1065"/>
        <w:gridCol w:w="1110"/>
        <w:gridCol w:w="1290"/>
        <w:gridCol w:w="1275"/>
        <w:gridCol w:w="1455"/>
        <w:tblGridChange w:id="0">
          <w:tblGrid>
            <w:gridCol w:w="1245"/>
            <w:gridCol w:w="1065"/>
            <w:gridCol w:w="1110"/>
            <w:gridCol w:w="1290"/>
            <w:gridCol w:w="1275"/>
            <w:gridCol w:w="1455"/>
          </w:tblGrid>
        </w:tblGridChange>
      </w:tblGrid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sample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input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filtered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denoised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merged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non-chimeric</w:t>
            </w:r>
          </w:p>
        </w:tc>
      </w:tr>
      <w:tr>
        <w:trPr>
          <w:cantSplit w:val="0"/>
          <w:trHeight w:val="4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PD_B1_1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149955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144316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141877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134009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124764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PD_B1_2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146986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138801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136356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128007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117952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PD_B1_3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149493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141383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139099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131223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121999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PD_B2_1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146585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137710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133442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124182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107659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PD_B2_2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134525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125746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121576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112960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97788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PD_B2_3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142752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136001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135431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133970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118219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PD_B3_1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146093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139133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138483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136780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118545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PD_B3_2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148452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142044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141299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139508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120274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PD_B3_3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140385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134499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133448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130783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107366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PD_B4_1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152988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145048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143840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140656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113405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PD_B4_2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139908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131066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129899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127118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105013</w:t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PD_B4_3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141521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134858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129979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120769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107872</w:t>
            </w:r>
          </w:p>
        </w:tc>
      </w:tr>
    </w:tbl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60410" cy="2222500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22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Fig.S3.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Rarefaction curves based on 16S rRNA gene sequences (V4–V6 region) from four biofilm samples, analyzed in triplicate.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60410" cy="2222500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22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Fig.S4.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Rarefaction curves based on ITS region sequences from four biofilm samples, analyzed in triplicate.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Relative abundance (%) of bacterial taxa (phylum to genus level) representing the microbial community identified in the biofilm samples (Excel appendix).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Relative abundance (%) of fungal taxa (phylum to genus level) representing the microbial community identified in the biofilm samples (Excel appendix).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uh6hiu8gdb3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Taxonomy of bacterial and fungal ASVs used for the construction of ecological networks. (Excel appendix).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nyWeb">
    <w:name w:val="Normal (Web)"/>
    <w:uiPriority w:val="99"/>
    <w:semiHidden w:val="1"/>
    <w:unhideWhenUsed w:val="1"/>
    <w:rsid w:val="00D2505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pl-PL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Tabela-Siatka">
    <w:name w:val="Table Grid"/>
    <w:basedOn w:val="Standardowy"/>
    <w:uiPriority w:val="39"/>
    <w:rsid w:val="002971D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gwek">
    <w:name w:val="header"/>
    <w:basedOn w:val="Normalny"/>
    <w:link w:val="NagwekZnak"/>
    <w:uiPriority w:val="99"/>
    <w:unhideWhenUsed w:val="1"/>
    <w:rsid w:val="00D81F6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81F69"/>
  </w:style>
  <w:style w:type="paragraph" w:styleId="Stopka">
    <w:name w:val="footer"/>
    <w:basedOn w:val="Normalny"/>
    <w:link w:val="StopkaZnak"/>
    <w:uiPriority w:val="99"/>
    <w:unhideWhenUsed w:val="1"/>
    <w:rsid w:val="00D81F6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81F69"/>
  </w:style>
  <w:style w:type="character" w:styleId="Uwydatnienie">
    <w:name w:val="Emphasis"/>
    <w:basedOn w:val="Domylnaczcionkaakapitu"/>
    <w:uiPriority w:val="20"/>
    <w:qFormat w:val="1"/>
    <w:rsid w:val="00A7444F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PvMDwoEIjMdgyfPuso9EAcNWMw==">CgMxLjAyDmgudWg2aGl1OGdkYjM4OAByITFLVG40RXZYNFhRdzlLVTJ0Z21qTmdrWk9ubDZlMUNqZg==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2025-09-11T11:01:00Z</dcterms:created>
  <dc:creator>Weronika Goraj</dc:creator>
</cp:coreProperties>
</file>