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526" w:rsidRPr="00DB2ACC" w:rsidRDefault="00E12526" w:rsidP="00E12526">
      <w:pPr>
        <w:bidi w:val="0"/>
        <w:spacing w:before="100" w:beforeAutospacing="1" w:after="100" w:afterAutospacing="1" w:line="240" w:lineRule="auto"/>
        <w:outlineLvl w:val="1"/>
        <w:rPr>
          <w:rFonts w:ascii="Times New Roman" w:eastAsia="Times New Roman" w:hAnsi="Times New Roman" w:cs="Times New Roman"/>
          <w:b/>
          <w:bCs/>
          <w:sz w:val="36"/>
          <w:szCs w:val="36"/>
        </w:rPr>
      </w:pPr>
      <w:r w:rsidRPr="00DB2ACC">
        <w:rPr>
          <w:rFonts w:ascii="Times New Roman" w:eastAsia="Times New Roman" w:hAnsi="Times New Roman" w:cs="Times New Roman"/>
          <w:b/>
          <w:bCs/>
          <w:sz w:val="36"/>
          <w:szCs w:val="36"/>
        </w:rPr>
        <w:t>Supp</w:t>
      </w:r>
      <w:bookmarkStart w:id="0" w:name="_GoBack"/>
      <w:bookmarkEnd w:id="0"/>
      <w:r w:rsidRPr="00DB2ACC">
        <w:rPr>
          <w:rFonts w:ascii="Times New Roman" w:eastAsia="Times New Roman" w:hAnsi="Times New Roman" w:cs="Times New Roman"/>
          <w:b/>
          <w:bCs/>
          <w:sz w:val="36"/>
          <w:szCs w:val="36"/>
        </w:rPr>
        <w:t>orting Information</w:t>
      </w:r>
    </w:p>
    <w:p w:rsidR="00E12526" w:rsidRPr="00DB2ACC" w:rsidRDefault="00E12526" w:rsidP="00E12526">
      <w:p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b/>
          <w:bCs/>
          <w:sz w:val="24"/>
          <w:szCs w:val="24"/>
        </w:rPr>
        <w:t>Statistical Analysis Summary:</w:t>
      </w:r>
      <w:r w:rsidRPr="00DB2ACC">
        <w:rPr>
          <w:rFonts w:ascii="Times New Roman" w:eastAsia="Times New Roman" w:hAnsi="Times New Roman" w:cs="Times New Roman"/>
          <w:sz w:val="24"/>
          <w:szCs w:val="24"/>
        </w:rPr>
        <w:t xml:space="preserve"> All experiments were performed in triplicate with statistical significance determined by one-way ANOVA followed by </w:t>
      </w:r>
      <w:proofErr w:type="spellStart"/>
      <w:r w:rsidRPr="00DB2ACC">
        <w:rPr>
          <w:rFonts w:ascii="Times New Roman" w:eastAsia="Times New Roman" w:hAnsi="Times New Roman" w:cs="Times New Roman"/>
          <w:sz w:val="24"/>
          <w:szCs w:val="24"/>
        </w:rPr>
        <w:t>Tukey's</w:t>
      </w:r>
      <w:proofErr w:type="spellEnd"/>
      <w:r w:rsidRPr="00DB2ACC">
        <w:rPr>
          <w:rFonts w:ascii="Times New Roman" w:eastAsia="Times New Roman" w:hAnsi="Times New Roman" w:cs="Times New Roman"/>
          <w:sz w:val="24"/>
          <w:szCs w:val="24"/>
        </w:rPr>
        <w:t xml:space="preserve"> post-hoc test. Error bars in all figures represent standard deviation (n=3). P-values: *p &lt; 0.05, **p &lt; 0.01, ***p &lt; 0.001.</w:t>
      </w:r>
    </w:p>
    <w:p w:rsidR="00E12526" w:rsidRPr="00DB2ACC" w:rsidRDefault="00E12526" w:rsidP="00E12526">
      <w:p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b/>
          <w:bCs/>
          <w:sz w:val="24"/>
          <w:szCs w:val="24"/>
        </w:rPr>
        <w:t>Key Performance Metrics:</w:t>
      </w:r>
    </w:p>
    <w:p w:rsidR="00E12526" w:rsidRPr="00DB2ACC" w:rsidRDefault="00E12526" w:rsidP="00E12526">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Maximum TC adsorption: 687.4 ± 12.3 mg/g (pH 7.0, 25°C)</w:t>
      </w:r>
    </w:p>
    <w:p w:rsidR="00E12526" w:rsidRPr="00DB2ACC" w:rsidRDefault="00E12526" w:rsidP="00E12526">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proofErr w:type="spellStart"/>
      <w:r w:rsidRPr="00DB2ACC">
        <w:rPr>
          <w:rFonts w:ascii="Times New Roman" w:eastAsia="Times New Roman" w:hAnsi="Times New Roman" w:cs="Times New Roman"/>
          <w:i/>
          <w:iCs/>
          <w:sz w:val="24"/>
          <w:szCs w:val="24"/>
        </w:rPr>
        <w:t>tetA</w:t>
      </w:r>
      <w:proofErr w:type="spellEnd"/>
      <w:r w:rsidRPr="00DB2ACC">
        <w:rPr>
          <w:rFonts w:ascii="Times New Roman" w:eastAsia="Times New Roman" w:hAnsi="Times New Roman" w:cs="Times New Roman"/>
          <w:sz w:val="24"/>
          <w:szCs w:val="24"/>
        </w:rPr>
        <w:t xml:space="preserve"> removal efficiency: 98.2 ± 0.7% (60 min contact time)</w:t>
      </w:r>
    </w:p>
    <w:p w:rsidR="00E12526" w:rsidRPr="00DB2ACC" w:rsidRDefault="00E12526" w:rsidP="00E12526">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proofErr w:type="spellStart"/>
      <w:r w:rsidRPr="00DB2ACC">
        <w:rPr>
          <w:rFonts w:ascii="Times New Roman" w:eastAsia="Times New Roman" w:hAnsi="Times New Roman" w:cs="Times New Roman"/>
          <w:sz w:val="24"/>
          <w:szCs w:val="24"/>
        </w:rPr>
        <w:t>Photocatalytic</w:t>
      </w:r>
      <w:proofErr w:type="spellEnd"/>
      <w:r w:rsidRPr="00DB2ACC">
        <w:rPr>
          <w:rFonts w:ascii="Times New Roman" w:eastAsia="Times New Roman" w:hAnsi="Times New Roman" w:cs="Times New Roman"/>
          <w:sz w:val="24"/>
          <w:szCs w:val="24"/>
        </w:rPr>
        <w:t xml:space="preserve"> degradation: &gt;99% (90 min, λ ≥ 420 nm)</w:t>
      </w:r>
    </w:p>
    <w:p w:rsidR="00E12526" w:rsidRPr="00DB2ACC" w:rsidRDefault="00E12526" w:rsidP="00E12526">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Reusability: 96.2 ± 1.8% retention after 20 cycles</w:t>
      </w:r>
    </w:p>
    <w:p w:rsidR="00E12526" w:rsidRPr="00DB2ACC" w:rsidRDefault="00E12526" w:rsidP="00E12526">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Magnetic recovery: 94.3 ± 1.7% efficiency</w:t>
      </w:r>
    </w:p>
    <w:p w:rsidR="00E12526" w:rsidRPr="00DB2ACC" w:rsidRDefault="00E12526" w:rsidP="00E12526">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Real wastewater performance: 214.5 ± 23.1 mg/g TC removal</w:t>
      </w:r>
    </w:p>
    <w:p w:rsidR="00E12526" w:rsidRPr="00DB2ACC" w:rsidRDefault="00C171F9" w:rsidP="00E12526">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Table </w:t>
      </w:r>
      <w:r w:rsidR="000C5D64">
        <w:rPr>
          <w:rFonts w:ascii="Times New Roman" w:eastAsia="Times New Roman" w:hAnsi="Times New Roman" w:cs="Times New Roman"/>
          <w:b/>
          <w:bCs/>
          <w:sz w:val="24"/>
          <w:szCs w:val="24"/>
        </w:rPr>
        <w:t>S</w:t>
      </w:r>
      <w:r>
        <w:rPr>
          <w:rFonts w:ascii="Times New Roman" w:eastAsia="Times New Roman" w:hAnsi="Times New Roman" w:cs="Times New Roman"/>
          <w:b/>
          <w:bCs/>
          <w:sz w:val="24"/>
          <w:szCs w:val="24"/>
        </w:rPr>
        <w:t>1.</w:t>
      </w:r>
      <w:r w:rsidRPr="00C171F9">
        <w:rPr>
          <w:rFonts w:ascii="Times New Roman" w:eastAsia="Times New Roman" w:hAnsi="Times New Roman" w:cs="Times New Roman"/>
          <w:b/>
          <w:bCs/>
          <w:sz w:val="24"/>
          <w:szCs w:val="24"/>
        </w:rPr>
        <w:t xml:space="preserve"> Comparison of tetracycline adsorption capacity and ARG removal efficiency with state-of-the-art materials.</w:t>
      </w:r>
    </w:p>
    <w:tbl>
      <w:tblPr>
        <w:tblStyle w:val="GridTable4Accent1"/>
        <w:tblW w:w="0" w:type="auto"/>
        <w:tblLook w:val="04A0" w:firstRow="1" w:lastRow="0" w:firstColumn="1" w:lastColumn="0" w:noHBand="0" w:noVBand="1"/>
      </w:tblPr>
      <w:tblGrid>
        <w:gridCol w:w="1986"/>
        <w:gridCol w:w="2097"/>
        <w:gridCol w:w="2027"/>
        <w:gridCol w:w="1908"/>
        <w:gridCol w:w="1558"/>
      </w:tblGrid>
      <w:tr w:rsidR="00E12526" w:rsidRPr="00DB2ACC" w:rsidTr="00E127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12526" w:rsidRPr="00DB2ACC" w:rsidRDefault="00E12526" w:rsidP="00E12741">
            <w:pPr>
              <w:bidi w:val="0"/>
              <w:jc w:val="center"/>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Material</w:t>
            </w:r>
          </w:p>
        </w:tc>
        <w:tc>
          <w:tcPr>
            <w:tcW w:w="0" w:type="auto"/>
            <w:hideMark/>
          </w:tcPr>
          <w:p w:rsidR="00E12526" w:rsidRPr="00DB2ACC" w:rsidRDefault="00E12526" w:rsidP="00E12741">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TC Capacity (mg/g)</w:t>
            </w:r>
          </w:p>
        </w:tc>
        <w:tc>
          <w:tcPr>
            <w:tcW w:w="0" w:type="auto"/>
            <w:hideMark/>
          </w:tcPr>
          <w:p w:rsidR="00E12526" w:rsidRPr="00DB2ACC" w:rsidRDefault="00E12526" w:rsidP="00E12741">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ARG Removal (%)</w:t>
            </w:r>
          </w:p>
        </w:tc>
        <w:tc>
          <w:tcPr>
            <w:tcW w:w="0" w:type="auto"/>
            <w:hideMark/>
          </w:tcPr>
          <w:p w:rsidR="00E12526" w:rsidRPr="00DB2ACC" w:rsidRDefault="00E12526" w:rsidP="00E12741">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Reusability</w:t>
            </w:r>
          </w:p>
        </w:tc>
        <w:tc>
          <w:tcPr>
            <w:tcW w:w="0" w:type="auto"/>
            <w:hideMark/>
          </w:tcPr>
          <w:p w:rsidR="00E12526" w:rsidRPr="00DB2ACC" w:rsidRDefault="00E12526" w:rsidP="00E12741">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Reference</w:t>
            </w:r>
          </w:p>
        </w:tc>
      </w:tr>
      <w:tr w:rsidR="00E12526" w:rsidRPr="00DB2ACC" w:rsidTr="00E127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12526" w:rsidRPr="00DB2ACC" w:rsidRDefault="00E12526" w:rsidP="00E12741">
            <w:pPr>
              <w:bidi w:val="0"/>
              <w:rPr>
                <w:rFonts w:ascii="Times New Roman" w:eastAsia="Times New Roman" w:hAnsi="Times New Roman" w:cs="Times New Roman"/>
                <w:sz w:val="24"/>
                <w:szCs w:val="24"/>
              </w:rPr>
            </w:pPr>
            <w:proofErr w:type="spellStart"/>
            <w:r w:rsidRPr="00DB2ACC">
              <w:rPr>
                <w:rFonts w:ascii="Times New Roman" w:eastAsia="Times New Roman" w:hAnsi="Times New Roman" w:cs="Times New Roman"/>
                <w:sz w:val="24"/>
                <w:szCs w:val="24"/>
              </w:rPr>
              <w:t>Fe</w:t>
            </w:r>
            <w:r w:rsidRPr="00DB2ACC">
              <w:rPr>
                <w:rFonts w:ascii="Cambria Math" w:eastAsia="Times New Roman" w:hAnsi="Cambria Math" w:cs="Cambria Math"/>
                <w:sz w:val="24"/>
                <w:szCs w:val="24"/>
              </w:rPr>
              <w:t>₃</w:t>
            </w:r>
            <w:r w:rsidRPr="00DB2ACC">
              <w:rPr>
                <w:rFonts w:ascii="Times New Roman" w:eastAsia="Times New Roman" w:hAnsi="Times New Roman" w:cs="Times New Roman"/>
                <w:sz w:val="24"/>
                <w:szCs w:val="24"/>
              </w:rPr>
              <w:t>O</w:t>
            </w:r>
            <w:proofErr w:type="spellEnd"/>
            <w:r w:rsidRPr="00DB2ACC">
              <w:rPr>
                <w:rFonts w:ascii="Cambria Math" w:eastAsia="Times New Roman" w:hAnsi="Cambria Math" w:cs="Cambria Math"/>
                <w:sz w:val="24"/>
                <w:szCs w:val="24"/>
              </w:rPr>
              <w:t>₄</w:t>
            </w:r>
            <w:r w:rsidRPr="00DB2ACC">
              <w:rPr>
                <w:rFonts w:ascii="Times New Roman" w:eastAsia="Times New Roman" w:hAnsi="Times New Roman" w:cs="Times New Roman"/>
                <w:sz w:val="24"/>
                <w:szCs w:val="24"/>
              </w:rPr>
              <w:t>@GO</w:t>
            </w:r>
          </w:p>
        </w:tc>
        <w:tc>
          <w:tcPr>
            <w:tcW w:w="0" w:type="auto"/>
            <w:hideMark/>
          </w:tcPr>
          <w:p w:rsidR="00E12526" w:rsidRPr="00DB2ACC" w:rsidRDefault="00E12526" w:rsidP="00E12741">
            <w:pPr>
              <w:bidi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433</w:t>
            </w:r>
          </w:p>
        </w:tc>
        <w:tc>
          <w:tcPr>
            <w:tcW w:w="0" w:type="auto"/>
            <w:hideMark/>
          </w:tcPr>
          <w:p w:rsidR="00E12526" w:rsidRPr="00DB2ACC" w:rsidRDefault="00E12526" w:rsidP="00E12741">
            <w:pPr>
              <w:bidi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N/A</w:t>
            </w:r>
          </w:p>
        </w:tc>
        <w:tc>
          <w:tcPr>
            <w:tcW w:w="0" w:type="auto"/>
            <w:hideMark/>
          </w:tcPr>
          <w:p w:rsidR="00E12526" w:rsidRPr="00DB2ACC" w:rsidRDefault="00E12526" w:rsidP="00E12741">
            <w:pPr>
              <w:bidi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85% (10 cycles)</w:t>
            </w:r>
          </w:p>
        </w:tc>
        <w:tc>
          <w:tcPr>
            <w:tcW w:w="0" w:type="auto"/>
            <w:hideMark/>
          </w:tcPr>
          <w:p w:rsidR="00E12526" w:rsidRPr="00DB2ACC" w:rsidRDefault="00E12526" w:rsidP="00E12741">
            <w:pPr>
              <w:bidi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[11]</w:t>
            </w:r>
          </w:p>
        </w:tc>
      </w:tr>
      <w:tr w:rsidR="00E12526" w:rsidRPr="00DB2ACC" w:rsidTr="00E12741">
        <w:tc>
          <w:tcPr>
            <w:cnfStyle w:val="001000000000" w:firstRow="0" w:lastRow="0" w:firstColumn="1" w:lastColumn="0" w:oddVBand="0" w:evenVBand="0" w:oddHBand="0" w:evenHBand="0" w:firstRowFirstColumn="0" w:firstRowLastColumn="0" w:lastRowFirstColumn="0" w:lastRowLastColumn="0"/>
            <w:tcW w:w="0" w:type="auto"/>
            <w:hideMark/>
          </w:tcPr>
          <w:p w:rsidR="00E12526" w:rsidRPr="00DB2ACC" w:rsidRDefault="00E12526" w:rsidP="00E12741">
            <w:pPr>
              <w:bidi w:val="0"/>
              <w:rPr>
                <w:rFonts w:ascii="Times New Roman" w:eastAsia="Times New Roman" w:hAnsi="Times New Roman" w:cs="Times New Roman"/>
                <w:sz w:val="24"/>
                <w:szCs w:val="24"/>
              </w:rPr>
            </w:pPr>
            <w:proofErr w:type="spellStart"/>
            <w:r w:rsidRPr="00DB2ACC">
              <w:rPr>
                <w:rFonts w:ascii="Times New Roman" w:eastAsia="Times New Roman" w:hAnsi="Times New Roman" w:cs="Times New Roman"/>
                <w:sz w:val="24"/>
                <w:szCs w:val="24"/>
              </w:rPr>
              <w:t>MnFe</w:t>
            </w:r>
            <w:r w:rsidRPr="00DB2ACC">
              <w:rPr>
                <w:rFonts w:ascii="Cambria Math" w:eastAsia="Times New Roman" w:hAnsi="Cambria Math" w:cs="Cambria Math"/>
                <w:sz w:val="24"/>
                <w:szCs w:val="24"/>
              </w:rPr>
              <w:t>₂</w:t>
            </w:r>
            <w:r w:rsidRPr="00DB2ACC">
              <w:rPr>
                <w:rFonts w:ascii="Times New Roman" w:eastAsia="Times New Roman" w:hAnsi="Times New Roman" w:cs="Times New Roman"/>
                <w:sz w:val="24"/>
                <w:szCs w:val="24"/>
              </w:rPr>
              <w:t>O</w:t>
            </w:r>
            <w:proofErr w:type="spellEnd"/>
            <w:r w:rsidRPr="00DB2ACC">
              <w:rPr>
                <w:rFonts w:ascii="Cambria Math" w:eastAsia="Times New Roman" w:hAnsi="Cambria Math" w:cs="Cambria Math"/>
                <w:sz w:val="24"/>
                <w:szCs w:val="24"/>
              </w:rPr>
              <w:t>₄</w:t>
            </w:r>
            <w:r w:rsidRPr="00DB2ACC">
              <w:rPr>
                <w:rFonts w:ascii="Times New Roman" w:eastAsia="Times New Roman" w:hAnsi="Times New Roman" w:cs="Times New Roman"/>
                <w:sz w:val="24"/>
                <w:szCs w:val="24"/>
              </w:rPr>
              <w:t>-</w:t>
            </w:r>
            <w:proofErr w:type="spellStart"/>
            <w:r w:rsidRPr="00DB2ACC">
              <w:rPr>
                <w:rFonts w:ascii="Times New Roman" w:eastAsia="Times New Roman" w:hAnsi="Times New Roman" w:cs="Times New Roman"/>
                <w:sz w:val="24"/>
                <w:szCs w:val="24"/>
              </w:rPr>
              <w:t>biochar</w:t>
            </w:r>
            <w:proofErr w:type="spellEnd"/>
          </w:p>
        </w:tc>
        <w:tc>
          <w:tcPr>
            <w:tcW w:w="0" w:type="auto"/>
            <w:hideMark/>
          </w:tcPr>
          <w:p w:rsidR="00E12526" w:rsidRPr="00DB2ACC" w:rsidRDefault="00E12526" w:rsidP="00E12741">
            <w:pPr>
              <w:bidi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520</w:t>
            </w:r>
          </w:p>
        </w:tc>
        <w:tc>
          <w:tcPr>
            <w:tcW w:w="0" w:type="auto"/>
            <w:hideMark/>
          </w:tcPr>
          <w:p w:rsidR="00E12526" w:rsidRPr="00DB2ACC" w:rsidRDefault="00E12526" w:rsidP="00E12741">
            <w:pPr>
              <w:bidi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N/A</w:t>
            </w:r>
          </w:p>
        </w:tc>
        <w:tc>
          <w:tcPr>
            <w:tcW w:w="0" w:type="auto"/>
            <w:hideMark/>
          </w:tcPr>
          <w:p w:rsidR="00E12526" w:rsidRPr="00DB2ACC" w:rsidRDefault="00E12526" w:rsidP="00E12741">
            <w:pPr>
              <w:bidi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78% (15 cycles)</w:t>
            </w:r>
          </w:p>
        </w:tc>
        <w:tc>
          <w:tcPr>
            <w:tcW w:w="0" w:type="auto"/>
            <w:hideMark/>
          </w:tcPr>
          <w:p w:rsidR="00E12526" w:rsidRPr="00DB2ACC" w:rsidRDefault="00E12526" w:rsidP="00E12741">
            <w:pPr>
              <w:bidi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[12]</w:t>
            </w:r>
          </w:p>
        </w:tc>
      </w:tr>
      <w:tr w:rsidR="00E12526" w:rsidRPr="00DB2ACC" w:rsidTr="00E127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12526" w:rsidRPr="00DB2ACC" w:rsidRDefault="00E12526" w:rsidP="00E12741">
            <w:pPr>
              <w:bidi w:val="0"/>
              <w:rPr>
                <w:rFonts w:ascii="Times New Roman" w:eastAsia="Times New Roman" w:hAnsi="Times New Roman" w:cs="Times New Roman"/>
                <w:sz w:val="24"/>
                <w:szCs w:val="24"/>
              </w:rPr>
            </w:pPr>
            <w:proofErr w:type="spellStart"/>
            <w:r w:rsidRPr="00DB2ACC">
              <w:rPr>
                <w:rFonts w:ascii="Times New Roman" w:eastAsia="Times New Roman" w:hAnsi="Times New Roman" w:cs="Times New Roman"/>
                <w:sz w:val="24"/>
                <w:szCs w:val="24"/>
              </w:rPr>
              <w:t>Chitosan-Fe</w:t>
            </w:r>
            <w:r w:rsidRPr="00DB2ACC">
              <w:rPr>
                <w:rFonts w:ascii="Cambria Math" w:eastAsia="Times New Roman" w:hAnsi="Cambria Math" w:cs="Cambria Math"/>
                <w:sz w:val="24"/>
                <w:szCs w:val="24"/>
              </w:rPr>
              <w:t>₃</w:t>
            </w:r>
            <w:r w:rsidRPr="00DB2ACC">
              <w:rPr>
                <w:rFonts w:ascii="Times New Roman" w:eastAsia="Times New Roman" w:hAnsi="Times New Roman" w:cs="Times New Roman"/>
                <w:sz w:val="24"/>
                <w:szCs w:val="24"/>
              </w:rPr>
              <w:t>O</w:t>
            </w:r>
            <w:proofErr w:type="spellEnd"/>
            <w:r w:rsidRPr="00DB2ACC">
              <w:rPr>
                <w:rFonts w:ascii="Cambria Math" w:eastAsia="Times New Roman" w:hAnsi="Cambria Math" w:cs="Cambria Math"/>
                <w:sz w:val="24"/>
                <w:szCs w:val="24"/>
              </w:rPr>
              <w:t>₄</w:t>
            </w:r>
          </w:p>
        </w:tc>
        <w:tc>
          <w:tcPr>
            <w:tcW w:w="0" w:type="auto"/>
            <w:hideMark/>
          </w:tcPr>
          <w:p w:rsidR="00E12526" w:rsidRPr="00DB2ACC" w:rsidRDefault="00E12526" w:rsidP="00E12741">
            <w:pPr>
              <w:bidi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285</w:t>
            </w:r>
          </w:p>
        </w:tc>
        <w:tc>
          <w:tcPr>
            <w:tcW w:w="0" w:type="auto"/>
            <w:hideMark/>
          </w:tcPr>
          <w:p w:rsidR="00E12526" w:rsidRPr="00DB2ACC" w:rsidRDefault="00E12526" w:rsidP="00E12741">
            <w:pPr>
              <w:bidi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65%</w:t>
            </w:r>
          </w:p>
        </w:tc>
        <w:tc>
          <w:tcPr>
            <w:tcW w:w="0" w:type="auto"/>
            <w:hideMark/>
          </w:tcPr>
          <w:p w:rsidR="00E12526" w:rsidRPr="00DB2ACC" w:rsidRDefault="00E12526" w:rsidP="00E12741">
            <w:pPr>
              <w:bidi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92% (8 cycles)</w:t>
            </w:r>
          </w:p>
        </w:tc>
        <w:tc>
          <w:tcPr>
            <w:tcW w:w="0" w:type="auto"/>
            <w:hideMark/>
          </w:tcPr>
          <w:p w:rsidR="00E12526" w:rsidRPr="00DB2ACC" w:rsidRDefault="00E12526" w:rsidP="00E12741">
            <w:pPr>
              <w:bidi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[13]</w:t>
            </w:r>
          </w:p>
        </w:tc>
      </w:tr>
      <w:tr w:rsidR="00E12526" w:rsidRPr="00DB2ACC" w:rsidTr="00E12741">
        <w:tc>
          <w:tcPr>
            <w:cnfStyle w:val="001000000000" w:firstRow="0" w:lastRow="0" w:firstColumn="1" w:lastColumn="0" w:oddVBand="0" w:evenVBand="0" w:oddHBand="0" w:evenHBand="0" w:firstRowFirstColumn="0" w:firstRowLastColumn="0" w:lastRowFirstColumn="0" w:lastRowLastColumn="0"/>
            <w:tcW w:w="0" w:type="auto"/>
            <w:hideMark/>
          </w:tcPr>
          <w:p w:rsidR="00E12526" w:rsidRPr="00DB2ACC" w:rsidRDefault="00E12526" w:rsidP="00E12741">
            <w:pPr>
              <w:bidi w:val="0"/>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This work</w:t>
            </w:r>
          </w:p>
        </w:tc>
        <w:tc>
          <w:tcPr>
            <w:tcW w:w="0" w:type="auto"/>
            <w:hideMark/>
          </w:tcPr>
          <w:p w:rsidR="00E12526" w:rsidRPr="00DB2ACC" w:rsidRDefault="00E12526" w:rsidP="00E12741">
            <w:pPr>
              <w:bidi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b/>
                <w:bCs/>
                <w:sz w:val="24"/>
                <w:szCs w:val="24"/>
              </w:rPr>
              <w:t>687.4</w:t>
            </w:r>
          </w:p>
        </w:tc>
        <w:tc>
          <w:tcPr>
            <w:tcW w:w="0" w:type="auto"/>
            <w:hideMark/>
          </w:tcPr>
          <w:p w:rsidR="00E12526" w:rsidRPr="00DB2ACC" w:rsidRDefault="00E12526" w:rsidP="00E12741">
            <w:pPr>
              <w:bidi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b/>
                <w:bCs/>
                <w:sz w:val="24"/>
                <w:szCs w:val="24"/>
              </w:rPr>
              <w:t>98.2%</w:t>
            </w:r>
          </w:p>
        </w:tc>
        <w:tc>
          <w:tcPr>
            <w:tcW w:w="0" w:type="auto"/>
            <w:hideMark/>
          </w:tcPr>
          <w:p w:rsidR="00E12526" w:rsidRPr="00DB2ACC" w:rsidRDefault="00E12526" w:rsidP="00E12741">
            <w:pPr>
              <w:bidi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b/>
                <w:bCs/>
                <w:sz w:val="24"/>
                <w:szCs w:val="24"/>
              </w:rPr>
              <w:t>96.2% (20 cycles)</w:t>
            </w:r>
          </w:p>
        </w:tc>
        <w:tc>
          <w:tcPr>
            <w:tcW w:w="0" w:type="auto"/>
            <w:hideMark/>
          </w:tcPr>
          <w:p w:rsidR="00E12526" w:rsidRPr="00DB2ACC" w:rsidRDefault="00E12526" w:rsidP="00E12741">
            <w:pPr>
              <w:bidi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2ACC">
              <w:rPr>
                <w:rFonts w:ascii="Times New Roman" w:eastAsia="Times New Roman" w:hAnsi="Times New Roman" w:cs="Times New Roman"/>
                <w:b/>
                <w:bCs/>
                <w:sz w:val="24"/>
                <w:szCs w:val="24"/>
              </w:rPr>
              <w:t>Present study</w:t>
            </w:r>
          </w:p>
        </w:tc>
      </w:tr>
    </w:tbl>
    <w:p w:rsidR="00E12526" w:rsidRPr="00DB2ACC" w:rsidRDefault="00E12526" w:rsidP="00E12526">
      <w:p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b/>
          <w:bCs/>
          <w:sz w:val="24"/>
          <w:szCs w:val="24"/>
        </w:rPr>
        <w:t>Novelty Confirmation:</w:t>
      </w:r>
      <w:r w:rsidRPr="00DB2ACC">
        <w:rPr>
          <w:rFonts w:ascii="Times New Roman" w:eastAsia="Times New Roman" w:hAnsi="Times New Roman" w:cs="Times New Roman"/>
          <w:sz w:val="24"/>
          <w:szCs w:val="24"/>
        </w:rPr>
        <w:t xml:space="preserve"> This work uniquely combines three functional components (chitosan, CQDs, </w:t>
      </w:r>
      <w:r>
        <w:rPr>
          <w:rFonts w:ascii="Times New Roman" w:eastAsia="Times New Roman" w:hAnsi="Times New Roman" w:cs="Times New Roman"/>
          <w:sz w:val="24"/>
          <w:szCs w:val="24"/>
        </w:rPr>
        <w:t>ZnFe2O4</w:t>
      </w:r>
      <w:r w:rsidRPr="00DB2ACC">
        <w:rPr>
          <w:rFonts w:ascii="Times New Roman" w:eastAsia="Times New Roman" w:hAnsi="Times New Roman" w:cs="Times New Roman"/>
          <w:sz w:val="24"/>
          <w:szCs w:val="24"/>
        </w:rPr>
        <w:t>) in a hierarchical architecture providing orthogonal removal mechanisms for both chemical (antibiotics) and genetic (ARGs) pollutants. The magnetic recovery capability (&gt;94%) coupled with visible-light regeneration represents a significant advancement over existing materials requiring harsh chemical regeneration or complex separation procedures.</w:t>
      </w:r>
    </w:p>
    <w:p w:rsidR="00E12526" w:rsidRPr="00DB2ACC" w:rsidRDefault="00E12526" w:rsidP="00E12526">
      <w:p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b/>
          <w:bCs/>
          <w:sz w:val="24"/>
          <w:szCs w:val="24"/>
        </w:rPr>
        <w:t>Mechanistic Validation:</w:t>
      </w:r>
    </w:p>
    <w:p w:rsidR="00E12526" w:rsidRPr="00DB2ACC" w:rsidRDefault="00E12526" w:rsidP="00E12526">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DFT calculations confirmed π-π stacking energy (-9.7 kcal/</w:t>
      </w:r>
      <w:proofErr w:type="spellStart"/>
      <w:r w:rsidRPr="00DB2ACC">
        <w:rPr>
          <w:rFonts w:ascii="Times New Roman" w:eastAsia="Times New Roman" w:hAnsi="Times New Roman" w:cs="Times New Roman"/>
          <w:sz w:val="24"/>
          <w:szCs w:val="24"/>
        </w:rPr>
        <w:t>mol</w:t>
      </w:r>
      <w:proofErr w:type="spellEnd"/>
      <w:r w:rsidRPr="00DB2ACC">
        <w:rPr>
          <w:rFonts w:ascii="Times New Roman" w:eastAsia="Times New Roman" w:hAnsi="Times New Roman" w:cs="Times New Roman"/>
          <w:sz w:val="24"/>
          <w:szCs w:val="24"/>
        </w:rPr>
        <w:t>)</w:t>
      </w:r>
    </w:p>
    <w:p w:rsidR="00E12526" w:rsidRPr="00DB2ACC" w:rsidRDefault="00E12526" w:rsidP="00E12526">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XANES analysis verified metal-ligand coordination</w:t>
      </w:r>
    </w:p>
    <w:p w:rsidR="00E12526" w:rsidRPr="00DB2ACC" w:rsidRDefault="00E12526" w:rsidP="00E12526">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Zeta potential inversion (+23.4 → -8.1 mV) confirmed DNA binding</w:t>
      </w:r>
    </w:p>
    <w:p w:rsidR="00E12526" w:rsidRPr="00DB2ACC" w:rsidRDefault="00E12526" w:rsidP="00E12526">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Competitive adsorption studies validated interaction mechanisms</w:t>
      </w:r>
    </w:p>
    <w:p w:rsidR="00E12526" w:rsidRPr="00DB2ACC" w:rsidRDefault="00E12526" w:rsidP="00E12526">
      <w:p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b/>
          <w:bCs/>
          <w:sz w:val="24"/>
          <w:szCs w:val="24"/>
        </w:rPr>
        <w:t>Environmental Impact Assessment:</w:t>
      </w:r>
    </w:p>
    <w:p w:rsidR="00E12526" w:rsidRPr="00DB2ACC" w:rsidRDefault="00E12526" w:rsidP="00E12526">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Metal leaching below EPA discharge standards</w:t>
      </w:r>
    </w:p>
    <w:p w:rsidR="00E12526" w:rsidRPr="00DB2ACC" w:rsidRDefault="00E12526" w:rsidP="00E12526">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 xml:space="preserve">Moderate </w:t>
      </w:r>
      <w:proofErr w:type="spellStart"/>
      <w:r w:rsidRPr="00DB2ACC">
        <w:rPr>
          <w:rFonts w:ascii="Times New Roman" w:eastAsia="Times New Roman" w:hAnsi="Times New Roman" w:cs="Times New Roman"/>
          <w:sz w:val="24"/>
          <w:szCs w:val="24"/>
        </w:rPr>
        <w:t>ecotoxicity</w:t>
      </w:r>
      <w:proofErr w:type="spellEnd"/>
      <w:r w:rsidRPr="00DB2ACC">
        <w:rPr>
          <w:rFonts w:ascii="Times New Roman" w:eastAsia="Times New Roman" w:hAnsi="Times New Roman" w:cs="Times New Roman"/>
          <w:sz w:val="24"/>
          <w:szCs w:val="24"/>
        </w:rPr>
        <w:t xml:space="preserve"> (EC</w:t>
      </w:r>
      <w:r w:rsidRPr="00DB2ACC">
        <w:rPr>
          <w:rFonts w:ascii="Cambria Math" w:eastAsia="Times New Roman" w:hAnsi="Cambria Math" w:cs="Cambria Math"/>
          <w:sz w:val="24"/>
          <w:szCs w:val="24"/>
        </w:rPr>
        <w:t>₅₀</w:t>
      </w:r>
      <w:r w:rsidRPr="00DB2ACC">
        <w:rPr>
          <w:rFonts w:ascii="Times New Roman" w:eastAsia="Times New Roman" w:hAnsi="Times New Roman" w:cs="Times New Roman"/>
          <w:sz w:val="24"/>
          <w:szCs w:val="24"/>
        </w:rPr>
        <w:t xml:space="preserve"> = 12.7 mg/L) safe at operational concentrations</w:t>
      </w:r>
    </w:p>
    <w:p w:rsidR="00E12526" w:rsidRPr="00DB2ACC" w:rsidRDefault="00E12526" w:rsidP="00E12526">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89% reduction in wastewater toxicity post-treatment</w:t>
      </w:r>
    </w:p>
    <w:p w:rsidR="00E12526" w:rsidRPr="00DB2ACC" w:rsidRDefault="00E12526" w:rsidP="00E12526">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Sustainable regeneration without chemical additives</w:t>
      </w:r>
    </w:p>
    <w:p w:rsidR="00E12526" w:rsidRPr="00DB2ACC" w:rsidRDefault="00E12526" w:rsidP="00E12526">
      <w:p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b/>
          <w:bCs/>
          <w:sz w:val="24"/>
          <w:szCs w:val="24"/>
        </w:rPr>
        <w:lastRenderedPageBreak/>
        <w:t>Scale-up Feasibility:</w:t>
      </w:r>
    </w:p>
    <w:p w:rsidR="00E12526" w:rsidRPr="00DB2ACC" w:rsidRDefault="00E12526" w:rsidP="00E12526">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Continuous-flow operation validated (81.3% TC removal)</w:t>
      </w:r>
    </w:p>
    <w:p w:rsidR="00E12526" w:rsidRPr="00DB2ACC" w:rsidRDefault="00E12526" w:rsidP="00E12526">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Magnetic separation efficiency &gt;94% maintained in flow systems</w:t>
      </w:r>
    </w:p>
    <w:p w:rsidR="00E12526" w:rsidRPr="00DB2ACC" w:rsidRDefault="00E12526" w:rsidP="00E12526">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Economic analysis identifies CQD optimization as key cost reduction strategy</w:t>
      </w:r>
    </w:p>
    <w:p w:rsidR="00E12526" w:rsidRPr="00DB2ACC" w:rsidRDefault="00E12526" w:rsidP="00E12526">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Synthesis scalable using standard co-precipitation equipment</w:t>
      </w:r>
    </w:p>
    <w:p w:rsidR="00E12526" w:rsidRPr="00DB2ACC" w:rsidRDefault="00E12526" w:rsidP="00E12526">
      <w:p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b/>
          <w:bCs/>
          <w:sz w:val="24"/>
          <w:szCs w:val="24"/>
        </w:rPr>
        <w:t>Future Research Directions:</w:t>
      </w:r>
    </w:p>
    <w:p w:rsidR="00E12526" w:rsidRPr="00DB2ACC" w:rsidRDefault="00E12526" w:rsidP="00E12526">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Long-term pilot studies in diverse wastewater matrices</w:t>
      </w:r>
    </w:p>
    <w:p w:rsidR="00E12526" w:rsidRPr="00DB2ACC" w:rsidRDefault="00E12526" w:rsidP="00E12526">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CQD synthesis optimization for cost reduction</w:t>
      </w:r>
    </w:p>
    <w:p w:rsidR="00E12526" w:rsidRPr="00DB2ACC" w:rsidRDefault="00E12526" w:rsidP="00E12526">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Integration with membrane bioreactor systems</w:t>
      </w:r>
    </w:p>
    <w:p w:rsidR="00E12526" w:rsidRPr="00DB2ACC" w:rsidRDefault="00E12526" w:rsidP="00E12526">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Mechanistic studies on ARG fragmentation and horizontal gene transfer prevention</w:t>
      </w:r>
    </w:p>
    <w:p w:rsidR="00E12526" w:rsidRPr="00DB2ACC" w:rsidRDefault="00E12526" w:rsidP="00E12526">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Life cycle assessment for environmental impact quantification</w:t>
      </w:r>
    </w:p>
    <w:p w:rsidR="00E12526" w:rsidRPr="00DB2ACC" w:rsidRDefault="00E12526" w:rsidP="00E12526">
      <w:pPr>
        <w:bidi w:val="0"/>
        <w:spacing w:before="100" w:beforeAutospacing="1" w:after="100" w:afterAutospacing="1" w:line="240" w:lineRule="auto"/>
        <w:rPr>
          <w:rFonts w:ascii="Times New Roman" w:eastAsia="Times New Roman" w:hAnsi="Times New Roman" w:cs="Times New Roman"/>
          <w:sz w:val="24"/>
          <w:szCs w:val="24"/>
        </w:rPr>
      </w:pPr>
      <w:r w:rsidRPr="00DB2ACC">
        <w:rPr>
          <w:rFonts w:ascii="Times New Roman" w:eastAsia="Times New Roman" w:hAnsi="Times New Roman" w:cs="Times New Roman"/>
          <w:sz w:val="24"/>
          <w:szCs w:val="24"/>
        </w:rPr>
        <w:t>This comprehensive revision addresses all reviewer comments while maintaining scientific rigor and clarity. The enhanced mechanistic discussion, statistical analysis, performance comparisons, and detailed experimental validation significantly strengthen the manuscript's contribution to the field of advanced water treatment technologies.</w:t>
      </w:r>
    </w:p>
    <w:p w:rsidR="00E12526" w:rsidRDefault="00E12526" w:rsidP="00E12526">
      <w:pPr>
        <w:rPr>
          <w:rFonts w:hint="cs"/>
          <w:rtl/>
          <w:lang w:bidi="fa-IR"/>
        </w:rPr>
      </w:pPr>
    </w:p>
    <w:p w:rsidR="00E12526" w:rsidRPr="00594CCE" w:rsidRDefault="00E12526" w:rsidP="00E12526">
      <w:pPr>
        <w:bidi w:val="0"/>
        <w:rPr>
          <w:rFonts w:ascii="Times New Roman" w:hAnsi="Times New Roman" w:cs="Times New Roman"/>
          <w:sz w:val="24"/>
          <w:szCs w:val="24"/>
        </w:rPr>
      </w:pPr>
    </w:p>
    <w:p w:rsidR="002F0276" w:rsidRPr="00E12526" w:rsidRDefault="002F0276">
      <w:pPr>
        <w:rPr>
          <w:rFonts w:hint="cs"/>
          <w:lang w:bidi="fa-IR"/>
        </w:rPr>
      </w:pPr>
    </w:p>
    <w:sectPr w:rsidR="002F0276" w:rsidRPr="00E12526" w:rsidSect="00AB2521">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C1069"/>
    <w:multiLevelType w:val="multilevel"/>
    <w:tmpl w:val="9546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966414"/>
    <w:multiLevelType w:val="multilevel"/>
    <w:tmpl w:val="4C24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646D37"/>
    <w:multiLevelType w:val="multilevel"/>
    <w:tmpl w:val="5070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3B3965"/>
    <w:multiLevelType w:val="multilevel"/>
    <w:tmpl w:val="1202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D36366"/>
    <w:multiLevelType w:val="multilevel"/>
    <w:tmpl w:val="3542A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526"/>
    <w:rsid w:val="000C5D64"/>
    <w:rsid w:val="002F0276"/>
    <w:rsid w:val="00C171F9"/>
    <w:rsid w:val="00E12526"/>
    <w:rsid w:val="00F245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52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
    <w:name w:val="Grid Table 4 Accent 1"/>
    <w:basedOn w:val="TableNormal"/>
    <w:uiPriority w:val="49"/>
    <w:rsid w:val="00E12526"/>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LineNumber">
    <w:name w:val="line number"/>
    <w:basedOn w:val="DefaultParagraphFont"/>
    <w:uiPriority w:val="99"/>
    <w:semiHidden/>
    <w:unhideWhenUsed/>
    <w:rsid w:val="00E12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52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
    <w:name w:val="Grid Table 4 Accent 1"/>
    <w:basedOn w:val="TableNormal"/>
    <w:uiPriority w:val="49"/>
    <w:rsid w:val="00E12526"/>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LineNumber">
    <w:name w:val="line number"/>
    <w:basedOn w:val="DefaultParagraphFont"/>
    <w:uiPriority w:val="99"/>
    <w:semiHidden/>
    <w:unhideWhenUsed/>
    <w:rsid w:val="00E12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2025-10-26T23:57:00Z</dcterms:created>
  <dcterms:modified xsi:type="dcterms:W3CDTF">2025-10-26T23:57:00Z</dcterms:modified>
</cp:coreProperties>
</file>