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D0BBD" w14:textId="77777777" w:rsidR="00C11F69" w:rsidRPr="002D0CE1" w:rsidRDefault="002E10F0" w:rsidP="002D0CE1">
      <w:pPr>
        <w:spacing w:after="0" w:line="480" w:lineRule="auto"/>
        <w:jc w:val="center"/>
        <w:rPr>
          <w:rFonts w:cs="Times New Roman"/>
          <w:b/>
          <w:caps/>
          <w:sz w:val="28"/>
          <w:szCs w:val="28"/>
        </w:rPr>
      </w:pPr>
      <w:r w:rsidRPr="002D0CE1">
        <w:rPr>
          <w:rFonts w:cs="Times New Roman"/>
          <w:b/>
          <w:caps/>
          <w:sz w:val="28"/>
          <w:szCs w:val="28"/>
        </w:rPr>
        <w:t xml:space="preserve">Supplementary </w:t>
      </w:r>
      <w:r w:rsidR="00991A71" w:rsidRPr="00991A71">
        <w:rPr>
          <w:rFonts w:cs="Times New Roman"/>
          <w:b/>
          <w:caps/>
          <w:sz w:val="28"/>
          <w:szCs w:val="28"/>
        </w:rPr>
        <w:t>Information</w:t>
      </w:r>
    </w:p>
    <w:p w14:paraId="62084353" w14:textId="77777777" w:rsidR="001341B9" w:rsidRDefault="001341B9" w:rsidP="002D0CE1">
      <w:pPr>
        <w:spacing w:after="0" w:line="360" w:lineRule="auto"/>
        <w:ind w:firstLineChars="100" w:firstLine="280"/>
        <w:jc w:val="center"/>
        <w:rPr>
          <w:rFonts w:cs="Times New Roman"/>
          <w:b/>
          <w:bCs/>
          <w:color w:val="000000" w:themeColor="text1"/>
          <w:sz w:val="28"/>
          <w:szCs w:val="24"/>
        </w:rPr>
      </w:pPr>
    </w:p>
    <w:p w14:paraId="720BB61E" w14:textId="77777777" w:rsidR="00D21673" w:rsidRPr="006A4DDF" w:rsidRDefault="00D21673" w:rsidP="00D21673">
      <w:pPr>
        <w:spacing w:after="0" w:line="360" w:lineRule="auto"/>
        <w:jc w:val="center"/>
        <w:rPr>
          <w:rFonts w:cs="Times New Roman"/>
          <w:b/>
          <w:sz w:val="28"/>
          <w:szCs w:val="24"/>
        </w:rPr>
      </w:pPr>
      <w:r w:rsidRPr="006A4DDF">
        <w:rPr>
          <w:rFonts w:cs="Times New Roman"/>
          <w:b/>
          <w:sz w:val="28"/>
          <w:szCs w:val="24"/>
        </w:rPr>
        <w:t>Predicting IgA Nephropathy Progression Through CD8</w:t>
      </w:r>
      <w:r w:rsidRPr="006A4DDF">
        <w:rPr>
          <w:rFonts w:cs="Times New Roman"/>
          <w:b/>
          <w:sz w:val="28"/>
          <w:szCs w:val="24"/>
          <w:vertAlign w:val="superscript"/>
        </w:rPr>
        <w:t>+</w:t>
      </w:r>
      <w:r w:rsidRPr="006A4DDF">
        <w:rPr>
          <w:rFonts w:cs="Times New Roman"/>
          <w:b/>
          <w:sz w:val="28"/>
          <w:szCs w:val="24"/>
        </w:rPr>
        <w:t xml:space="preserve"> T-Cell Chromatin Accessibility Analysis</w:t>
      </w:r>
    </w:p>
    <w:p w14:paraId="46569D7A" w14:textId="77777777" w:rsidR="001341B9" w:rsidRPr="00D21673" w:rsidRDefault="001341B9" w:rsidP="001341B9">
      <w:pPr>
        <w:spacing w:after="0" w:line="360" w:lineRule="auto"/>
        <w:jc w:val="center"/>
        <w:rPr>
          <w:rFonts w:cs="Times New Roman"/>
          <w:b/>
          <w:bCs/>
          <w:color w:val="000000" w:themeColor="text1"/>
          <w:sz w:val="24"/>
          <w:szCs w:val="24"/>
        </w:rPr>
      </w:pPr>
    </w:p>
    <w:sdt>
      <w:sdtPr>
        <w:rPr>
          <w:rFonts w:asciiTheme="minorHAnsi" w:hAnsiTheme="minorHAnsi" w:cs="Times New Roman"/>
          <w:lang w:val="ko-KR"/>
        </w:rPr>
        <w:id w:val="-231477615"/>
        <w:docPartObj>
          <w:docPartGallery w:val="Table of Contents"/>
          <w:docPartUnique/>
        </w:docPartObj>
      </w:sdtPr>
      <w:sdtEndPr/>
      <w:sdtContent>
        <w:p w14:paraId="03E41F79" w14:textId="77777777" w:rsidR="001A206D" w:rsidRPr="00D21673" w:rsidRDefault="00324327" w:rsidP="00324327">
          <w:pPr>
            <w:spacing w:after="0" w:line="480" w:lineRule="auto"/>
            <w:jc w:val="both"/>
            <w:rPr>
              <w:rFonts w:cs="Times New Roman"/>
              <w:b/>
              <w:sz w:val="24"/>
              <w:szCs w:val="24"/>
            </w:rPr>
          </w:pPr>
          <w:r w:rsidRPr="00D21673">
            <w:rPr>
              <w:rFonts w:cs="Times New Roman"/>
              <w:b/>
              <w:sz w:val="24"/>
              <w:szCs w:val="24"/>
            </w:rPr>
            <w:t>Contents</w:t>
          </w:r>
        </w:p>
        <w:p w14:paraId="619829BD" w14:textId="77777777" w:rsidR="001A206D" w:rsidRPr="00D21673" w:rsidRDefault="004152F3" w:rsidP="004152F3">
          <w:pPr>
            <w:pStyle w:val="TOC1"/>
            <w:snapToGrid w:val="0"/>
            <w:spacing w:line="360" w:lineRule="auto"/>
            <w:rPr>
              <w:rFonts w:ascii="Times New Roman" w:hAnsi="Times New Roman" w:cs="Times New Roman"/>
            </w:rPr>
          </w:pPr>
          <w:r w:rsidRPr="00D21673">
            <w:rPr>
              <w:rFonts w:ascii="Times New Roman" w:hAnsi="Times New Roman" w:cs="Times New Roman"/>
              <w:bCs/>
            </w:rPr>
            <w:t xml:space="preserve">Supplementary Figure S1. </w:t>
          </w:r>
          <w:r w:rsidR="00D21673" w:rsidRPr="00182370">
            <w:rPr>
              <w:rFonts w:cs="Times New Roman"/>
              <w:b w:val="0"/>
            </w:rPr>
            <w:t>Regulatory network of downstream genes governed by upstream transcription factors enriched in early-stage and late-stage groups</w:t>
          </w:r>
          <w:r w:rsidRPr="00182370">
            <w:rPr>
              <w:rFonts w:ascii="Times New Roman" w:hAnsi="Times New Roman" w:cs="Times New Roman"/>
              <w:b w:val="0"/>
              <w:bCs/>
            </w:rPr>
            <w:t>.</w:t>
          </w:r>
          <w:r w:rsidR="001A206D" w:rsidRPr="00182370">
            <w:rPr>
              <w:rFonts w:ascii="Times New Roman" w:hAnsi="Times New Roman" w:cs="Times New Roman"/>
              <w:b w:val="0"/>
            </w:rPr>
            <w:ptab w:relativeTo="margin" w:alignment="right" w:leader="dot"/>
          </w:r>
          <w:r w:rsidR="00231E18" w:rsidRPr="00182370">
            <w:rPr>
              <w:rFonts w:ascii="Times New Roman" w:hAnsi="Times New Roman" w:cs="Times New Roman"/>
              <w:b w:val="0"/>
              <w:bCs/>
            </w:rPr>
            <w:t>2</w:t>
          </w:r>
        </w:p>
        <w:p w14:paraId="25862E20" w14:textId="77777777" w:rsidR="001A206D" w:rsidRPr="00182370" w:rsidRDefault="004152F3" w:rsidP="004152F3">
          <w:pPr>
            <w:pStyle w:val="TOC1"/>
            <w:snapToGrid w:val="0"/>
            <w:spacing w:line="360" w:lineRule="auto"/>
            <w:rPr>
              <w:rFonts w:ascii="Times New Roman" w:eastAsiaTheme="minorEastAsia" w:hAnsi="Times New Roman" w:cs="Times New Roman"/>
              <w:b w:val="0"/>
              <w:bCs/>
            </w:rPr>
          </w:pPr>
          <w:r w:rsidRPr="00D21673">
            <w:rPr>
              <w:rFonts w:ascii="Times New Roman" w:hAnsi="Times New Roman" w:cs="Times New Roman"/>
              <w:bCs/>
            </w:rPr>
            <w:t xml:space="preserve">Supplementary Figure S2. </w:t>
          </w:r>
          <w:r w:rsidR="00D21673" w:rsidRPr="00182370">
            <w:rPr>
              <w:rFonts w:cs="Times New Roman"/>
              <w:b w:val="0"/>
            </w:rPr>
            <w:t>Statistical evaluation of the top 10 early-stage group-enriched biomarkers.</w:t>
          </w:r>
          <w:r w:rsidR="001A206D" w:rsidRPr="00182370">
            <w:rPr>
              <w:rFonts w:ascii="Times New Roman" w:hAnsi="Times New Roman" w:cs="Times New Roman"/>
              <w:b w:val="0"/>
            </w:rPr>
            <w:ptab w:relativeTo="margin" w:alignment="right" w:leader="dot"/>
          </w:r>
          <w:r w:rsidR="001A206D" w:rsidRPr="00182370">
            <w:rPr>
              <w:rFonts w:ascii="Times New Roman" w:hAnsi="Times New Roman" w:cs="Times New Roman"/>
              <w:b w:val="0"/>
              <w:bCs/>
            </w:rPr>
            <w:t>4</w:t>
          </w:r>
        </w:p>
        <w:p w14:paraId="27A43BC5" w14:textId="111CC4D0" w:rsidR="00324327" w:rsidRPr="00D21673" w:rsidRDefault="004152F3" w:rsidP="00D21673">
          <w:pPr>
            <w:spacing w:after="0" w:line="480" w:lineRule="auto"/>
            <w:jc w:val="both"/>
            <w:rPr>
              <w:rFonts w:cs="Times New Roman"/>
              <w:b/>
            </w:rPr>
          </w:pPr>
          <w:r w:rsidRPr="00D21673">
            <w:rPr>
              <w:rFonts w:cs="Times New Roman"/>
              <w:b/>
              <w:bCs/>
            </w:rPr>
            <w:t xml:space="preserve">Supplementary Figure S3. </w:t>
          </w:r>
          <w:r w:rsidR="00D21673" w:rsidRPr="00182370">
            <w:rPr>
              <w:rFonts w:cs="Times New Roman"/>
              <w:sz w:val="24"/>
              <w:szCs w:val="24"/>
            </w:rPr>
            <w:t>Statistical evaluation of the top 10 late-stage group-enriched biomarkers.</w:t>
          </w:r>
          <w:r w:rsidR="003732E3">
            <w:rPr>
              <w:rFonts w:cs="Times New Roman" w:hint="eastAsia"/>
              <w:sz w:val="24"/>
              <w:szCs w:val="24"/>
            </w:rPr>
            <w:t xml:space="preserve"> </w:t>
          </w:r>
          <w:r w:rsidR="00324327" w:rsidRPr="00182370">
            <w:rPr>
              <w:rFonts w:cs="Times New Roman"/>
            </w:rPr>
            <w:ptab w:relativeTo="margin" w:alignment="right" w:leader="dot"/>
          </w:r>
          <w:r w:rsidR="00231E18" w:rsidRPr="00182370">
            <w:rPr>
              <w:rFonts w:cs="Times New Roman"/>
              <w:bCs/>
            </w:rPr>
            <w:t>6</w:t>
          </w:r>
        </w:p>
        <w:p w14:paraId="6295CC9B" w14:textId="77777777" w:rsidR="00324327" w:rsidRPr="00182370" w:rsidRDefault="004152F3" w:rsidP="004152F3">
          <w:pPr>
            <w:pStyle w:val="TOC1"/>
            <w:snapToGrid w:val="0"/>
            <w:spacing w:line="360" w:lineRule="auto"/>
            <w:rPr>
              <w:rFonts w:ascii="Times New Roman" w:eastAsiaTheme="minorEastAsia" w:hAnsi="Times New Roman" w:cs="Times New Roman"/>
              <w:b w:val="0"/>
            </w:rPr>
          </w:pPr>
          <w:r w:rsidRPr="00D21673">
            <w:rPr>
              <w:rFonts w:ascii="Times New Roman" w:hAnsi="Times New Roman" w:cs="Times New Roman"/>
              <w:bCs/>
            </w:rPr>
            <w:t xml:space="preserve">Supplementary Figure S4. </w:t>
          </w:r>
          <w:r w:rsidR="00D21673" w:rsidRPr="00182370">
            <w:rPr>
              <w:rFonts w:cs="Times New Roman"/>
              <w:b w:val="0"/>
            </w:rPr>
            <w:t>ATAC-qPCR-based quantification of early-stage group-enriched biomarkers</w:t>
          </w:r>
          <w:r w:rsidRPr="00182370">
            <w:rPr>
              <w:rFonts w:ascii="Times New Roman" w:hAnsi="Times New Roman" w:cs="Times New Roman"/>
              <w:b w:val="0"/>
              <w:bCs/>
            </w:rPr>
            <w:t>.</w:t>
          </w:r>
          <w:r w:rsidR="00324327" w:rsidRPr="00182370">
            <w:rPr>
              <w:rFonts w:ascii="Times New Roman" w:hAnsi="Times New Roman" w:cs="Times New Roman"/>
              <w:b w:val="0"/>
            </w:rPr>
            <w:ptab w:relativeTo="margin" w:alignment="right" w:leader="dot"/>
          </w:r>
          <w:r w:rsidR="00231E18" w:rsidRPr="00182370">
            <w:rPr>
              <w:rFonts w:ascii="Times New Roman" w:hAnsi="Times New Roman" w:cs="Times New Roman"/>
              <w:b w:val="0"/>
              <w:bCs/>
            </w:rPr>
            <w:t>7</w:t>
          </w:r>
        </w:p>
        <w:p w14:paraId="27D7408F" w14:textId="77777777" w:rsidR="00324327" w:rsidRPr="00182370" w:rsidRDefault="004152F3" w:rsidP="00D21673">
          <w:pPr>
            <w:spacing w:after="0" w:line="480" w:lineRule="auto"/>
            <w:jc w:val="both"/>
            <w:rPr>
              <w:rFonts w:cs="Times New Roman"/>
            </w:rPr>
          </w:pPr>
          <w:r w:rsidRPr="00D21673">
            <w:rPr>
              <w:rFonts w:cs="Times New Roman"/>
              <w:b/>
              <w:bCs/>
            </w:rPr>
            <w:t xml:space="preserve">Supplementary Figure S5. </w:t>
          </w:r>
          <w:r w:rsidR="00D21673" w:rsidRPr="00182370">
            <w:rPr>
              <w:rFonts w:cs="Times New Roman"/>
              <w:sz w:val="24"/>
              <w:szCs w:val="24"/>
            </w:rPr>
            <w:t>ATAC-qPCR-based quantification of late-stage group-enriched biomarkers</w:t>
          </w:r>
          <w:r w:rsidR="00324327" w:rsidRPr="00182370">
            <w:rPr>
              <w:rFonts w:cs="Times New Roman"/>
            </w:rPr>
            <w:ptab w:relativeTo="margin" w:alignment="right" w:leader="dot"/>
          </w:r>
          <w:r w:rsidR="00A92920">
            <w:rPr>
              <w:rFonts w:cs="Times New Roman"/>
              <w:bCs/>
            </w:rPr>
            <w:t>9</w:t>
          </w:r>
        </w:p>
        <w:p w14:paraId="09A04F95" w14:textId="166FEEF3" w:rsidR="003732E3" w:rsidRPr="003732E3" w:rsidRDefault="003732E3" w:rsidP="003732E3">
          <w:pPr>
            <w:spacing w:after="0" w:line="360" w:lineRule="auto"/>
            <w:jc w:val="both"/>
            <w:rPr>
              <w:rFonts w:cs="Times New Roman"/>
              <w:bCs/>
              <w:sz w:val="24"/>
              <w:szCs w:val="24"/>
            </w:rPr>
          </w:pPr>
          <w:r w:rsidRPr="003732E3">
            <w:rPr>
              <w:rFonts w:cs="Times New Roman"/>
              <w:b/>
              <w:bCs/>
              <w:sz w:val="24"/>
              <w:szCs w:val="24"/>
            </w:rPr>
            <w:t xml:space="preserve">Supplementary </w:t>
          </w:r>
          <w:r w:rsidRPr="003732E3">
            <w:rPr>
              <w:rFonts w:cs="Times New Roman"/>
              <w:b/>
              <w:sz w:val="24"/>
              <w:szCs w:val="24"/>
            </w:rPr>
            <w:t xml:space="preserve">Table S1. </w:t>
          </w:r>
          <w:r w:rsidRPr="003732E3">
            <w:rPr>
              <w:rFonts w:cs="Times New Roman"/>
              <w:sz w:val="24"/>
              <w:szCs w:val="24"/>
            </w:rPr>
            <w:t>Summary of sample information and ATAC-seq library quality metrics for CD8+ T-cell samples</w:t>
          </w:r>
          <w:r w:rsidRPr="003732E3">
            <w:rPr>
              <w:rFonts w:cs="Times New Roman"/>
              <w:sz w:val="24"/>
              <w:szCs w:val="24"/>
            </w:rPr>
            <w:ptab w:relativeTo="margin" w:alignment="right" w:leader="dot"/>
          </w:r>
          <w:r w:rsidRPr="003732E3">
            <w:rPr>
              <w:rFonts w:cs="Times New Roman"/>
              <w:bCs/>
              <w:sz w:val="24"/>
              <w:szCs w:val="24"/>
            </w:rPr>
            <w:t>1</w:t>
          </w:r>
          <w:r>
            <w:rPr>
              <w:rFonts w:cs="Times New Roman"/>
              <w:bCs/>
              <w:sz w:val="24"/>
              <w:szCs w:val="24"/>
            </w:rPr>
            <w:t>1</w:t>
          </w:r>
        </w:p>
        <w:p w14:paraId="351BA9C8" w14:textId="60932A9A" w:rsidR="003732E3" w:rsidRPr="003732E3" w:rsidRDefault="003732E3" w:rsidP="003732E3">
          <w:pPr>
            <w:pStyle w:val="TOC1"/>
            <w:snapToGrid w:val="0"/>
            <w:spacing w:line="360" w:lineRule="auto"/>
            <w:rPr>
              <w:rFonts w:ascii="Times New Roman" w:hAnsi="Times New Roman" w:cs="Times New Roman"/>
              <w:b w:val="0"/>
            </w:rPr>
          </w:pPr>
          <w:r w:rsidRPr="003732E3">
            <w:rPr>
              <w:rFonts w:ascii="Times New Roman" w:hAnsi="Times New Roman" w:cs="Times New Roman"/>
              <w:bCs/>
            </w:rPr>
            <w:t xml:space="preserve">Supplementary </w:t>
          </w:r>
          <w:r w:rsidRPr="003732E3">
            <w:rPr>
              <w:rFonts w:ascii="Times New Roman" w:hAnsi="Times New Roman" w:cs="Times New Roman"/>
            </w:rPr>
            <w:t xml:space="preserve">Table S2. </w:t>
          </w:r>
          <w:r w:rsidRPr="003732E3">
            <w:rPr>
              <w:rFonts w:ascii="Times New Roman" w:hAnsi="Times New Roman" w:cs="Times New Roman"/>
              <w:b w:val="0"/>
            </w:rPr>
            <w:t>Differentially accessible regions (DARs) identified in CD8+ T cells from patients with IgA nephropathy</w:t>
          </w:r>
          <w:r>
            <w:rPr>
              <w:rFonts w:ascii="Times New Roman" w:hAnsi="Times New Roman" w:cs="Times New Roman" w:hint="eastAsia"/>
              <w:b w:val="0"/>
            </w:rPr>
            <w:t>.</w:t>
          </w:r>
          <w:r w:rsidRPr="003732E3">
            <w:rPr>
              <w:rFonts w:ascii="Times New Roman" w:hAnsi="Times New Roman" w:cs="Times New Roman"/>
              <w:b w:val="0"/>
            </w:rPr>
            <w:ptab w:relativeTo="margin" w:alignment="right" w:leader="dot"/>
          </w:r>
          <w:r w:rsidRPr="003732E3">
            <w:rPr>
              <w:rFonts w:ascii="Times New Roman" w:hAnsi="Times New Roman" w:cs="Times New Roman"/>
              <w:b w:val="0"/>
              <w:bCs/>
            </w:rPr>
            <w:t>1</w:t>
          </w:r>
          <w:r>
            <w:rPr>
              <w:rFonts w:ascii="Times New Roman" w:hAnsi="Times New Roman" w:cs="Times New Roman"/>
              <w:b w:val="0"/>
              <w:bCs/>
            </w:rPr>
            <w:t>2</w:t>
          </w:r>
        </w:p>
        <w:p w14:paraId="4A945058" w14:textId="3895AB2C" w:rsidR="003732E3" w:rsidRPr="003732E3" w:rsidRDefault="003732E3" w:rsidP="003732E3">
          <w:pPr>
            <w:spacing w:after="0" w:line="360" w:lineRule="auto"/>
            <w:jc w:val="both"/>
            <w:rPr>
              <w:rFonts w:cs="Times New Roman"/>
              <w:sz w:val="24"/>
              <w:szCs w:val="24"/>
            </w:rPr>
          </w:pPr>
          <w:r w:rsidRPr="003732E3">
            <w:rPr>
              <w:rFonts w:cs="Times New Roman"/>
              <w:b/>
              <w:bCs/>
              <w:sz w:val="24"/>
              <w:szCs w:val="24"/>
            </w:rPr>
            <w:t xml:space="preserve">Supplementary </w:t>
          </w:r>
          <w:r w:rsidRPr="003732E3">
            <w:rPr>
              <w:rFonts w:cs="Times New Roman"/>
              <w:b/>
              <w:sz w:val="24"/>
              <w:szCs w:val="24"/>
            </w:rPr>
            <w:t xml:space="preserve">Table S3. </w:t>
          </w:r>
          <w:r w:rsidRPr="003732E3">
            <w:rPr>
              <w:rFonts w:cs="Times New Roman"/>
              <w:sz w:val="24"/>
              <w:szCs w:val="24"/>
            </w:rPr>
            <w:t>Covariable-adjusted differentially accessible regions (DARs) between early- and late-stage IgA nephropathy identified in circulating CD8+ T cells</w:t>
          </w:r>
          <w:r w:rsidRPr="003732E3">
            <w:rPr>
              <w:rFonts w:cs="Times New Roman"/>
              <w:sz w:val="24"/>
              <w:szCs w:val="24"/>
            </w:rPr>
            <w:ptab w:relativeTo="margin" w:alignment="right" w:leader="dot"/>
          </w:r>
          <w:r w:rsidRPr="003732E3">
            <w:rPr>
              <w:rFonts w:cs="Times New Roman"/>
              <w:bCs/>
              <w:sz w:val="24"/>
              <w:szCs w:val="24"/>
            </w:rPr>
            <w:t>1</w:t>
          </w:r>
          <w:r>
            <w:rPr>
              <w:rFonts w:cs="Times New Roman"/>
              <w:bCs/>
              <w:sz w:val="24"/>
              <w:szCs w:val="24"/>
            </w:rPr>
            <w:t>3</w:t>
          </w:r>
        </w:p>
        <w:p w14:paraId="087AE949" w14:textId="77777777" w:rsidR="003732E3" w:rsidRPr="003732E3" w:rsidRDefault="003732E3" w:rsidP="003732E3">
          <w:pPr>
            <w:spacing w:after="0" w:line="360" w:lineRule="auto"/>
            <w:jc w:val="both"/>
            <w:rPr>
              <w:rFonts w:cs="Times New Roman"/>
              <w:bCs/>
              <w:sz w:val="24"/>
              <w:szCs w:val="24"/>
            </w:rPr>
          </w:pPr>
          <w:r w:rsidRPr="003732E3">
            <w:rPr>
              <w:rFonts w:cs="Times New Roman"/>
              <w:b/>
              <w:bCs/>
              <w:sz w:val="24"/>
              <w:szCs w:val="24"/>
            </w:rPr>
            <w:t xml:space="preserve">Supplementary </w:t>
          </w:r>
          <w:r w:rsidRPr="003732E3">
            <w:rPr>
              <w:rFonts w:cs="Times New Roman"/>
              <w:b/>
              <w:sz w:val="24"/>
              <w:szCs w:val="24"/>
            </w:rPr>
            <w:t xml:space="preserve">Table S4. </w:t>
          </w:r>
          <w:r w:rsidRPr="003732E3">
            <w:rPr>
              <w:rFonts w:cs="Times New Roman"/>
              <w:sz w:val="24"/>
              <w:szCs w:val="24"/>
            </w:rPr>
            <w:t>Primer sequences used for ATAC-qPCR analysis</w:t>
          </w:r>
          <w:r w:rsidRPr="003732E3">
            <w:rPr>
              <w:rFonts w:cs="Times New Roman"/>
              <w:sz w:val="24"/>
              <w:szCs w:val="24"/>
            </w:rPr>
            <w:ptab w:relativeTo="margin" w:alignment="right" w:leader="dot"/>
          </w:r>
          <w:r w:rsidRPr="003732E3">
            <w:rPr>
              <w:rFonts w:cs="Times New Roman"/>
              <w:bCs/>
              <w:sz w:val="24"/>
              <w:szCs w:val="24"/>
            </w:rPr>
            <w:t>14</w:t>
          </w:r>
        </w:p>
        <w:p w14:paraId="049978C1" w14:textId="67F93EAF" w:rsidR="00FA119E" w:rsidRPr="003732E3" w:rsidRDefault="00FA119E" w:rsidP="00FA119E">
          <w:pPr>
            <w:pStyle w:val="TOC1"/>
            <w:snapToGrid w:val="0"/>
            <w:spacing w:line="360" w:lineRule="auto"/>
            <w:rPr>
              <w:rFonts w:ascii="Times New Roman" w:hAnsi="Times New Roman" w:cs="Times New Roman"/>
              <w:b w:val="0"/>
            </w:rPr>
          </w:pPr>
          <w:r w:rsidRPr="003732E3">
            <w:rPr>
              <w:rFonts w:ascii="Times New Roman" w:hAnsi="Times New Roman" w:cs="Times New Roman"/>
              <w:bCs/>
            </w:rPr>
            <w:t xml:space="preserve">Supplementary </w:t>
          </w:r>
          <w:r w:rsidRPr="003732E3">
            <w:rPr>
              <w:rFonts w:ascii="Times New Roman" w:hAnsi="Times New Roman" w:cs="Times New Roman"/>
            </w:rPr>
            <w:t>Table S</w:t>
          </w:r>
          <w:r w:rsidR="003732E3" w:rsidRPr="003732E3">
            <w:rPr>
              <w:rFonts w:ascii="Times New Roman" w:hAnsi="Times New Roman" w:cs="Times New Roman"/>
            </w:rPr>
            <w:t>5</w:t>
          </w:r>
          <w:r w:rsidRPr="003732E3">
            <w:rPr>
              <w:rFonts w:ascii="Times New Roman" w:hAnsi="Times New Roman" w:cs="Times New Roman"/>
            </w:rPr>
            <w:t xml:space="preserve">. </w:t>
          </w:r>
          <w:r w:rsidRPr="003732E3">
            <w:rPr>
              <w:rFonts w:ascii="Times New Roman" w:eastAsia="HYSinMyeongJo-Medium" w:hAnsi="Times New Roman" w:cs="Times New Roman"/>
              <w:b w:val="0"/>
            </w:rPr>
            <w:t>Baseline characteristics of the subjects</w:t>
          </w:r>
          <w:r w:rsidRPr="003732E3">
            <w:rPr>
              <w:rFonts w:ascii="Times New Roman" w:hAnsi="Times New Roman" w:cs="Times New Roman"/>
              <w:b w:val="0"/>
              <w:bCs/>
            </w:rPr>
            <w:t>.</w:t>
          </w:r>
          <w:r w:rsidRPr="003732E3">
            <w:rPr>
              <w:rFonts w:ascii="Times New Roman" w:hAnsi="Times New Roman" w:cs="Times New Roman"/>
              <w:b w:val="0"/>
            </w:rPr>
            <w:ptab w:relativeTo="margin" w:alignment="right" w:leader="dot"/>
          </w:r>
          <w:r w:rsidRPr="003732E3">
            <w:rPr>
              <w:rFonts w:ascii="Times New Roman" w:hAnsi="Times New Roman" w:cs="Times New Roman"/>
              <w:b w:val="0"/>
              <w:bCs/>
            </w:rPr>
            <w:t>1</w:t>
          </w:r>
          <w:r w:rsidR="003732E3">
            <w:rPr>
              <w:rFonts w:ascii="Times New Roman" w:hAnsi="Times New Roman" w:cs="Times New Roman"/>
              <w:b w:val="0"/>
              <w:bCs/>
            </w:rPr>
            <w:t>5</w:t>
          </w:r>
        </w:p>
        <w:p w14:paraId="6BBA67AC" w14:textId="76D37ED1" w:rsidR="00E20C51" w:rsidRPr="003732E3" w:rsidRDefault="00E20C51" w:rsidP="00FA119E">
          <w:pPr>
            <w:spacing w:after="0" w:line="360" w:lineRule="auto"/>
            <w:jc w:val="both"/>
            <w:rPr>
              <w:rFonts w:cs="Times New Roman"/>
              <w:sz w:val="24"/>
              <w:szCs w:val="24"/>
            </w:rPr>
          </w:pPr>
        </w:p>
        <w:p w14:paraId="692818E2" w14:textId="130D0DB4" w:rsidR="001A206D" w:rsidRDefault="009B53EF" w:rsidP="003732E3">
          <w:pPr>
            <w:pStyle w:val="TOC3"/>
            <w:ind w:left="0"/>
          </w:pPr>
        </w:p>
      </w:sdtContent>
    </w:sdt>
    <w:p w14:paraId="424F896B" w14:textId="77777777" w:rsidR="00A92920" w:rsidRDefault="00F81042" w:rsidP="00F81042">
      <w:pPr>
        <w:spacing w:after="0" w:line="480" w:lineRule="auto"/>
        <w:jc w:val="both"/>
        <w:rPr>
          <w:rFonts w:cs="Times New Roman"/>
          <w:b/>
          <w:bCs/>
          <w:color w:val="000000" w:themeColor="text1"/>
          <w:sz w:val="24"/>
          <w:szCs w:val="24"/>
        </w:rPr>
      </w:pPr>
      <w:r w:rsidRPr="00D21673">
        <w:rPr>
          <w:rFonts w:cs="Times New Roman"/>
          <w:b/>
          <w:bCs/>
        </w:rPr>
        <w:lastRenderedPageBreak/>
        <w:t>Supplementary</w:t>
      </w:r>
      <w:r w:rsidRPr="006A4DDF">
        <w:rPr>
          <w:rFonts w:cs="Times New Roman"/>
          <w:b/>
          <w:sz w:val="24"/>
          <w:szCs w:val="24"/>
        </w:rPr>
        <w:t xml:space="preserve"> Figure S1. Regulatory network of downstream genes governed by upstream transcription factors enriched in early-stage and late-stage groups.</w:t>
      </w:r>
      <w:r w:rsidR="00626939" w:rsidRPr="00626939">
        <w:rPr>
          <w:rFonts w:cs="Times New Roman"/>
          <w:b/>
          <w:bCs/>
          <w:color w:val="000000" w:themeColor="text1"/>
          <w:sz w:val="24"/>
          <w:szCs w:val="24"/>
        </w:rPr>
        <w:t xml:space="preserve"> </w:t>
      </w:r>
    </w:p>
    <w:p w14:paraId="00579642" w14:textId="77777777" w:rsidR="00F81042" w:rsidRPr="006A4DDF" w:rsidRDefault="00626939" w:rsidP="00F81042">
      <w:pPr>
        <w:spacing w:after="0" w:line="480" w:lineRule="auto"/>
        <w:jc w:val="both"/>
        <w:rPr>
          <w:rFonts w:cs="Times New Roman"/>
          <w:b/>
          <w:sz w:val="24"/>
          <w:szCs w:val="24"/>
        </w:rPr>
      </w:pPr>
      <w:r>
        <w:rPr>
          <w:rFonts w:cs="Times New Roman"/>
          <w:b/>
          <w:bCs/>
          <w:noProof/>
          <w:color w:val="000000" w:themeColor="text1"/>
          <w:sz w:val="24"/>
          <w:szCs w:val="24"/>
        </w:rPr>
        <w:drawing>
          <wp:inline distT="0" distB="0" distL="0" distR="0" wp14:anchorId="6948DD63" wp14:editId="2B61FF19">
            <wp:extent cx="4146231" cy="5991225"/>
            <wp:effectExtent l="0" t="0" r="6985"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62112" cy="6014173"/>
                    </a:xfrm>
                    <a:prstGeom prst="rect">
                      <a:avLst/>
                    </a:prstGeom>
                    <a:noFill/>
                  </pic:spPr>
                </pic:pic>
              </a:graphicData>
            </a:graphic>
          </wp:inline>
        </w:drawing>
      </w:r>
    </w:p>
    <w:p w14:paraId="3B2C00EC" w14:textId="77777777" w:rsidR="00F81042" w:rsidRPr="006A4DDF" w:rsidRDefault="00F81042" w:rsidP="00F81042">
      <w:pPr>
        <w:spacing w:after="0" w:line="480" w:lineRule="auto"/>
        <w:jc w:val="both"/>
        <w:rPr>
          <w:rFonts w:cs="Times New Roman"/>
          <w:sz w:val="24"/>
          <w:szCs w:val="24"/>
        </w:rPr>
      </w:pPr>
      <w:r w:rsidRPr="006A4DDF">
        <w:rPr>
          <w:rFonts w:cs="Times New Roman"/>
          <w:b/>
          <w:sz w:val="24"/>
          <w:szCs w:val="24"/>
        </w:rPr>
        <w:t>a, b</w:t>
      </w:r>
      <w:r w:rsidRPr="006A4DDF">
        <w:rPr>
          <w:rFonts w:cs="Times New Roman"/>
          <w:sz w:val="24"/>
          <w:szCs w:val="24"/>
        </w:rPr>
        <w:t xml:space="preserve"> Predicted regulatory networks of downstream genes controlled by</w:t>
      </w:r>
      <w:r w:rsidRPr="006A4DDF" w:rsidDel="004A40F6">
        <w:rPr>
          <w:rFonts w:cs="Times New Roman"/>
          <w:sz w:val="24"/>
          <w:szCs w:val="24"/>
        </w:rPr>
        <w:t xml:space="preserve"> </w:t>
      </w:r>
      <w:r w:rsidRPr="006A4DDF">
        <w:rPr>
          <w:rFonts w:cs="Times New Roman"/>
          <w:sz w:val="24"/>
          <w:szCs w:val="24"/>
        </w:rPr>
        <w:t>the top 5 transcription factors enriched in the early-stage (</w:t>
      </w:r>
      <w:r w:rsidRPr="006A4DDF">
        <w:rPr>
          <w:rFonts w:cs="Times New Roman"/>
          <w:b/>
          <w:sz w:val="24"/>
          <w:szCs w:val="24"/>
        </w:rPr>
        <w:t>a</w:t>
      </w:r>
      <w:r w:rsidRPr="006A4DDF">
        <w:rPr>
          <w:rFonts w:cs="Times New Roman"/>
          <w:sz w:val="24"/>
          <w:szCs w:val="24"/>
        </w:rPr>
        <w:t>) and late-stage (</w:t>
      </w:r>
      <w:r w:rsidRPr="006A4DDF">
        <w:rPr>
          <w:rFonts w:cs="Times New Roman"/>
          <w:b/>
          <w:sz w:val="24"/>
          <w:szCs w:val="24"/>
        </w:rPr>
        <w:t>b</w:t>
      </w:r>
      <w:r w:rsidRPr="006A4DDF">
        <w:rPr>
          <w:rFonts w:cs="Times New Roman"/>
          <w:sz w:val="24"/>
          <w:szCs w:val="24"/>
        </w:rPr>
        <w:t>) groups of CD8</w:t>
      </w:r>
      <w:r w:rsidRPr="006A4DDF">
        <w:rPr>
          <w:rFonts w:cs="Times New Roman"/>
          <w:sz w:val="24"/>
          <w:szCs w:val="24"/>
          <w:vertAlign w:val="superscript"/>
        </w:rPr>
        <w:t>+</w:t>
      </w:r>
      <w:r w:rsidRPr="006A4DDF">
        <w:rPr>
          <w:rFonts w:cs="Times New Roman"/>
          <w:sz w:val="24"/>
          <w:szCs w:val="24"/>
        </w:rPr>
        <w:t xml:space="preserve"> T cells, analyzed using Ingenuity Pathway Analysis (IPA). Downstream genes were categorized by gene families, </w:t>
      </w:r>
      <w:r w:rsidRPr="006A4DDF">
        <w:rPr>
          <w:rFonts w:cs="Times New Roman"/>
          <w:sz w:val="24"/>
          <w:szCs w:val="24"/>
        </w:rPr>
        <w:lastRenderedPageBreak/>
        <w:t>including transcription regulator (</w:t>
      </w:r>
      <w:r w:rsidRPr="006A4DDF">
        <w:rPr>
          <w:rFonts w:cs="Times New Roman"/>
          <w:i/>
          <w:sz w:val="24"/>
          <w:szCs w:val="24"/>
        </w:rPr>
        <w:t>red</w:t>
      </w:r>
      <w:r w:rsidRPr="006A4DDF">
        <w:rPr>
          <w:rFonts w:cs="Times New Roman"/>
          <w:sz w:val="24"/>
          <w:szCs w:val="24"/>
        </w:rPr>
        <w:t>), transmembrane receptor (</w:t>
      </w:r>
      <w:r w:rsidRPr="006A4DDF">
        <w:rPr>
          <w:rFonts w:cs="Times New Roman"/>
          <w:i/>
          <w:sz w:val="24"/>
          <w:szCs w:val="24"/>
        </w:rPr>
        <w:t>green</w:t>
      </w:r>
      <w:r w:rsidRPr="006A4DDF">
        <w:rPr>
          <w:rFonts w:cs="Times New Roman"/>
          <w:sz w:val="24"/>
          <w:szCs w:val="24"/>
        </w:rPr>
        <w:t>), cytokine (</w:t>
      </w:r>
      <w:r w:rsidRPr="006A4DDF">
        <w:rPr>
          <w:rFonts w:cs="Times New Roman"/>
          <w:i/>
          <w:sz w:val="24"/>
          <w:szCs w:val="24"/>
        </w:rPr>
        <w:t>yellow</w:t>
      </w:r>
      <w:r w:rsidRPr="006A4DDF">
        <w:rPr>
          <w:rFonts w:cs="Times New Roman"/>
          <w:sz w:val="24"/>
          <w:szCs w:val="24"/>
        </w:rPr>
        <w:t>), transporter (</w:t>
      </w:r>
      <w:r w:rsidRPr="006A4DDF">
        <w:rPr>
          <w:rFonts w:cs="Times New Roman"/>
          <w:i/>
          <w:sz w:val="24"/>
          <w:szCs w:val="24"/>
        </w:rPr>
        <w:t>light blue</w:t>
      </w:r>
      <w:r w:rsidRPr="006A4DDF">
        <w:rPr>
          <w:rFonts w:cs="Times New Roman"/>
          <w:sz w:val="24"/>
          <w:szCs w:val="24"/>
        </w:rPr>
        <w:t>), kinase (</w:t>
      </w:r>
      <w:r w:rsidRPr="006A4DDF">
        <w:rPr>
          <w:rFonts w:cs="Times New Roman"/>
          <w:i/>
          <w:sz w:val="24"/>
          <w:szCs w:val="24"/>
        </w:rPr>
        <w:t>brown</w:t>
      </w:r>
      <w:r w:rsidRPr="006A4DDF">
        <w:rPr>
          <w:rFonts w:cs="Times New Roman"/>
          <w:sz w:val="24"/>
          <w:szCs w:val="24"/>
        </w:rPr>
        <w:t>), enzyme (</w:t>
      </w:r>
      <w:r w:rsidRPr="006A4DDF">
        <w:rPr>
          <w:rFonts w:cs="Times New Roman"/>
          <w:i/>
          <w:sz w:val="24"/>
          <w:szCs w:val="24"/>
        </w:rPr>
        <w:t>turquoise</w:t>
      </w:r>
      <w:r w:rsidRPr="006A4DDF">
        <w:rPr>
          <w:rFonts w:cs="Times New Roman"/>
          <w:sz w:val="24"/>
          <w:szCs w:val="24"/>
        </w:rPr>
        <w:t>), phosphatase (</w:t>
      </w:r>
      <w:r w:rsidRPr="006A4DDF">
        <w:rPr>
          <w:rFonts w:cs="Times New Roman"/>
          <w:i/>
          <w:sz w:val="24"/>
          <w:szCs w:val="24"/>
        </w:rPr>
        <w:t>black</w:t>
      </w:r>
      <w:r w:rsidRPr="006A4DDF">
        <w:rPr>
          <w:rFonts w:cs="Times New Roman"/>
          <w:sz w:val="24"/>
          <w:szCs w:val="24"/>
        </w:rPr>
        <w:t>), and G-protein coupled receptor (</w:t>
      </w:r>
      <w:r w:rsidRPr="006A4DDF">
        <w:rPr>
          <w:rFonts w:cs="Times New Roman"/>
          <w:i/>
          <w:sz w:val="24"/>
          <w:szCs w:val="24"/>
        </w:rPr>
        <w:t>purple</w:t>
      </w:r>
      <w:r w:rsidRPr="006A4DDF">
        <w:rPr>
          <w:rFonts w:cs="Times New Roman"/>
          <w:sz w:val="24"/>
          <w:szCs w:val="24"/>
        </w:rPr>
        <w:t>).</w:t>
      </w:r>
    </w:p>
    <w:p w14:paraId="222C3840" w14:textId="77777777" w:rsidR="00F81042" w:rsidRPr="006A4DDF" w:rsidRDefault="00F81042" w:rsidP="00F81042">
      <w:pPr>
        <w:spacing w:after="0" w:line="480" w:lineRule="auto"/>
        <w:jc w:val="both"/>
        <w:rPr>
          <w:rFonts w:cs="Times New Roman"/>
          <w:sz w:val="24"/>
          <w:szCs w:val="24"/>
        </w:rPr>
      </w:pPr>
    </w:p>
    <w:p w14:paraId="1576C14D" w14:textId="77777777" w:rsidR="00626939" w:rsidRDefault="00626939" w:rsidP="00F81042">
      <w:pPr>
        <w:spacing w:after="0" w:line="480" w:lineRule="auto"/>
        <w:jc w:val="both"/>
        <w:rPr>
          <w:rFonts w:cs="Times New Roman"/>
          <w:b/>
          <w:bCs/>
        </w:rPr>
      </w:pPr>
      <w:r>
        <w:rPr>
          <w:rFonts w:cs="Times New Roman"/>
          <w:b/>
          <w:bCs/>
        </w:rPr>
        <w:br w:type="page"/>
      </w:r>
    </w:p>
    <w:p w14:paraId="07E2567B" w14:textId="77777777" w:rsidR="00F81042" w:rsidRPr="006A4DDF" w:rsidRDefault="00F81042" w:rsidP="00F81042">
      <w:pPr>
        <w:spacing w:after="0" w:line="480" w:lineRule="auto"/>
        <w:jc w:val="both"/>
        <w:rPr>
          <w:rFonts w:cs="Times New Roman"/>
          <w:b/>
          <w:sz w:val="24"/>
          <w:szCs w:val="24"/>
        </w:rPr>
      </w:pPr>
      <w:r w:rsidRPr="00D21673">
        <w:rPr>
          <w:rFonts w:cs="Times New Roman"/>
          <w:b/>
          <w:bCs/>
        </w:rPr>
        <w:lastRenderedPageBreak/>
        <w:t>Supplementary</w:t>
      </w:r>
      <w:r w:rsidRPr="006A4DDF">
        <w:rPr>
          <w:rFonts w:cs="Times New Roman"/>
          <w:b/>
          <w:sz w:val="24"/>
          <w:szCs w:val="24"/>
        </w:rPr>
        <w:t xml:space="preserve"> Figure S2. Statistical evaluation of the top 10 early-stage group-enriched biomarkers.</w:t>
      </w:r>
    </w:p>
    <w:p w14:paraId="111C664F" w14:textId="77777777" w:rsidR="00F81042" w:rsidRPr="006A4DDF" w:rsidRDefault="00626939" w:rsidP="00F81042">
      <w:pPr>
        <w:spacing w:after="0" w:line="480" w:lineRule="auto"/>
        <w:jc w:val="both"/>
        <w:rPr>
          <w:rFonts w:cs="Times New Roman"/>
          <w:sz w:val="24"/>
          <w:szCs w:val="24"/>
        </w:rPr>
      </w:pPr>
      <w:r>
        <w:rPr>
          <w:rFonts w:cs="Times New Roman"/>
          <w:noProof/>
          <w:sz w:val="24"/>
          <w:szCs w:val="24"/>
        </w:rPr>
        <w:drawing>
          <wp:inline distT="0" distB="0" distL="0" distR="0" wp14:anchorId="69843DA4" wp14:editId="113DBB6F">
            <wp:extent cx="6009640" cy="5581015"/>
            <wp:effectExtent l="0" t="0" r="0" b="635"/>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t="11615"/>
                    <a:stretch/>
                  </pic:blipFill>
                  <pic:spPr bwMode="auto">
                    <a:xfrm>
                      <a:off x="0" y="0"/>
                      <a:ext cx="6009640" cy="5581015"/>
                    </a:xfrm>
                    <a:prstGeom prst="rect">
                      <a:avLst/>
                    </a:prstGeom>
                    <a:noFill/>
                    <a:ln>
                      <a:noFill/>
                    </a:ln>
                    <a:extLst>
                      <a:ext uri="{53640926-AAD7-44D8-BBD7-CCE9431645EC}">
                        <a14:shadowObscured xmlns:a14="http://schemas.microsoft.com/office/drawing/2010/main"/>
                      </a:ext>
                    </a:extLst>
                  </pic:spPr>
                </pic:pic>
              </a:graphicData>
            </a:graphic>
          </wp:inline>
        </w:drawing>
      </w:r>
      <w:r w:rsidR="00F81042" w:rsidRPr="006A4DDF">
        <w:rPr>
          <w:rFonts w:cs="Times New Roman"/>
          <w:sz w:val="24"/>
          <w:szCs w:val="24"/>
        </w:rPr>
        <w:t>Chromatin openness of the top 10 biomarkers enriched in the early-stage group is presented for early-stage (</w:t>
      </w:r>
      <w:r w:rsidR="00F81042" w:rsidRPr="006A4DDF">
        <w:rPr>
          <w:rFonts w:cs="Times New Roman"/>
          <w:i/>
          <w:sz w:val="24"/>
          <w:szCs w:val="24"/>
        </w:rPr>
        <w:t>blue</w:t>
      </w:r>
      <w:r w:rsidR="00F81042" w:rsidRPr="006A4DDF">
        <w:rPr>
          <w:rFonts w:cs="Times New Roman"/>
          <w:sz w:val="24"/>
          <w:szCs w:val="24"/>
        </w:rPr>
        <w:t>) and late-stage (</w:t>
      </w:r>
      <w:r w:rsidR="00F81042" w:rsidRPr="006A4DDF">
        <w:rPr>
          <w:rFonts w:cs="Times New Roman"/>
          <w:i/>
          <w:sz w:val="24"/>
          <w:szCs w:val="24"/>
        </w:rPr>
        <w:t>red</w:t>
      </w:r>
      <w:r w:rsidR="00F81042" w:rsidRPr="006A4DDF">
        <w:rPr>
          <w:rFonts w:cs="Times New Roman"/>
          <w:sz w:val="24"/>
          <w:szCs w:val="24"/>
        </w:rPr>
        <w:t xml:space="preserve">) groups using normalized area values. Dot plots (left) display individual data points with bars representing the mean ± SEM (early: </w:t>
      </w:r>
      <w:r w:rsidR="00F81042" w:rsidRPr="006A4DDF">
        <w:rPr>
          <w:rFonts w:cs="Times New Roman"/>
          <w:i/>
          <w:sz w:val="24"/>
          <w:szCs w:val="24"/>
        </w:rPr>
        <w:t>n</w:t>
      </w:r>
      <w:r w:rsidR="00F81042" w:rsidRPr="006A4DDF">
        <w:rPr>
          <w:rFonts w:cs="Times New Roman"/>
          <w:sz w:val="24"/>
          <w:szCs w:val="24"/>
        </w:rPr>
        <w:t xml:space="preserve"> = 11, late: </w:t>
      </w:r>
      <w:r w:rsidR="00F81042" w:rsidRPr="006A4DDF">
        <w:rPr>
          <w:rFonts w:cs="Times New Roman"/>
          <w:i/>
          <w:sz w:val="24"/>
          <w:szCs w:val="24"/>
        </w:rPr>
        <w:t>n</w:t>
      </w:r>
      <w:r w:rsidR="00F81042" w:rsidRPr="006A4DDF">
        <w:rPr>
          <w:rFonts w:cs="Times New Roman"/>
          <w:sz w:val="24"/>
          <w:szCs w:val="24"/>
        </w:rPr>
        <w:t xml:space="preserve"> = 6). Statistical significance was determined by Student’s </w:t>
      </w:r>
      <w:r w:rsidR="00F81042" w:rsidRPr="006A4DDF">
        <w:rPr>
          <w:rFonts w:cs="Times New Roman"/>
          <w:i/>
          <w:sz w:val="24"/>
          <w:szCs w:val="24"/>
        </w:rPr>
        <w:t>t</w:t>
      </w:r>
      <w:r w:rsidR="00F81042" w:rsidRPr="006A4DDF">
        <w:rPr>
          <w:rFonts w:cs="Times New Roman"/>
          <w:sz w:val="24"/>
          <w:szCs w:val="24"/>
        </w:rPr>
        <w:t xml:space="preserve">-test. ROC curves (middle) assess predictive </w:t>
      </w:r>
      <w:r w:rsidR="00F81042" w:rsidRPr="006A4DDF">
        <w:rPr>
          <w:rFonts w:cs="Times New Roman"/>
          <w:sz w:val="24"/>
          <w:szCs w:val="24"/>
        </w:rPr>
        <w:lastRenderedPageBreak/>
        <w:t>performance, and waterfall plots (right) visualize chromatin openness relative to the cut-off for each biomarker.</w:t>
      </w:r>
    </w:p>
    <w:p w14:paraId="098D8BF7" w14:textId="77777777" w:rsidR="00F81042" w:rsidRPr="006A4DDF" w:rsidRDefault="00F81042" w:rsidP="00F81042">
      <w:pPr>
        <w:spacing w:after="0" w:line="480" w:lineRule="auto"/>
        <w:jc w:val="both"/>
        <w:rPr>
          <w:rFonts w:cs="Times New Roman"/>
          <w:sz w:val="24"/>
          <w:szCs w:val="24"/>
        </w:rPr>
      </w:pPr>
    </w:p>
    <w:p w14:paraId="163F3D1A" w14:textId="77777777" w:rsidR="00626939" w:rsidRDefault="00626939" w:rsidP="00F81042">
      <w:pPr>
        <w:spacing w:after="0" w:line="480" w:lineRule="auto"/>
        <w:jc w:val="both"/>
        <w:rPr>
          <w:rFonts w:cs="Times New Roman"/>
          <w:b/>
          <w:bCs/>
        </w:rPr>
      </w:pPr>
      <w:r>
        <w:rPr>
          <w:rFonts w:cs="Times New Roman"/>
          <w:b/>
          <w:bCs/>
        </w:rPr>
        <w:br w:type="page"/>
      </w:r>
    </w:p>
    <w:p w14:paraId="1317D508" w14:textId="77777777" w:rsidR="00F81042" w:rsidRPr="006A4DDF" w:rsidRDefault="00F81042" w:rsidP="00F81042">
      <w:pPr>
        <w:spacing w:after="0" w:line="480" w:lineRule="auto"/>
        <w:jc w:val="both"/>
        <w:rPr>
          <w:rFonts w:cs="Times New Roman"/>
          <w:b/>
          <w:sz w:val="24"/>
          <w:szCs w:val="24"/>
        </w:rPr>
      </w:pPr>
      <w:r w:rsidRPr="00D21673">
        <w:rPr>
          <w:rFonts w:cs="Times New Roman"/>
          <w:b/>
          <w:bCs/>
        </w:rPr>
        <w:lastRenderedPageBreak/>
        <w:t>Supplementary</w:t>
      </w:r>
      <w:r w:rsidRPr="006A4DDF">
        <w:rPr>
          <w:rFonts w:cs="Times New Roman"/>
          <w:b/>
          <w:sz w:val="24"/>
          <w:szCs w:val="24"/>
        </w:rPr>
        <w:t xml:space="preserve"> Figure S3. Statistical evaluation of the top 10 late-stage group-enriched biomarkers.</w:t>
      </w:r>
    </w:p>
    <w:p w14:paraId="14544B6E" w14:textId="77777777" w:rsidR="00E81CC4" w:rsidRDefault="00E81CC4" w:rsidP="00F81042">
      <w:pPr>
        <w:spacing w:after="0" w:line="480" w:lineRule="auto"/>
        <w:jc w:val="both"/>
        <w:rPr>
          <w:rFonts w:cs="Times New Roman"/>
          <w:sz w:val="24"/>
          <w:szCs w:val="24"/>
        </w:rPr>
      </w:pPr>
      <w:r>
        <w:rPr>
          <w:rFonts w:cs="Times New Roman"/>
          <w:b/>
          <w:noProof/>
          <w:sz w:val="24"/>
          <w:szCs w:val="24"/>
        </w:rPr>
        <w:drawing>
          <wp:inline distT="0" distB="0" distL="0" distR="0" wp14:anchorId="084C58A9" wp14:editId="73F1FBDF">
            <wp:extent cx="5809615" cy="5466340"/>
            <wp:effectExtent l="0" t="0" r="635" b="127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2244" t="11964"/>
                    <a:stretch/>
                  </pic:blipFill>
                  <pic:spPr bwMode="auto">
                    <a:xfrm>
                      <a:off x="0" y="0"/>
                      <a:ext cx="5810236" cy="5466924"/>
                    </a:xfrm>
                    <a:prstGeom prst="rect">
                      <a:avLst/>
                    </a:prstGeom>
                    <a:noFill/>
                    <a:ln>
                      <a:noFill/>
                    </a:ln>
                    <a:extLst>
                      <a:ext uri="{53640926-AAD7-44D8-BBD7-CCE9431645EC}">
                        <a14:shadowObscured xmlns:a14="http://schemas.microsoft.com/office/drawing/2010/main"/>
                      </a:ext>
                    </a:extLst>
                  </pic:spPr>
                </pic:pic>
              </a:graphicData>
            </a:graphic>
          </wp:inline>
        </w:drawing>
      </w:r>
    </w:p>
    <w:p w14:paraId="00DE854B" w14:textId="77777777" w:rsidR="00F81042" w:rsidRPr="006A4DDF" w:rsidRDefault="00F81042" w:rsidP="00F81042">
      <w:pPr>
        <w:spacing w:after="0" w:line="480" w:lineRule="auto"/>
        <w:jc w:val="both"/>
        <w:rPr>
          <w:rFonts w:cs="Times New Roman"/>
          <w:sz w:val="24"/>
          <w:szCs w:val="24"/>
        </w:rPr>
      </w:pPr>
      <w:r w:rsidRPr="006A4DDF">
        <w:rPr>
          <w:rFonts w:cs="Times New Roman"/>
          <w:sz w:val="24"/>
          <w:szCs w:val="24"/>
        </w:rPr>
        <w:t>Chromatin openness of the top 10 biomarkers enriched in the late-stage group is shown for early-stage (</w:t>
      </w:r>
      <w:r w:rsidRPr="006A4DDF">
        <w:rPr>
          <w:rFonts w:cs="Times New Roman"/>
          <w:i/>
          <w:sz w:val="24"/>
          <w:szCs w:val="24"/>
        </w:rPr>
        <w:t>blue</w:t>
      </w:r>
      <w:r w:rsidRPr="006A4DDF">
        <w:rPr>
          <w:rFonts w:cs="Times New Roman"/>
          <w:sz w:val="24"/>
          <w:szCs w:val="24"/>
        </w:rPr>
        <w:t>) and late-stage (</w:t>
      </w:r>
      <w:r w:rsidRPr="006A4DDF">
        <w:rPr>
          <w:rFonts w:cs="Times New Roman"/>
          <w:i/>
          <w:sz w:val="24"/>
          <w:szCs w:val="24"/>
        </w:rPr>
        <w:t>red</w:t>
      </w:r>
      <w:r w:rsidRPr="006A4DDF">
        <w:rPr>
          <w:rFonts w:cs="Times New Roman"/>
          <w:sz w:val="24"/>
          <w:szCs w:val="24"/>
        </w:rPr>
        <w:t xml:space="preserve">) groups using normalized area values. Dot plots (left) display individual values with bars representing the mean ± SEM (early: </w:t>
      </w:r>
      <w:r w:rsidRPr="006A4DDF">
        <w:rPr>
          <w:rFonts w:cs="Times New Roman"/>
          <w:i/>
          <w:sz w:val="24"/>
          <w:szCs w:val="24"/>
        </w:rPr>
        <w:t>n</w:t>
      </w:r>
      <w:r w:rsidRPr="006A4DDF">
        <w:rPr>
          <w:rFonts w:cs="Times New Roman"/>
          <w:sz w:val="24"/>
          <w:szCs w:val="24"/>
        </w:rPr>
        <w:t xml:space="preserve"> = 11, late: </w:t>
      </w:r>
      <w:r w:rsidRPr="006A4DDF">
        <w:rPr>
          <w:rFonts w:cs="Times New Roman"/>
          <w:i/>
          <w:sz w:val="24"/>
          <w:szCs w:val="24"/>
        </w:rPr>
        <w:t>n</w:t>
      </w:r>
      <w:r w:rsidRPr="006A4DDF">
        <w:rPr>
          <w:rFonts w:cs="Times New Roman"/>
          <w:sz w:val="24"/>
          <w:szCs w:val="24"/>
        </w:rPr>
        <w:t xml:space="preserve"> = 6). </w:t>
      </w:r>
      <w:r w:rsidRPr="006A4DDF">
        <w:rPr>
          <w:rFonts w:cs="Times New Roman"/>
          <w:i/>
          <w:sz w:val="24"/>
          <w:szCs w:val="24"/>
        </w:rPr>
        <w:t>P</w:t>
      </w:r>
      <w:r w:rsidRPr="006A4DDF">
        <w:rPr>
          <w:rFonts w:cs="Times New Roman"/>
          <w:sz w:val="24"/>
          <w:szCs w:val="24"/>
        </w:rPr>
        <w:t xml:space="preserve">-values were calculated using Student’s </w:t>
      </w:r>
      <w:r w:rsidRPr="006A4DDF">
        <w:rPr>
          <w:rFonts w:cs="Times New Roman"/>
          <w:i/>
          <w:sz w:val="24"/>
          <w:szCs w:val="24"/>
        </w:rPr>
        <w:t>t</w:t>
      </w:r>
      <w:r w:rsidRPr="006A4DDF">
        <w:rPr>
          <w:rFonts w:cs="Times New Roman"/>
          <w:sz w:val="24"/>
          <w:szCs w:val="24"/>
        </w:rPr>
        <w:t>-test. ROC curves (middle) illustrate predictive performance, and waterfall plots (right) show individual chromatin openness values compared to the optimal cut-off.</w:t>
      </w:r>
      <w:r w:rsidRPr="006A4DDF" w:rsidDel="001D53F4">
        <w:rPr>
          <w:rFonts w:cs="Times New Roman"/>
          <w:sz w:val="24"/>
          <w:szCs w:val="24"/>
        </w:rPr>
        <w:t xml:space="preserve"> </w:t>
      </w:r>
    </w:p>
    <w:p w14:paraId="73AC48EA" w14:textId="77777777" w:rsidR="00F81042" w:rsidRPr="006A4DDF" w:rsidRDefault="00F81042" w:rsidP="00F81042">
      <w:pPr>
        <w:spacing w:after="0" w:line="480" w:lineRule="auto"/>
        <w:jc w:val="both"/>
        <w:rPr>
          <w:rFonts w:cs="Times New Roman"/>
          <w:b/>
          <w:sz w:val="24"/>
          <w:szCs w:val="24"/>
        </w:rPr>
      </w:pPr>
      <w:r w:rsidRPr="00D21673">
        <w:rPr>
          <w:rFonts w:cs="Times New Roman"/>
          <w:b/>
          <w:bCs/>
        </w:rPr>
        <w:lastRenderedPageBreak/>
        <w:t>Supplementary</w:t>
      </w:r>
      <w:r w:rsidRPr="006A4DDF">
        <w:rPr>
          <w:rFonts w:cs="Times New Roman"/>
          <w:b/>
          <w:sz w:val="24"/>
          <w:szCs w:val="24"/>
        </w:rPr>
        <w:t xml:space="preserve"> Figure S4. ATAC-qPCR-based quantification of early-stage group-enriched biomarkers</w:t>
      </w:r>
    </w:p>
    <w:p w14:paraId="33761B77" w14:textId="77777777" w:rsidR="00AF74E2" w:rsidRDefault="00AF74E2" w:rsidP="00F81042">
      <w:pPr>
        <w:spacing w:after="0" w:line="480" w:lineRule="auto"/>
        <w:jc w:val="both"/>
        <w:rPr>
          <w:rFonts w:cs="Times New Roman"/>
          <w:sz w:val="24"/>
          <w:szCs w:val="24"/>
        </w:rPr>
      </w:pPr>
      <w:r>
        <w:rPr>
          <w:rFonts w:cs="Times New Roman"/>
          <w:b/>
          <w:bCs/>
          <w:noProof/>
        </w:rPr>
        <w:drawing>
          <wp:inline distT="0" distB="0" distL="0" distR="0" wp14:anchorId="255887DC" wp14:editId="5060C156">
            <wp:extent cx="4665134" cy="6677025"/>
            <wp:effectExtent l="0" t="0" r="254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a:extLst>
                        <a:ext uri="{28A0092B-C50C-407E-A947-70E740481C1C}">
                          <a14:useLocalDpi xmlns:a14="http://schemas.microsoft.com/office/drawing/2010/main" val="0"/>
                        </a:ext>
                      </a:extLst>
                    </a:blip>
                    <a:srcRect t="12635"/>
                    <a:stretch/>
                  </pic:blipFill>
                  <pic:spPr bwMode="auto">
                    <a:xfrm>
                      <a:off x="0" y="0"/>
                      <a:ext cx="4667756" cy="6680778"/>
                    </a:xfrm>
                    <a:prstGeom prst="rect">
                      <a:avLst/>
                    </a:prstGeom>
                    <a:noFill/>
                    <a:ln>
                      <a:noFill/>
                    </a:ln>
                    <a:extLst>
                      <a:ext uri="{53640926-AAD7-44D8-BBD7-CCE9431645EC}">
                        <a14:shadowObscured xmlns:a14="http://schemas.microsoft.com/office/drawing/2010/main"/>
                      </a:ext>
                    </a:extLst>
                  </pic:spPr>
                </pic:pic>
              </a:graphicData>
            </a:graphic>
          </wp:inline>
        </w:drawing>
      </w:r>
    </w:p>
    <w:p w14:paraId="55087D2B" w14:textId="77777777" w:rsidR="00F81042" w:rsidRPr="006A4DDF" w:rsidRDefault="00F81042" w:rsidP="00F81042">
      <w:pPr>
        <w:spacing w:after="0" w:line="480" w:lineRule="auto"/>
        <w:jc w:val="both"/>
        <w:rPr>
          <w:rFonts w:cs="Times New Roman"/>
          <w:sz w:val="24"/>
          <w:szCs w:val="24"/>
        </w:rPr>
      </w:pPr>
      <w:r w:rsidRPr="006A4DDF">
        <w:rPr>
          <w:rFonts w:cs="Times New Roman"/>
          <w:sz w:val="24"/>
          <w:szCs w:val="24"/>
        </w:rPr>
        <w:t xml:space="preserve">Normalized chromatin openness of the five early-stage group-enriched biomarker was quantified using ATAC-qPCR based on the mean Ct method. Chromatin openness of the five biomarkers </w:t>
      </w:r>
      <w:r w:rsidRPr="006A4DDF">
        <w:rPr>
          <w:rFonts w:cs="Times New Roman"/>
          <w:sz w:val="24"/>
          <w:szCs w:val="24"/>
        </w:rPr>
        <w:lastRenderedPageBreak/>
        <w:t>enriched in the early-stage group was quantified using ATAC-qPCR the 2</w:t>
      </w:r>
      <w:r w:rsidRPr="006A4DDF">
        <w:rPr>
          <w:rFonts w:cs="Times New Roman"/>
          <w:sz w:val="24"/>
          <w:szCs w:val="24"/>
          <w:vertAlign w:val="superscript"/>
        </w:rPr>
        <w:t>–Ct</w:t>
      </w:r>
      <w:r w:rsidRPr="006A4DDF">
        <w:rPr>
          <w:rFonts w:cs="Times New Roman"/>
          <w:sz w:val="24"/>
          <w:szCs w:val="24"/>
        </w:rPr>
        <w:t xml:space="preserve"> method. </w:t>
      </w:r>
      <w:r w:rsidRPr="006A4DDF">
        <w:rPr>
          <w:rFonts w:cs="Times New Roman"/>
          <w:b/>
          <w:sz w:val="24"/>
          <w:szCs w:val="24"/>
        </w:rPr>
        <w:t>Left</w:t>
      </w:r>
      <w:r w:rsidRPr="006A4DDF">
        <w:rPr>
          <w:rFonts w:cs="Times New Roman"/>
          <w:sz w:val="24"/>
          <w:szCs w:val="24"/>
        </w:rPr>
        <w:t>, dot plots show normalized chromatin openness in early-stage (</w:t>
      </w:r>
      <w:r w:rsidRPr="006A4DDF">
        <w:rPr>
          <w:rFonts w:cs="Times New Roman"/>
          <w:i/>
          <w:iCs/>
          <w:sz w:val="24"/>
          <w:szCs w:val="24"/>
        </w:rPr>
        <w:t xml:space="preserve">blue, n </w:t>
      </w:r>
      <w:r w:rsidRPr="006A4DDF">
        <w:rPr>
          <w:rFonts w:cs="Times New Roman"/>
          <w:sz w:val="24"/>
          <w:szCs w:val="24"/>
        </w:rPr>
        <w:t>= 10) and late-stage (</w:t>
      </w:r>
      <w:r w:rsidRPr="006A4DDF">
        <w:rPr>
          <w:rFonts w:cs="Times New Roman"/>
          <w:i/>
          <w:iCs/>
          <w:sz w:val="24"/>
          <w:szCs w:val="24"/>
        </w:rPr>
        <w:t xml:space="preserve">red, n </w:t>
      </w:r>
      <w:r w:rsidRPr="006A4DDF">
        <w:rPr>
          <w:rFonts w:cs="Times New Roman"/>
          <w:sz w:val="24"/>
          <w:szCs w:val="24"/>
        </w:rPr>
        <w:t xml:space="preserve">= 6) groups, with the optimized cut-off indicated by a dashed line. Mean values with SEM are shown. Statistical differences were assessed by Student’s </w:t>
      </w:r>
      <w:r w:rsidRPr="006A4DDF">
        <w:rPr>
          <w:rFonts w:cs="Times New Roman"/>
          <w:i/>
          <w:sz w:val="24"/>
          <w:szCs w:val="24"/>
        </w:rPr>
        <w:t>t</w:t>
      </w:r>
      <w:r w:rsidRPr="006A4DDF">
        <w:rPr>
          <w:rFonts w:cs="Times New Roman"/>
          <w:sz w:val="24"/>
          <w:szCs w:val="24"/>
        </w:rPr>
        <w:t xml:space="preserve">-test. </w:t>
      </w:r>
      <w:r w:rsidRPr="006A4DDF">
        <w:rPr>
          <w:rFonts w:cs="Times New Roman"/>
          <w:b/>
          <w:sz w:val="24"/>
          <w:szCs w:val="24"/>
        </w:rPr>
        <w:t>Middle</w:t>
      </w:r>
      <w:r w:rsidRPr="006A4DDF">
        <w:rPr>
          <w:rFonts w:cs="Times New Roman"/>
          <w:sz w:val="24"/>
          <w:szCs w:val="24"/>
        </w:rPr>
        <w:t xml:space="preserve">, ROC curves evaluate predictive performance. </w:t>
      </w:r>
      <w:r w:rsidRPr="006A4DDF">
        <w:rPr>
          <w:rFonts w:cs="Times New Roman"/>
          <w:b/>
          <w:sz w:val="24"/>
          <w:szCs w:val="24"/>
        </w:rPr>
        <w:t>Right</w:t>
      </w:r>
      <w:r w:rsidRPr="006A4DDF">
        <w:rPr>
          <w:rFonts w:cs="Times New Roman"/>
          <w:sz w:val="24"/>
          <w:szCs w:val="24"/>
        </w:rPr>
        <w:t>, Waterfall plots display relative openness for individual patients compare to cut-off.</w:t>
      </w:r>
    </w:p>
    <w:p w14:paraId="41B6CBC3" w14:textId="77777777" w:rsidR="00F81042" w:rsidRPr="006A4DDF" w:rsidRDefault="00F81042" w:rsidP="00F81042">
      <w:pPr>
        <w:spacing w:after="0" w:line="480" w:lineRule="auto"/>
        <w:jc w:val="both"/>
        <w:rPr>
          <w:rFonts w:cs="Times New Roman"/>
          <w:sz w:val="24"/>
          <w:szCs w:val="24"/>
        </w:rPr>
      </w:pPr>
    </w:p>
    <w:p w14:paraId="1CB3DC52" w14:textId="77777777" w:rsidR="00027C00" w:rsidRDefault="00027C00" w:rsidP="00F81042">
      <w:pPr>
        <w:spacing w:after="0" w:line="480" w:lineRule="auto"/>
        <w:jc w:val="both"/>
        <w:rPr>
          <w:rFonts w:cs="Times New Roman"/>
          <w:b/>
          <w:bCs/>
        </w:rPr>
      </w:pPr>
      <w:r>
        <w:rPr>
          <w:rFonts w:cs="Times New Roman"/>
          <w:b/>
          <w:bCs/>
        </w:rPr>
        <w:br w:type="page"/>
      </w:r>
    </w:p>
    <w:p w14:paraId="3B17FF85" w14:textId="77777777" w:rsidR="00DF1CED" w:rsidRDefault="00F81042" w:rsidP="00F81042">
      <w:pPr>
        <w:spacing w:after="0" w:line="480" w:lineRule="auto"/>
        <w:jc w:val="both"/>
        <w:rPr>
          <w:rFonts w:cs="Times New Roman"/>
          <w:b/>
          <w:sz w:val="24"/>
          <w:szCs w:val="24"/>
        </w:rPr>
      </w:pPr>
      <w:r w:rsidRPr="00D21673">
        <w:rPr>
          <w:rFonts w:cs="Times New Roman"/>
          <w:b/>
          <w:bCs/>
        </w:rPr>
        <w:lastRenderedPageBreak/>
        <w:t>Supplementary</w:t>
      </w:r>
      <w:r w:rsidRPr="006A4DDF">
        <w:rPr>
          <w:rFonts w:cs="Times New Roman"/>
          <w:b/>
          <w:sz w:val="24"/>
          <w:szCs w:val="24"/>
        </w:rPr>
        <w:t xml:space="preserve"> Figure S5. ATAC-qPCR-based quantification of late-stage group-enriched biomarkers</w:t>
      </w:r>
    </w:p>
    <w:p w14:paraId="22B260F8" w14:textId="77777777" w:rsidR="00F81042" w:rsidRPr="006A4DDF" w:rsidRDefault="00DF1CED" w:rsidP="00F81042">
      <w:pPr>
        <w:spacing w:after="0" w:line="480" w:lineRule="auto"/>
        <w:jc w:val="both"/>
        <w:rPr>
          <w:rFonts w:cs="Times New Roman"/>
          <w:b/>
          <w:sz w:val="24"/>
          <w:szCs w:val="24"/>
        </w:rPr>
      </w:pPr>
      <w:r>
        <w:rPr>
          <w:rFonts w:cs="Times New Roman"/>
          <w:b/>
          <w:noProof/>
          <w:sz w:val="24"/>
          <w:szCs w:val="24"/>
        </w:rPr>
        <w:drawing>
          <wp:inline distT="0" distB="0" distL="0" distR="0" wp14:anchorId="2AE5E5D9" wp14:editId="50AF74FF">
            <wp:extent cx="4870372" cy="5524500"/>
            <wp:effectExtent l="0" t="0" r="6985"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t="15698"/>
                    <a:stretch/>
                  </pic:blipFill>
                  <pic:spPr bwMode="auto">
                    <a:xfrm>
                      <a:off x="0" y="0"/>
                      <a:ext cx="4879272" cy="5534595"/>
                    </a:xfrm>
                    <a:prstGeom prst="rect">
                      <a:avLst/>
                    </a:prstGeom>
                    <a:noFill/>
                    <a:ln>
                      <a:noFill/>
                    </a:ln>
                    <a:extLst>
                      <a:ext uri="{53640926-AAD7-44D8-BBD7-CCE9431645EC}">
                        <a14:shadowObscured xmlns:a14="http://schemas.microsoft.com/office/drawing/2010/main"/>
                      </a:ext>
                    </a:extLst>
                  </pic:spPr>
                </pic:pic>
              </a:graphicData>
            </a:graphic>
          </wp:inline>
        </w:drawing>
      </w:r>
    </w:p>
    <w:p w14:paraId="303EC0CB" w14:textId="77777777" w:rsidR="00F81042" w:rsidRPr="006A4DDF" w:rsidRDefault="00F81042" w:rsidP="00F81042">
      <w:pPr>
        <w:spacing w:after="0" w:line="480" w:lineRule="auto"/>
        <w:jc w:val="both"/>
        <w:rPr>
          <w:rFonts w:cs="Times New Roman"/>
          <w:b/>
          <w:sz w:val="24"/>
          <w:szCs w:val="24"/>
        </w:rPr>
      </w:pPr>
      <w:r w:rsidRPr="006A4DDF">
        <w:rPr>
          <w:rFonts w:cs="Times New Roman"/>
          <w:sz w:val="24"/>
          <w:szCs w:val="24"/>
        </w:rPr>
        <w:t>Normalized chromatin openness of four late-stage group-enriched biomarkers was quantified by ATAC-qPCR using the</w:t>
      </w:r>
      <w:r w:rsidRPr="006A4DDF" w:rsidDel="009B5081">
        <w:rPr>
          <w:rFonts w:cs="Times New Roman"/>
          <w:sz w:val="24"/>
          <w:szCs w:val="24"/>
        </w:rPr>
        <w:t xml:space="preserve"> </w:t>
      </w:r>
      <w:r w:rsidRPr="006A4DDF">
        <w:rPr>
          <w:rFonts w:cs="Times New Roman"/>
          <w:sz w:val="24"/>
          <w:szCs w:val="24"/>
        </w:rPr>
        <w:t>2</w:t>
      </w:r>
      <w:r w:rsidRPr="006A4DDF">
        <w:rPr>
          <w:rFonts w:cs="Times New Roman"/>
          <w:sz w:val="24"/>
          <w:szCs w:val="24"/>
          <w:vertAlign w:val="superscript"/>
        </w:rPr>
        <w:t>–Ct</w:t>
      </w:r>
      <w:r w:rsidRPr="006A4DDF">
        <w:rPr>
          <w:rFonts w:cs="Times New Roman"/>
          <w:sz w:val="24"/>
          <w:szCs w:val="24"/>
        </w:rPr>
        <w:t xml:space="preserve"> method. </w:t>
      </w:r>
      <w:r w:rsidRPr="006A4DDF">
        <w:rPr>
          <w:rFonts w:cs="Times New Roman"/>
          <w:b/>
          <w:sz w:val="24"/>
          <w:szCs w:val="24"/>
        </w:rPr>
        <w:t>Left</w:t>
      </w:r>
      <w:r w:rsidRPr="006A4DDF">
        <w:rPr>
          <w:rFonts w:cs="Times New Roman"/>
          <w:sz w:val="24"/>
          <w:szCs w:val="24"/>
        </w:rPr>
        <w:t>, Dot plots present normalized chromatin openness in early-stage (</w:t>
      </w:r>
      <w:r w:rsidRPr="006A4DDF">
        <w:rPr>
          <w:rFonts w:cs="Times New Roman"/>
          <w:i/>
          <w:iCs/>
          <w:sz w:val="24"/>
          <w:szCs w:val="24"/>
        </w:rPr>
        <w:t xml:space="preserve">blue, n </w:t>
      </w:r>
      <w:r w:rsidRPr="006A4DDF">
        <w:rPr>
          <w:rFonts w:cs="Times New Roman"/>
          <w:sz w:val="24"/>
          <w:szCs w:val="24"/>
        </w:rPr>
        <w:t>= 10) and late-stage (</w:t>
      </w:r>
      <w:r w:rsidRPr="006A4DDF">
        <w:rPr>
          <w:rFonts w:cs="Times New Roman"/>
          <w:i/>
          <w:iCs/>
          <w:sz w:val="24"/>
          <w:szCs w:val="24"/>
        </w:rPr>
        <w:t xml:space="preserve">red, n </w:t>
      </w:r>
      <w:r w:rsidRPr="006A4DDF">
        <w:rPr>
          <w:rFonts w:cs="Times New Roman"/>
          <w:sz w:val="24"/>
          <w:szCs w:val="24"/>
        </w:rPr>
        <w:t xml:space="preserve">= 6) groups, with the optimized cut-offs indicated (dashed line). Bars indicate mean ± SEM, and statistical significance was determined using </w:t>
      </w:r>
      <w:r w:rsidRPr="006A4DDF">
        <w:rPr>
          <w:rFonts w:cs="Times New Roman"/>
          <w:sz w:val="24"/>
          <w:szCs w:val="24"/>
        </w:rPr>
        <w:lastRenderedPageBreak/>
        <w:t xml:space="preserve">Student’s </w:t>
      </w:r>
      <w:r w:rsidRPr="006A4DDF">
        <w:rPr>
          <w:rFonts w:cs="Times New Roman"/>
          <w:i/>
          <w:sz w:val="24"/>
          <w:szCs w:val="24"/>
        </w:rPr>
        <w:t>t</w:t>
      </w:r>
      <w:r w:rsidRPr="006A4DDF">
        <w:rPr>
          <w:rFonts w:cs="Times New Roman"/>
          <w:sz w:val="24"/>
          <w:szCs w:val="24"/>
        </w:rPr>
        <w:t xml:space="preserve">-test. </w:t>
      </w:r>
      <w:r w:rsidRPr="006A4DDF">
        <w:rPr>
          <w:rFonts w:cs="Times New Roman"/>
          <w:b/>
          <w:sz w:val="24"/>
          <w:szCs w:val="24"/>
        </w:rPr>
        <w:t>Middle</w:t>
      </w:r>
      <w:r w:rsidRPr="006A4DDF">
        <w:rPr>
          <w:rFonts w:cs="Times New Roman"/>
          <w:sz w:val="24"/>
          <w:szCs w:val="24"/>
        </w:rPr>
        <w:t xml:space="preserve">, ROC curves assess biomarker prediction accuracy. </w:t>
      </w:r>
      <w:r w:rsidRPr="006A4DDF">
        <w:rPr>
          <w:rFonts w:cs="Times New Roman"/>
          <w:b/>
          <w:sz w:val="24"/>
          <w:szCs w:val="24"/>
        </w:rPr>
        <w:t>Right</w:t>
      </w:r>
      <w:r w:rsidRPr="006A4DDF">
        <w:rPr>
          <w:rFonts w:cs="Times New Roman"/>
          <w:sz w:val="24"/>
          <w:szCs w:val="24"/>
        </w:rPr>
        <w:t>, Waterfall plots visualize individual relative openness across patients compare to cut-off.</w:t>
      </w:r>
    </w:p>
    <w:p w14:paraId="7276F626" w14:textId="77777777" w:rsidR="00E81CC4" w:rsidRDefault="00E81CC4" w:rsidP="00F81042">
      <w:pPr>
        <w:spacing w:after="0" w:line="480" w:lineRule="auto"/>
        <w:rPr>
          <w:rFonts w:cs="Times New Roman"/>
          <w:b/>
          <w:sz w:val="24"/>
          <w:szCs w:val="24"/>
        </w:rPr>
      </w:pPr>
    </w:p>
    <w:p w14:paraId="58CDF7CE" w14:textId="77777777" w:rsidR="00E81CC4" w:rsidRDefault="00E81CC4" w:rsidP="00F81042">
      <w:pPr>
        <w:spacing w:after="0" w:line="480" w:lineRule="auto"/>
        <w:rPr>
          <w:rFonts w:cs="Times New Roman"/>
          <w:b/>
          <w:sz w:val="24"/>
          <w:szCs w:val="24"/>
        </w:rPr>
      </w:pPr>
    </w:p>
    <w:p w14:paraId="70A8782B" w14:textId="77777777" w:rsidR="00F81042" w:rsidRPr="006A4DDF" w:rsidRDefault="00F81042" w:rsidP="00F81042">
      <w:pPr>
        <w:spacing w:after="0" w:line="480" w:lineRule="auto"/>
        <w:rPr>
          <w:rFonts w:cs="Times New Roman"/>
          <w:b/>
          <w:sz w:val="24"/>
          <w:szCs w:val="24"/>
        </w:rPr>
      </w:pPr>
      <w:r w:rsidRPr="006A4DDF">
        <w:rPr>
          <w:rFonts w:cs="Times New Roman"/>
          <w:b/>
          <w:sz w:val="24"/>
          <w:szCs w:val="24"/>
        </w:rPr>
        <w:br w:type="page"/>
      </w:r>
    </w:p>
    <w:p w14:paraId="53FE33D3" w14:textId="77777777" w:rsidR="003732E3" w:rsidRPr="00DA1306" w:rsidRDefault="003732E3" w:rsidP="003732E3">
      <w:pPr>
        <w:spacing w:after="0" w:line="360" w:lineRule="auto"/>
        <w:jc w:val="both"/>
        <w:rPr>
          <w:rFonts w:cs="Times New Roman"/>
          <w:b/>
        </w:rPr>
      </w:pPr>
      <w:r w:rsidRPr="00DA1306">
        <w:rPr>
          <w:rFonts w:cs="Times New Roman"/>
          <w:b/>
        </w:rPr>
        <w:lastRenderedPageBreak/>
        <w:t>Supplementary Table S</w:t>
      </w:r>
      <w:r>
        <w:rPr>
          <w:rFonts w:cs="Times New Roman"/>
          <w:b/>
        </w:rPr>
        <w:t>1</w:t>
      </w:r>
      <w:r w:rsidRPr="00DA1306">
        <w:rPr>
          <w:rFonts w:cs="Times New Roman"/>
          <w:b/>
        </w:rPr>
        <w:t>. Summary of sample information and ATAC-seq library quality metrics for CD8</w:t>
      </w:r>
      <w:r w:rsidRPr="00DA1306">
        <w:rPr>
          <w:rFonts w:cs="Times New Roman"/>
          <w:b/>
          <w:vertAlign w:val="superscript"/>
        </w:rPr>
        <w:t>+</w:t>
      </w:r>
      <w:r w:rsidRPr="00DA1306">
        <w:rPr>
          <w:rFonts w:cs="Times New Roman"/>
          <w:b/>
        </w:rPr>
        <w:t xml:space="preserve"> T-cell samples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2"/>
        <w:gridCol w:w="1032"/>
        <w:gridCol w:w="1032"/>
        <w:gridCol w:w="1032"/>
        <w:gridCol w:w="1032"/>
        <w:gridCol w:w="1032"/>
        <w:gridCol w:w="1032"/>
        <w:gridCol w:w="1032"/>
        <w:gridCol w:w="1032"/>
      </w:tblGrid>
      <w:tr w:rsidR="003732E3" w:rsidRPr="00DA1306" w14:paraId="3081AAC6" w14:textId="77777777" w:rsidTr="003732E3">
        <w:trPr>
          <w:trHeight w:val="741"/>
        </w:trPr>
        <w:tc>
          <w:tcPr>
            <w:tcW w:w="1032" w:type="dxa"/>
            <w:tcBorders>
              <w:top w:val="single" w:sz="4" w:space="0" w:color="auto"/>
              <w:bottom w:val="single" w:sz="4" w:space="0" w:color="auto"/>
            </w:tcBorders>
          </w:tcPr>
          <w:p w14:paraId="5A170CFA" w14:textId="77777777" w:rsidR="003732E3" w:rsidRPr="00DA1306" w:rsidRDefault="003732E3" w:rsidP="0016718C">
            <w:pPr>
              <w:spacing w:line="360" w:lineRule="auto"/>
              <w:jc w:val="center"/>
              <w:rPr>
                <w:rFonts w:cs="Times New Roman"/>
                <w:bCs/>
              </w:rPr>
            </w:pPr>
            <w:r w:rsidRPr="00DA1306">
              <w:rPr>
                <w:rFonts w:cs="Times New Roman"/>
              </w:rPr>
              <w:t>Group-Sample</w:t>
            </w:r>
          </w:p>
        </w:tc>
        <w:tc>
          <w:tcPr>
            <w:tcW w:w="1032" w:type="dxa"/>
            <w:tcBorders>
              <w:top w:val="single" w:sz="4" w:space="0" w:color="auto"/>
              <w:bottom w:val="single" w:sz="4" w:space="0" w:color="auto"/>
            </w:tcBorders>
          </w:tcPr>
          <w:p w14:paraId="4159BF2B" w14:textId="77777777" w:rsidR="003732E3" w:rsidRPr="00DA1306" w:rsidRDefault="003732E3" w:rsidP="0016718C">
            <w:pPr>
              <w:spacing w:line="360" w:lineRule="auto"/>
              <w:jc w:val="center"/>
              <w:rPr>
                <w:rFonts w:cs="Times New Roman"/>
                <w:bCs/>
              </w:rPr>
            </w:pPr>
            <w:r w:rsidRPr="00DA1306">
              <w:rPr>
                <w:rFonts w:cs="Times New Roman"/>
              </w:rPr>
              <w:t>Gender</w:t>
            </w:r>
          </w:p>
        </w:tc>
        <w:tc>
          <w:tcPr>
            <w:tcW w:w="1032" w:type="dxa"/>
            <w:tcBorders>
              <w:top w:val="single" w:sz="4" w:space="0" w:color="auto"/>
              <w:bottom w:val="single" w:sz="4" w:space="0" w:color="auto"/>
            </w:tcBorders>
          </w:tcPr>
          <w:p w14:paraId="2B07A120" w14:textId="77777777" w:rsidR="003732E3" w:rsidRPr="00DA1306" w:rsidRDefault="003732E3" w:rsidP="0016718C">
            <w:pPr>
              <w:spacing w:line="360" w:lineRule="auto"/>
              <w:jc w:val="center"/>
              <w:rPr>
                <w:rFonts w:cs="Times New Roman"/>
                <w:bCs/>
              </w:rPr>
            </w:pPr>
            <w:r w:rsidRPr="00DA1306">
              <w:rPr>
                <w:rFonts w:cs="Times New Roman"/>
              </w:rPr>
              <w:t>Age</w:t>
            </w:r>
          </w:p>
        </w:tc>
        <w:tc>
          <w:tcPr>
            <w:tcW w:w="1032" w:type="dxa"/>
            <w:tcBorders>
              <w:top w:val="single" w:sz="4" w:space="0" w:color="auto"/>
              <w:bottom w:val="single" w:sz="4" w:space="0" w:color="auto"/>
            </w:tcBorders>
          </w:tcPr>
          <w:p w14:paraId="5EBD0D8F" w14:textId="77777777" w:rsidR="003732E3" w:rsidRPr="00DA1306" w:rsidRDefault="003732E3" w:rsidP="0016718C">
            <w:pPr>
              <w:spacing w:line="360" w:lineRule="auto"/>
              <w:jc w:val="center"/>
              <w:rPr>
                <w:rFonts w:cs="Times New Roman"/>
                <w:bCs/>
              </w:rPr>
            </w:pPr>
            <w:r w:rsidRPr="00DA1306">
              <w:rPr>
                <w:rFonts w:cs="Times New Roman"/>
              </w:rPr>
              <w:t>Group</w:t>
            </w:r>
          </w:p>
        </w:tc>
        <w:tc>
          <w:tcPr>
            <w:tcW w:w="1032" w:type="dxa"/>
            <w:tcBorders>
              <w:top w:val="single" w:sz="4" w:space="0" w:color="auto"/>
              <w:bottom w:val="single" w:sz="4" w:space="0" w:color="auto"/>
            </w:tcBorders>
          </w:tcPr>
          <w:p w14:paraId="15BE04FD" w14:textId="77777777" w:rsidR="003732E3" w:rsidRPr="00DA1306" w:rsidRDefault="003732E3" w:rsidP="0016718C">
            <w:pPr>
              <w:spacing w:line="360" w:lineRule="auto"/>
              <w:jc w:val="center"/>
              <w:rPr>
                <w:rFonts w:cs="Times New Roman"/>
                <w:bCs/>
              </w:rPr>
            </w:pPr>
            <w:r w:rsidRPr="00DA1306">
              <w:rPr>
                <w:rFonts w:cs="Times New Roman"/>
              </w:rPr>
              <w:t>PBC1</w:t>
            </w:r>
          </w:p>
        </w:tc>
        <w:tc>
          <w:tcPr>
            <w:tcW w:w="1032" w:type="dxa"/>
            <w:tcBorders>
              <w:top w:val="single" w:sz="4" w:space="0" w:color="auto"/>
              <w:bottom w:val="single" w:sz="4" w:space="0" w:color="auto"/>
            </w:tcBorders>
          </w:tcPr>
          <w:p w14:paraId="35D20FD0" w14:textId="77777777" w:rsidR="003732E3" w:rsidRPr="00DA1306" w:rsidRDefault="003732E3" w:rsidP="0016718C">
            <w:pPr>
              <w:spacing w:line="360" w:lineRule="auto"/>
              <w:jc w:val="center"/>
              <w:rPr>
                <w:rFonts w:cs="Times New Roman"/>
                <w:bCs/>
              </w:rPr>
            </w:pPr>
            <w:r w:rsidRPr="00DA1306">
              <w:rPr>
                <w:rFonts w:cs="Times New Roman"/>
              </w:rPr>
              <w:t>PBC2</w:t>
            </w:r>
          </w:p>
        </w:tc>
        <w:tc>
          <w:tcPr>
            <w:tcW w:w="1032" w:type="dxa"/>
            <w:tcBorders>
              <w:top w:val="single" w:sz="4" w:space="0" w:color="auto"/>
              <w:bottom w:val="single" w:sz="4" w:space="0" w:color="auto"/>
            </w:tcBorders>
          </w:tcPr>
          <w:p w14:paraId="56B5775A" w14:textId="77777777" w:rsidR="003732E3" w:rsidRPr="00DA1306" w:rsidRDefault="003732E3" w:rsidP="0016718C">
            <w:pPr>
              <w:spacing w:line="360" w:lineRule="auto"/>
              <w:jc w:val="center"/>
              <w:rPr>
                <w:rFonts w:cs="Times New Roman"/>
                <w:bCs/>
              </w:rPr>
            </w:pPr>
            <w:r w:rsidRPr="00DA1306">
              <w:rPr>
                <w:rFonts w:cs="Times New Roman"/>
              </w:rPr>
              <w:t>NRF</w:t>
            </w:r>
          </w:p>
        </w:tc>
        <w:tc>
          <w:tcPr>
            <w:tcW w:w="1032" w:type="dxa"/>
            <w:tcBorders>
              <w:top w:val="single" w:sz="4" w:space="0" w:color="auto"/>
              <w:bottom w:val="single" w:sz="4" w:space="0" w:color="auto"/>
            </w:tcBorders>
          </w:tcPr>
          <w:p w14:paraId="0AB09AE7" w14:textId="77777777" w:rsidR="003732E3" w:rsidRPr="00DA1306" w:rsidRDefault="003732E3" w:rsidP="0016718C">
            <w:pPr>
              <w:spacing w:line="360" w:lineRule="auto"/>
              <w:jc w:val="center"/>
              <w:rPr>
                <w:rFonts w:cs="Times New Roman"/>
                <w:bCs/>
              </w:rPr>
            </w:pPr>
            <w:proofErr w:type="spellStart"/>
            <w:r w:rsidRPr="00DA1306">
              <w:rPr>
                <w:rFonts w:cs="Times New Roman"/>
              </w:rPr>
              <w:t>FRiP</w:t>
            </w:r>
            <w:proofErr w:type="spellEnd"/>
          </w:p>
        </w:tc>
        <w:tc>
          <w:tcPr>
            <w:tcW w:w="1032" w:type="dxa"/>
            <w:tcBorders>
              <w:top w:val="single" w:sz="4" w:space="0" w:color="auto"/>
              <w:bottom w:val="single" w:sz="4" w:space="0" w:color="auto"/>
            </w:tcBorders>
          </w:tcPr>
          <w:p w14:paraId="34335647" w14:textId="77777777" w:rsidR="003732E3" w:rsidRPr="00DA1306" w:rsidRDefault="003732E3" w:rsidP="0016718C">
            <w:pPr>
              <w:spacing w:line="360" w:lineRule="auto"/>
              <w:jc w:val="center"/>
              <w:rPr>
                <w:rFonts w:cs="Times New Roman"/>
                <w:bCs/>
              </w:rPr>
            </w:pPr>
            <w:r w:rsidRPr="00DA1306">
              <w:rPr>
                <w:rFonts w:cs="Times New Roman"/>
              </w:rPr>
              <w:t>TSSE</w:t>
            </w:r>
          </w:p>
        </w:tc>
      </w:tr>
      <w:tr w:rsidR="003732E3" w:rsidRPr="003732E3" w14:paraId="6C7DCEF5" w14:textId="77777777" w:rsidTr="003732E3">
        <w:trPr>
          <w:trHeight w:val="370"/>
        </w:trPr>
        <w:tc>
          <w:tcPr>
            <w:tcW w:w="1032" w:type="dxa"/>
            <w:tcBorders>
              <w:top w:val="single" w:sz="4" w:space="0" w:color="auto"/>
            </w:tcBorders>
          </w:tcPr>
          <w:p w14:paraId="7981449E" w14:textId="77777777" w:rsidR="003732E3" w:rsidRPr="003732E3" w:rsidRDefault="003732E3" w:rsidP="003732E3">
            <w:pPr>
              <w:jc w:val="center"/>
              <w:rPr>
                <w:rFonts w:cs="Times New Roman"/>
                <w:bCs/>
              </w:rPr>
            </w:pPr>
            <w:r w:rsidRPr="003732E3">
              <w:rPr>
                <w:rFonts w:cs="Times New Roman"/>
              </w:rPr>
              <w:t>Early-1</w:t>
            </w:r>
          </w:p>
        </w:tc>
        <w:tc>
          <w:tcPr>
            <w:tcW w:w="1032" w:type="dxa"/>
            <w:tcBorders>
              <w:top w:val="single" w:sz="4" w:space="0" w:color="auto"/>
            </w:tcBorders>
          </w:tcPr>
          <w:p w14:paraId="6F3267AB" w14:textId="77777777" w:rsidR="003732E3" w:rsidRPr="003732E3" w:rsidRDefault="003732E3" w:rsidP="003732E3">
            <w:pPr>
              <w:jc w:val="center"/>
              <w:rPr>
                <w:rFonts w:cs="Times New Roman"/>
                <w:bCs/>
              </w:rPr>
            </w:pPr>
            <w:r w:rsidRPr="003732E3">
              <w:rPr>
                <w:rFonts w:cs="Times New Roman"/>
              </w:rPr>
              <w:t>F</w:t>
            </w:r>
          </w:p>
        </w:tc>
        <w:tc>
          <w:tcPr>
            <w:tcW w:w="1032" w:type="dxa"/>
            <w:tcBorders>
              <w:top w:val="single" w:sz="4" w:space="0" w:color="auto"/>
            </w:tcBorders>
          </w:tcPr>
          <w:p w14:paraId="7BBFF823" w14:textId="77777777" w:rsidR="003732E3" w:rsidRPr="003732E3" w:rsidRDefault="003732E3" w:rsidP="003732E3">
            <w:pPr>
              <w:jc w:val="center"/>
              <w:rPr>
                <w:rFonts w:cs="Times New Roman"/>
                <w:bCs/>
              </w:rPr>
            </w:pPr>
            <w:r w:rsidRPr="003732E3">
              <w:rPr>
                <w:rFonts w:cs="Times New Roman"/>
              </w:rPr>
              <w:t>37</w:t>
            </w:r>
          </w:p>
        </w:tc>
        <w:tc>
          <w:tcPr>
            <w:tcW w:w="1032" w:type="dxa"/>
            <w:tcBorders>
              <w:top w:val="single" w:sz="4" w:space="0" w:color="auto"/>
            </w:tcBorders>
          </w:tcPr>
          <w:p w14:paraId="0E9F6203" w14:textId="77777777" w:rsidR="003732E3" w:rsidRPr="003732E3" w:rsidRDefault="003732E3" w:rsidP="003732E3">
            <w:pPr>
              <w:jc w:val="center"/>
              <w:rPr>
                <w:rFonts w:cs="Times New Roman"/>
                <w:bCs/>
              </w:rPr>
            </w:pPr>
            <w:r w:rsidRPr="003732E3">
              <w:rPr>
                <w:rFonts w:cs="Times New Roman"/>
              </w:rPr>
              <w:t>Early</w:t>
            </w:r>
          </w:p>
        </w:tc>
        <w:tc>
          <w:tcPr>
            <w:tcW w:w="1032" w:type="dxa"/>
            <w:tcBorders>
              <w:top w:val="single" w:sz="4" w:space="0" w:color="auto"/>
            </w:tcBorders>
          </w:tcPr>
          <w:p w14:paraId="137FB3FB" w14:textId="77777777" w:rsidR="003732E3" w:rsidRPr="003732E3" w:rsidRDefault="003732E3" w:rsidP="003732E3">
            <w:pPr>
              <w:jc w:val="center"/>
              <w:rPr>
                <w:rFonts w:cs="Times New Roman"/>
                <w:bCs/>
              </w:rPr>
            </w:pPr>
            <w:r w:rsidRPr="003732E3">
              <w:rPr>
                <w:rFonts w:cs="Times New Roman"/>
              </w:rPr>
              <w:t>0.78</w:t>
            </w:r>
          </w:p>
        </w:tc>
        <w:tc>
          <w:tcPr>
            <w:tcW w:w="1032" w:type="dxa"/>
            <w:tcBorders>
              <w:top w:val="single" w:sz="4" w:space="0" w:color="auto"/>
            </w:tcBorders>
          </w:tcPr>
          <w:p w14:paraId="25286214" w14:textId="77777777" w:rsidR="003732E3" w:rsidRPr="003732E3" w:rsidRDefault="003732E3" w:rsidP="003732E3">
            <w:pPr>
              <w:jc w:val="center"/>
              <w:rPr>
                <w:rFonts w:cs="Times New Roman"/>
                <w:bCs/>
              </w:rPr>
            </w:pPr>
            <w:r w:rsidRPr="003732E3">
              <w:rPr>
                <w:rFonts w:cs="Times New Roman"/>
              </w:rPr>
              <w:t>4.76</w:t>
            </w:r>
          </w:p>
        </w:tc>
        <w:tc>
          <w:tcPr>
            <w:tcW w:w="1032" w:type="dxa"/>
            <w:tcBorders>
              <w:top w:val="single" w:sz="4" w:space="0" w:color="auto"/>
            </w:tcBorders>
          </w:tcPr>
          <w:p w14:paraId="19474E18" w14:textId="77777777" w:rsidR="003732E3" w:rsidRPr="003732E3" w:rsidRDefault="003732E3" w:rsidP="003732E3">
            <w:pPr>
              <w:jc w:val="center"/>
              <w:rPr>
                <w:rFonts w:cs="Times New Roman"/>
                <w:bCs/>
              </w:rPr>
            </w:pPr>
            <w:r w:rsidRPr="003732E3">
              <w:rPr>
                <w:rFonts w:cs="Times New Roman"/>
              </w:rPr>
              <w:t>0.39</w:t>
            </w:r>
          </w:p>
        </w:tc>
        <w:tc>
          <w:tcPr>
            <w:tcW w:w="1032" w:type="dxa"/>
            <w:tcBorders>
              <w:top w:val="single" w:sz="4" w:space="0" w:color="auto"/>
            </w:tcBorders>
          </w:tcPr>
          <w:p w14:paraId="5F8BA45E" w14:textId="77777777" w:rsidR="003732E3" w:rsidRPr="003732E3" w:rsidRDefault="003732E3" w:rsidP="003732E3">
            <w:pPr>
              <w:jc w:val="center"/>
              <w:rPr>
                <w:rFonts w:cs="Times New Roman"/>
                <w:bCs/>
              </w:rPr>
            </w:pPr>
            <w:r w:rsidRPr="003732E3">
              <w:rPr>
                <w:rFonts w:cs="Times New Roman"/>
              </w:rPr>
              <w:t>0.77</w:t>
            </w:r>
          </w:p>
        </w:tc>
        <w:tc>
          <w:tcPr>
            <w:tcW w:w="1032" w:type="dxa"/>
            <w:tcBorders>
              <w:top w:val="single" w:sz="4" w:space="0" w:color="auto"/>
            </w:tcBorders>
          </w:tcPr>
          <w:p w14:paraId="0B2D8617" w14:textId="77777777" w:rsidR="003732E3" w:rsidRPr="003732E3" w:rsidRDefault="003732E3" w:rsidP="003732E3">
            <w:pPr>
              <w:jc w:val="center"/>
              <w:rPr>
                <w:rFonts w:cs="Times New Roman"/>
                <w:bCs/>
              </w:rPr>
            </w:pPr>
            <w:r w:rsidRPr="003732E3">
              <w:rPr>
                <w:rFonts w:cs="Times New Roman"/>
              </w:rPr>
              <w:t>13.0</w:t>
            </w:r>
          </w:p>
        </w:tc>
      </w:tr>
      <w:tr w:rsidR="003732E3" w:rsidRPr="003732E3" w14:paraId="72BF2F71" w14:textId="77777777" w:rsidTr="003732E3">
        <w:trPr>
          <w:trHeight w:val="370"/>
        </w:trPr>
        <w:tc>
          <w:tcPr>
            <w:tcW w:w="1032" w:type="dxa"/>
          </w:tcPr>
          <w:p w14:paraId="31798C75" w14:textId="77777777" w:rsidR="003732E3" w:rsidRPr="003732E3" w:rsidRDefault="003732E3" w:rsidP="003732E3">
            <w:pPr>
              <w:jc w:val="center"/>
              <w:rPr>
                <w:rFonts w:cs="Times New Roman"/>
                <w:bCs/>
              </w:rPr>
            </w:pPr>
            <w:r w:rsidRPr="003732E3">
              <w:rPr>
                <w:rFonts w:cs="Times New Roman"/>
              </w:rPr>
              <w:t>Early-2</w:t>
            </w:r>
          </w:p>
        </w:tc>
        <w:tc>
          <w:tcPr>
            <w:tcW w:w="1032" w:type="dxa"/>
          </w:tcPr>
          <w:p w14:paraId="1F0E3D4C" w14:textId="77777777" w:rsidR="003732E3" w:rsidRPr="003732E3" w:rsidRDefault="003732E3" w:rsidP="003732E3">
            <w:pPr>
              <w:jc w:val="center"/>
              <w:rPr>
                <w:rFonts w:cs="Times New Roman"/>
                <w:bCs/>
              </w:rPr>
            </w:pPr>
            <w:r w:rsidRPr="003732E3">
              <w:rPr>
                <w:rFonts w:cs="Times New Roman"/>
              </w:rPr>
              <w:t>F</w:t>
            </w:r>
          </w:p>
        </w:tc>
        <w:tc>
          <w:tcPr>
            <w:tcW w:w="1032" w:type="dxa"/>
          </w:tcPr>
          <w:p w14:paraId="00524975" w14:textId="77777777" w:rsidR="003732E3" w:rsidRPr="003732E3" w:rsidRDefault="003732E3" w:rsidP="003732E3">
            <w:pPr>
              <w:jc w:val="center"/>
              <w:rPr>
                <w:rFonts w:cs="Times New Roman"/>
                <w:bCs/>
              </w:rPr>
            </w:pPr>
            <w:r w:rsidRPr="003732E3">
              <w:rPr>
                <w:rFonts w:cs="Times New Roman"/>
              </w:rPr>
              <w:t>36</w:t>
            </w:r>
          </w:p>
        </w:tc>
        <w:tc>
          <w:tcPr>
            <w:tcW w:w="1032" w:type="dxa"/>
          </w:tcPr>
          <w:p w14:paraId="6FD8AD7F" w14:textId="77777777" w:rsidR="003732E3" w:rsidRPr="003732E3" w:rsidRDefault="003732E3" w:rsidP="003732E3">
            <w:pPr>
              <w:jc w:val="center"/>
              <w:rPr>
                <w:rFonts w:cs="Times New Roman"/>
                <w:bCs/>
              </w:rPr>
            </w:pPr>
            <w:r w:rsidRPr="003732E3">
              <w:rPr>
                <w:rFonts w:cs="Times New Roman"/>
              </w:rPr>
              <w:t>Early</w:t>
            </w:r>
          </w:p>
        </w:tc>
        <w:tc>
          <w:tcPr>
            <w:tcW w:w="1032" w:type="dxa"/>
          </w:tcPr>
          <w:p w14:paraId="6684D07B" w14:textId="77777777" w:rsidR="003732E3" w:rsidRPr="003732E3" w:rsidRDefault="003732E3" w:rsidP="003732E3">
            <w:pPr>
              <w:jc w:val="center"/>
              <w:rPr>
                <w:rFonts w:cs="Times New Roman"/>
                <w:bCs/>
              </w:rPr>
            </w:pPr>
            <w:r w:rsidRPr="003732E3">
              <w:rPr>
                <w:rFonts w:cs="Times New Roman"/>
              </w:rPr>
              <w:t>0.63</w:t>
            </w:r>
          </w:p>
        </w:tc>
        <w:tc>
          <w:tcPr>
            <w:tcW w:w="1032" w:type="dxa"/>
          </w:tcPr>
          <w:p w14:paraId="103EE3C4" w14:textId="77777777" w:rsidR="003732E3" w:rsidRPr="003732E3" w:rsidRDefault="003732E3" w:rsidP="003732E3">
            <w:pPr>
              <w:jc w:val="center"/>
              <w:rPr>
                <w:rFonts w:cs="Times New Roman"/>
                <w:bCs/>
              </w:rPr>
            </w:pPr>
            <w:r w:rsidRPr="003732E3">
              <w:rPr>
                <w:rFonts w:cs="Times New Roman"/>
              </w:rPr>
              <w:t>3.46</w:t>
            </w:r>
          </w:p>
        </w:tc>
        <w:tc>
          <w:tcPr>
            <w:tcW w:w="1032" w:type="dxa"/>
          </w:tcPr>
          <w:p w14:paraId="57B48AF4" w14:textId="77777777" w:rsidR="003732E3" w:rsidRPr="003732E3" w:rsidRDefault="003732E3" w:rsidP="003732E3">
            <w:pPr>
              <w:jc w:val="center"/>
              <w:rPr>
                <w:rFonts w:cs="Times New Roman"/>
                <w:bCs/>
              </w:rPr>
            </w:pPr>
            <w:r w:rsidRPr="003732E3">
              <w:rPr>
                <w:rFonts w:cs="Times New Roman"/>
              </w:rPr>
              <w:t>0.35</w:t>
            </w:r>
          </w:p>
        </w:tc>
        <w:tc>
          <w:tcPr>
            <w:tcW w:w="1032" w:type="dxa"/>
          </w:tcPr>
          <w:p w14:paraId="444387AF" w14:textId="77777777" w:rsidR="003732E3" w:rsidRPr="003732E3" w:rsidRDefault="003732E3" w:rsidP="003732E3">
            <w:pPr>
              <w:jc w:val="center"/>
              <w:rPr>
                <w:rFonts w:cs="Times New Roman"/>
                <w:bCs/>
              </w:rPr>
            </w:pPr>
            <w:r w:rsidRPr="003732E3">
              <w:rPr>
                <w:rFonts w:cs="Times New Roman"/>
              </w:rPr>
              <w:t>0.79</w:t>
            </w:r>
          </w:p>
        </w:tc>
        <w:tc>
          <w:tcPr>
            <w:tcW w:w="1032" w:type="dxa"/>
          </w:tcPr>
          <w:p w14:paraId="6DB924A1" w14:textId="77777777" w:rsidR="003732E3" w:rsidRPr="003732E3" w:rsidRDefault="003732E3" w:rsidP="003732E3">
            <w:pPr>
              <w:jc w:val="center"/>
              <w:rPr>
                <w:rFonts w:cs="Times New Roman"/>
                <w:bCs/>
              </w:rPr>
            </w:pPr>
            <w:r w:rsidRPr="003732E3">
              <w:rPr>
                <w:rFonts w:cs="Times New Roman"/>
              </w:rPr>
              <w:t>17.6</w:t>
            </w:r>
          </w:p>
        </w:tc>
      </w:tr>
      <w:tr w:rsidR="003732E3" w:rsidRPr="003732E3" w14:paraId="7ECB42B5" w14:textId="77777777" w:rsidTr="003732E3">
        <w:trPr>
          <w:trHeight w:val="370"/>
        </w:trPr>
        <w:tc>
          <w:tcPr>
            <w:tcW w:w="1032" w:type="dxa"/>
          </w:tcPr>
          <w:p w14:paraId="2B8C051A" w14:textId="77777777" w:rsidR="003732E3" w:rsidRPr="003732E3" w:rsidRDefault="003732E3" w:rsidP="003732E3">
            <w:pPr>
              <w:jc w:val="center"/>
              <w:rPr>
                <w:rFonts w:cs="Times New Roman"/>
                <w:bCs/>
              </w:rPr>
            </w:pPr>
            <w:r w:rsidRPr="003732E3">
              <w:rPr>
                <w:rFonts w:cs="Times New Roman"/>
              </w:rPr>
              <w:t>Early-3</w:t>
            </w:r>
          </w:p>
        </w:tc>
        <w:tc>
          <w:tcPr>
            <w:tcW w:w="1032" w:type="dxa"/>
          </w:tcPr>
          <w:p w14:paraId="35AC8472" w14:textId="77777777" w:rsidR="003732E3" w:rsidRPr="003732E3" w:rsidRDefault="003732E3" w:rsidP="003732E3">
            <w:pPr>
              <w:jc w:val="center"/>
              <w:rPr>
                <w:rFonts w:cs="Times New Roman"/>
                <w:bCs/>
              </w:rPr>
            </w:pPr>
            <w:r w:rsidRPr="003732E3">
              <w:rPr>
                <w:rFonts w:cs="Times New Roman"/>
              </w:rPr>
              <w:t>M</w:t>
            </w:r>
          </w:p>
        </w:tc>
        <w:tc>
          <w:tcPr>
            <w:tcW w:w="1032" w:type="dxa"/>
          </w:tcPr>
          <w:p w14:paraId="3661E6A0" w14:textId="77777777" w:rsidR="003732E3" w:rsidRPr="003732E3" w:rsidRDefault="003732E3" w:rsidP="003732E3">
            <w:pPr>
              <w:jc w:val="center"/>
              <w:rPr>
                <w:rFonts w:cs="Times New Roman"/>
                <w:bCs/>
              </w:rPr>
            </w:pPr>
            <w:r w:rsidRPr="003732E3">
              <w:rPr>
                <w:rFonts w:cs="Times New Roman"/>
              </w:rPr>
              <w:t>37</w:t>
            </w:r>
          </w:p>
        </w:tc>
        <w:tc>
          <w:tcPr>
            <w:tcW w:w="1032" w:type="dxa"/>
          </w:tcPr>
          <w:p w14:paraId="64D96077" w14:textId="77777777" w:rsidR="003732E3" w:rsidRPr="003732E3" w:rsidRDefault="003732E3" w:rsidP="003732E3">
            <w:pPr>
              <w:jc w:val="center"/>
              <w:rPr>
                <w:rFonts w:cs="Times New Roman"/>
                <w:bCs/>
              </w:rPr>
            </w:pPr>
            <w:r w:rsidRPr="003732E3">
              <w:rPr>
                <w:rFonts w:cs="Times New Roman"/>
              </w:rPr>
              <w:t>Early</w:t>
            </w:r>
          </w:p>
        </w:tc>
        <w:tc>
          <w:tcPr>
            <w:tcW w:w="1032" w:type="dxa"/>
          </w:tcPr>
          <w:p w14:paraId="025694FE" w14:textId="77777777" w:rsidR="003732E3" w:rsidRPr="003732E3" w:rsidRDefault="003732E3" w:rsidP="003732E3">
            <w:pPr>
              <w:jc w:val="center"/>
              <w:rPr>
                <w:rFonts w:cs="Times New Roman"/>
                <w:bCs/>
              </w:rPr>
            </w:pPr>
            <w:r w:rsidRPr="003732E3">
              <w:rPr>
                <w:rFonts w:cs="Times New Roman"/>
              </w:rPr>
              <w:t>0.80</w:t>
            </w:r>
          </w:p>
        </w:tc>
        <w:tc>
          <w:tcPr>
            <w:tcW w:w="1032" w:type="dxa"/>
          </w:tcPr>
          <w:p w14:paraId="4E9E8CFE" w14:textId="77777777" w:rsidR="003732E3" w:rsidRPr="003732E3" w:rsidRDefault="003732E3" w:rsidP="003732E3">
            <w:pPr>
              <w:jc w:val="center"/>
              <w:rPr>
                <w:rFonts w:cs="Times New Roman"/>
                <w:bCs/>
              </w:rPr>
            </w:pPr>
            <w:r w:rsidRPr="003732E3">
              <w:rPr>
                <w:rFonts w:cs="Times New Roman"/>
              </w:rPr>
              <w:t>5.15</w:t>
            </w:r>
          </w:p>
        </w:tc>
        <w:tc>
          <w:tcPr>
            <w:tcW w:w="1032" w:type="dxa"/>
          </w:tcPr>
          <w:p w14:paraId="3393D95F" w14:textId="77777777" w:rsidR="003732E3" w:rsidRPr="003732E3" w:rsidRDefault="003732E3" w:rsidP="003732E3">
            <w:pPr>
              <w:jc w:val="center"/>
              <w:rPr>
                <w:rFonts w:cs="Times New Roman"/>
                <w:bCs/>
              </w:rPr>
            </w:pPr>
            <w:r w:rsidRPr="003732E3">
              <w:rPr>
                <w:rFonts w:cs="Times New Roman"/>
              </w:rPr>
              <w:t>0.52</w:t>
            </w:r>
          </w:p>
        </w:tc>
        <w:tc>
          <w:tcPr>
            <w:tcW w:w="1032" w:type="dxa"/>
          </w:tcPr>
          <w:p w14:paraId="4A06EDF9" w14:textId="77777777" w:rsidR="003732E3" w:rsidRPr="003732E3" w:rsidRDefault="003732E3" w:rsidP="003732E3">
            <w:pPr>
              <w:jc w:val="center"/>
              <w:rPr>
                <w:rFonts w:cs="Times New Roman"/>
                <w:bCs/>
              </w:rPr>
            </w:pPr>
            <w:r w:rsidRPr="003732E3">
              <w:rPr>
                <w:rFonts w:cs="Times New Roman"/>
              </w:rPr>
              <w:t>0.60</w:t>
            </w:r>
          </w:p>
        </w:tc>
        <w:tc>
          <w:tcPr>
            <w:tcW w:w="1032" w:type="dxa"/>
          </w:tcPr>
          <w:p w14:paraId="06E448D8" w14:textId="77777777" w:rsidR="003732E3" w:rsidRPr="003732E3" w:rsidRDefault="003732E3" w:rsidP="003732E3">
            <w:pPr>
              <w:jc w:val="center"/>
              <w:rPr>
                <w:rFonts w:cs="Times New Roman"/>
                <w:bCs/>
              </w:rPr>
            </w:pPr>
            <w:r w:rsidRPr="003732E3">
              <w:rPr>
                <w:rFonts w:cs="Times New Roman"/>
              </w:rPr>
              <w:t>13.5</w:t>
            </w:r>
          </w:p>
        </w:tc>
      </w:tr>
      <w:tr w:rsidR="003732E3" w:rsidRPr="003732E3" w14:paraId="31CFA8D1" w14:textId="77777777" w:rsidTr="003732E3">
        <w:trPr>
          <w:trHeight w:val="370"/>
        </w:trPr>
        <w:tc>
          <w:tcPr>
            <w:tcW w:w="1032" w:type="dxa"/>
          </w:tcPr>
          <w:p w14:paraId="56CB1B74" w14:textId="77777777" w:rsidR="003732E3" w:rsidRPr="003732E3" w:rsidRDefault="003732E3" w:rsidP="003732E3">
            <w:pPr>
              <w:jc w:val="center"/>
              <w:rPr>
                <w:rFonts w:cs="Times New Roman"/>
                <w:bCs/>
              </w:rPr>
            </w:pPr>
            <w:r w:rsidRPr="003732E3">
              <w:rPr>
                <w:rFonts w:cs="Times New Roman"/>
              </w:rPr>
              <w:t>Early-4</w:t>
            </w:r>
          </w:p>
        </w:tc>
        <w:tc>
          <w:tcPr>
            <w:tcW w:w="1032" w:type="dxa"/>
          </w:tcPr>
          <w:p w14:paraId="48E91B2A" w14:textId="77777777" w:rsidR="003732E3" w:rsidRPr="003732E3" w:rsidRDefault="003732E3" w:rsidP="003732E3">
            <w:pPr>
              <w:jc w:val="center"/>
              <w:rPr>
                <w:rFonts w:cs="Times New Roman"/>
                <w:bCs/>
              </w:rPr>
            </w:pPr>
            <w:r w:rsidRPr="003732E3">
              <w:rPr>
                <w:rFonts w:cs="Times New Roman"/>
              </w:rPr>
              <w:t>F</w:t>
            </w:r>
          </w:p>
        </w:tc>
        <w:tc>
          <w:tcPr>
            <w:tcW w:w="1032" w:type="dxa"/>
          </w:tcPr>
          <w:p w14:paraId="31C3F4EC" w14:textId="77777777" w:rsidR="003732E3" w:rsidRPr="003732E3" w:rsidRDefault="003732E3" w:rsidP="003732E3">
            <w:pPr>
              <w:jc w:val="center"/>
              <w:rPr>
                <w:rFonts w:cs="Times New Roman"/>
                <w:bCs/>
              </w:rPr>
            </w:pPr>
            <w:r w:rsidRPr="003732E3">
              <w:rPr>
                <w:rFonts w:cs="Times New Roman"/>
              </w:rPr>
              <w:t>47</w:t>
            </w:r>
          </w:p>
        </w:tc>
        <w:tc>
          <w:tcPr>
            <w:tcW w:w="1032" w:type="dxa"/>
          </w:tcPr>
          <w:p w14:paraId="4597D355" w14:textId="77777777" w:rsidR="003732E3" w:rsidRPr="003732E3" w:rsidRDefault="003732E3" w:rsidP="003732E3">
            <w:pPr>
              <w:jc w:val="center"/>
              <w:rPr>
                <w:rFonts w:cs="Times New Roman"/>
                <w:bCs/>
              </w:rPr>
            </w:pPr>
            <w:r w:rsidRPr="003732E3">
              <w:rPr>
                <w:rFonts w:cs="Times New Roman"/>
              </w:rPr>
              <w:t>Early</w:t>
            </w:r>
          </w:p>
        </w:tc>
        <w:tc>
          <w:tcPr>
            <w:tcW w:w="1032" w:type="dxa"/>
          </w:tcPr>
          <w:p w14:paraId="6C93364C" w14:textId="77777777" w:rsidR="003732E3" w:rsidRPr="003732E3" w:rsidRDefault="003732E3" w:rsidP="003732E3">
            <w:pPr>
              <w:jc w:val="center"/>
              <w:rPr>
                <w:rFonts w:cs="Times New Roman"/>
                <w:bCs/>
              </w:rPr>
            </w:pPr>
            <w:r w:rsidRPr="003732E3">
              <w:rPr>
                <w:rFonts w:cs="Times New Roman"/>
              </w:rPr>
              <w:t>0.83</w:t>
            </w:r>
          </w:p>
        </w:tc>
        <w:tc>
          <w:tcPr>
            <w:tcW w:w="1032" w:type="dxa"/>
          </w:tcPr>
          <w:p w14:paraId="6696FA51" w14:textId="77777777" w:rsidR="003732E3" w:rsidRPr="003732E3" w:rsidRDefault="003732E3" w:rsidP="003732E3">
            <w:pPr>
              <w:jc w:val="center"/>
              <w:rPr>
                <w:rFonts w:cs="Times New Roman"/>
                <w:bCs/>
              </w:rPr>
            </w:pPr>
            <w:r w:rsidRPr="003732E3">
              <w:rPr>
                <w:rFonts w:cs="Times New Roman"/>
              </w:rPr>
              <w:t>6.09</w:t>
            </w:r>
          </w:p>
        </w:tc>
        <w:tc>
          <w:tcPr>
            <w:tcW w:w="1032" w:type="dxa"/>
          </w:tcPr>
          <w:p w14:paraId="490DE73E" w14:textId="77777777" w:rsidR="003732E3" w:rsidRPr="003732E3" w:rsidRDefault="003732E3" w:rsidP="003732E3">
            <w:pPr>
              <w:jc w:val="center"/>
              <w:rPr>
                <w:rFonts w:cs="Times New Roman"/>
                <w:bCs/>
              </w:rPr>
            </w:pPr>
            <w:r w:rsidRPr="003732E3">
              <w:rPr>
                <w:rFonts w:cs="Times New Roman"/>
              </w:rPr>
              <w:t>0.47</w:t>
            </w:r>
          </w:p>
        </w:tc>
        <w:tc>
          <w:tcPr>
            <w:tcW w:w="1032" w:type="dxa"/>
          </w:tcPr>
          <w:p w14:paraId="356D0BFE" w14:textId="77777777" w:rsidR="003732E3" w:rsidRPr="003732E3" w:rsidRDefault="003732E3" w:rsidP="003732E3">
            <w:pPr>
              <w:jc w:val="center"/>
              <w:rPr>
                <w:rFonts w:cs="Times New Roman"/>
                <w:bCs/>
              </w:rPr>
            </w:pPr>
            <w:r w:rsidRPr="003732E3">
              <w:rPr>
                <w:rFonts w:cs="Times New Roman"/>
              </w:rPr>
              <w:t>0.71</w:t>
            </w:r>
          </w:p>
        </w:tc>
        <w:tc>
          <w:tcPr>
            <w:tcW w:w="1032" w:type="dxa"/>
          </w:tcPr>
          <w:p w14:paraId="3371DA47" w14:textId="77777777" w:rsidR="003732E3" w:rsidRPr="003732E3" w:rsidRDefault="003732E3" w:rsidP="003732E3">
            <w:pPr>
              <w:jc w:val="center"/>
              <w:rPr>
                <w:rFonts w:cs="Times New Roman"/>
                <w:bCs/>
              </w:rPr>
            </w:pPr>
            <w:r w:rsidRPr="003732E3">
              <w:rPr>
                <w:rFonts w:cs="Times New Roman"/>
              </w:rPr>
              <w:t>13.4</w:t>
            </w:r>
          </w:p>
        </w:tc>
      </w:tr>
      <w:tr w:rsidR="003732E3" w:rsidRPr="003732E3" w14:paraId="1C194E18" w14:textId="77777777" w:rsidTr="003732E3">
        <w:trPr>
          <w:trHeight w:val="370"/>
        </w:trPr>
        <w:tc>
          <w:tcPr>
            <w:tcW w:w="1032" w:type="dxa"/>
          </w:tcPr>
          <w:p w14:paraId="068C174C" w14:textId="77777777" w:rsidR="003732E3" w:rsidRPr="003732E3" w:rsidRDefault="003732E3" w:rsidP="003732E3">
            <w:pPr>
              <w:jc w:val="center"/>
              <w:rPr>
                <w:rFonts w:cs="Times New Roman"/>
                <w:bCs/>
              </w:rPr>
            </w:pPr>
            <w:r w:rsidRPr="003732E3">
              <w:rPr>
                <w:rFonts w:cs="Times New Roman"/>
              </w:rPr>
              <w:t>Early-5</w:t>
            </w:r>
          </w:p>
        </w:tc>
        <w:tc>
          <w:tcPr>
            <w:tcW w:w="1032" w:type="dxa"/>
          </w:tcPr>
          <w:p w14:paraId="47666905" w14:textId="77777777" w:rsidR="003732E3" w:rsidRPr="003732E3" w:rsidRDefault="003732E3" w:rsidP="003732E3">
            <w:pPr>
              <w:jc w:val="center"/>
              <w:rPr>
                <w:rFonts w:cs="Times New Roman"/>
                <w:bCs/>
              </w:rPr>
            </w:pPr>
            <w:r w:rsidRPr="003732E3">
              <w:rPr>
                <w:rFonts w:cs="Times New Roman"/>
              </w:rPr>
              <w:t>M</w:t>
            </w:r>
          </w:p>
        </w:tc>
        <w:tc>
          <w:tcPr>
            <w:tcW w:w="1032" w:type="dxa"/>
          </w:tcPr>
          <w:p w14:paraId="3ED7B750" w14:textId="77777777" w:rsidR="003732E3" w:rsidRPr="003732E3" w:rsidRDefault="003732E3" w:rsidP="003732E3">
            <w:pPr>
              <w:jc w:val="center"/>
              <w:rPr>
                <w:rFonts w:cs="Times New Roman"/>
                <w:bCs/>
              </w:rPr>
            </w:pPr>
            <w:r w:rsidRPr="003732E3">
              <w:rPr>
                <w:rFonts w:cs="Times New Roman"/>
              </w:rPr>
              <w:t>43</w:t>
            </w:r>
          </w:p>
        </w:tc>
        <w:tc>
          <w:tcPr>
            <w:tcW w:w="1032" w:type="dxa"/>
          </w:tcPr>
          <w:p w14:paraId="74A05160" w14:textId="77777777" w:rsidR="003732E3" w:rsidRPr="003732E3" w:rsidRDefault="003732E3" w:rsidP="003732E3">
            <w:pPr>
              <w:jc w:val="center"/>
              <w:rPr>
                <w:rFonts w:cs="Times New Roman"/>
                <w:bCs/>
              </w:rPr>
            </w:pPr>
            <w:r w:rsidRPr="003732E3">
              <w:rPr>
                <w:rFonts w:cs="Times New Roman"/>
              </w:rPr>
              <w:t>Early</w:t>
            </w:r>
          </w:p>
        </w:tc>
        <w:tc>
          <w:tcPr>
            <w:tcW w:w="1032" w:type="dxa"/>
          </w:tcPr>
          <w:p w14:paraId="455EBD7F" w14:textId="77777777" w:rsidR="003732E3" w:rsidRPr="003732E3" w:rsidRDefault="003732E3" w:rsidP="003732E3">
            <w:pPr>
              <w:jc w:val="center"/>
              <w:rPr>
                <w:rFonts w:cs="Times New Roman"/>
                <w:bCs/>
              </w:rPr>
            </w:pPr>
            <w:r w:rsidRPr="003732E3">
              <w:rPr>
                <w:rFonts w:cs="Times New Roman"/>
              </w:rPr>
              <w:t>0.81</w:t>
            </w:r>
          </w:p>
        </w:tc>
        <w:tc>
          <w:tcPr>
            <w:tcW w:w="1032" w:type="dxa"/>
          </w:tcPr>
          <w:p w14:paraId="5E988115" w14:textId="77777777" w:rsidR="003732E3" w:rsidRPr="003732E3" w:rsidRDefault="003732E3" w:rsidP="003732E3">
            <w:pPr>
              <w:jc w:val="center"/>
              <w:rPr>
                <w:rFonts w:cs="Times New Roman"/>
                <w:bCs/>
              </w:rPr>
            </w:pPr>
            <w:r w:rsidRPr="003732E3">
              <w:rPr>
                <w:rFonts w:cs="Times New Roman"/>
              </w:rPr>
              <w:t>5.59</w:t>
            </w:r>
          </w:p>
        </w:tc>
        <w:tc>
          <w:tcPr>
            <w:tcW w:w="1032" w:type="dxa"/>
          </w:tcPr>
          <w:p w14:paraId="1B9CFB91" w14:textId="77777777" w:rsidR="003732E3" w:rsidRPr="003732E3" w:rsidRDefault="003732E3" w:rsidP="003732E3">
            <w:pPr>
              <w:jc w:val="center"/>
              <w:rPr>
                <w:rFonts w:cs="Times New Roman"/>
                <w:bCs/>
              </w:rPr>
            </w:pPr>
            <w:r w:rsidRPr="003732E3">
              <w:rPr>
                <w:rFonts w:cs="Times New Roman"/>
              </w:rPr>
              <w:t>0.45</w:t>
            </w:r>
          </w:p>
        </w:tc>
        <w:tc>
          <w:tcPr>
            <w:tcW w:w="1032" w:type="dxa"/>
          </w:tcPr>
          <w:p w14:paraId="706BA398" w14:textId="77777777" w:rsidR="003732E3" w:rsidRPr="003732E3" w:rsidRDefault="003732E3" w:rsidP="003732E3">
            <w:pPr>
              <w:jc w:val="center"/>
              <w:rPr>
                <w:rFonts w:cs="Times New Roman"/>
                <w:bCs/>
              </w:rPr>
            </w:pPr>
            <w:r w:rsidRPr="003732E3">
              <w:rPr>
                <w:rFonts w:cs="Times New Roman"/>
              </w:rPr>
              <w:t>0.76</w:t>
            </w:r>
          </w:p>
        </w:tc>
        <w:tc>
          <w:tcPr>
            <w:tcW w:w="1032" w:type="dxa"/>
          </w:tcPr>
          <w:p w14:paraId="6C6FE7B7" w14:textId="77777777" w:rsidR="003732E3" w:rsidRPr="003732E3" w:rsidRDefault="003732E3" w:rsidP="003732E3">
            <w:pPr>
              <w:jc w:val="center"/>
              <w:rPr>
                <w:rFonts w:cs="Times New Roman"/>
                <w:bCs/>
              </w:rPr>
            </w:pPr>
            <w:r w:rsidRPr="003732E3">
              <w:rPr>
                <w:rFonts w:cs="Times New Roman"/>
              </w:rPr>
              <w:t>14.2</w:t>
            </w:r>
          </w:p>
        </w:tc>
      </w:tr>
      <w:tr w:rsidR="003732E3" w:rsidRPr="003732E3" w14:paraId="245AAA4E" w14:textId="77777777" w:rsidTr="003732E3">
        <w:trPr>
          <w:trHeight w:val="370"/>
        </w:trPr>
        <w:tc>
          <w:tcPr>
            <w:tcW w:w="1032" w:type="dxa"/>
          </w:tcPr>
          <w:p w14:paraId="11D5B6E1" w14:textId="77777777" w:rsidR="003732E3" w:rsidRPr="003732E3" w:rsidRDefault="003732E3" w:rsidP="003732E3">
            <w:pPr>
              <w:jc w:val="center"/>
              <w:rPr>
                <w:rFonts w:cs="Times New Roman"/>
                <w:bCs/>
              </w:rPr>
            </w:pPr>
            <w:r w:rsidRPr="003732E3">
              <w:rPr>
                <w:rFonts w:cs="Times New Roman"/>
              </w:rPr>
              <w:t>Early-6</w:t>
            </w:r>
          </w:p>
        </w:tc>
        <w:tc>
          <w:tcPr>
            <w:tcW w:w="1032" w:type="dxa"/>
          </w:tcPr>
          <w:p w14:paraId="4ED58624" w14:textId="77777777" w:rsidR="003732E3" w:rsidRPr="003732E3" w:rsidRDefault="003732E3" w:rsidP="003732E3">
            <w:pPr>
              <w:jc w:val="center"/>
              <w:rPr>
                <w:rFonts w:cs="Times New Roman"/>
                <w:bCs/>
              </w:rPr>
            </w:pPr>
            <w:r w:rsidRPr="003732E3">
              <w:rPr>
                <w:rFonts w:cs="Times New Roman"/>
              </w:rPr>
              <w:t>F</w:t>
            </w:r>
          </w:p>
        </w:tc>
        <w:tc>
          <w:tcPr>
            <w:tcW w:w="1032" w:type="dxa"/>
          </w:tcPr>
          <w:p w14:paraId="7087F9F4" w14:textId="77777777" w:rsidR="003732E3" w:rsidRPr="003732E3" w:rsidRDefault="003732E3" w:rsidP="003732E3">
            <w:pPr>
              <w:jc w:val="center"/>
              <w:rPr>
                <w:rFonts w:cs="Times New Roman"/>
                <w:bCs/>
              </w:rPr>
            </w:pPr>
            <w:r w:rsidRPr="003732E3">
              <w:rPr>
                <w:rFonts w:cs="Times New Roman"/>
              </w:rPr>
              <w:t>64</w:t>
            </w:r>
          </w:p>
        </w:tc>
        <w:tc>
          <w:tcPr>
            <w:tcW w:w="1032" w:type="dxa"/>
          </w:tcPr>
          <w:p w14:paraId="2B8CEE8B" w14:textId="77777777" w:rsidR="003732E3" w:rsidRPr="003732E3" w:rsidRDefault="003732E3" w:rsidP="003732E3">
            <w:pPr>
              <w:jc w:val="center"/>
              <w:rPr>
                <w:rFonts w:cs="Times New Roman"/>
                <w:bCs/>
              </w:rPr>
            </w:pPr>
            <w:r w:rsidRPr="003732E3">
              <w:rPr>
                <w:rFonts w:cs="Times New Roman"/>
              </w:rPr>
              <w:t>Early</w:t>
            </w:r>
          </w:p>
        </w:tc>
        <w:tc>
          <w:tcPr>
            <w:tcW w:w="1032" w:type="dxa"/>
          </w:tcPr>
          <w:p w14:paraId="58A8095C" w14:textId="77777777" w:rsidR="003732E3" w:rsidRPr="003732E3" w:rsidRDefault="003732E3" w:rsidP="003732E3">
            <w:pPr>
              <w:jc w:val="center"/>
              <w:rPr>
                <w:rFonts w:cs="Times New Roman"/>
                <w:bCs/>
              </w:rPr>
            </w:pPr>
            <w:r w:rsidRPr="003732E3">
              <w:rPr>
                <w:rFonts w:cs="Times New Roman"/>
              </w:rPr>
              <w:t>0.79</w:t>
            </w:r>
          </w:p>
        </w:tc>
        <w:tc>
          <w:tcPr>
            <w:tcW w:w="1032" w:type="dxa"/>
          </w:tcPr>
          <w:p w14:paraId="417BF779" w14:textId="77777777" w:rsidR="003732E3" w:rsidRPr="003732E3" w:rsidRDefault="003732E3" w:rsidP="003732E3">
            <w:pPr>
              <w:jc w:val="center"/>
              <w:rPr>
                <w:rFonts w:cs="Times New Roman"/>
                <w:bCs/>
              </w:rPr>
            </w:pPr>
            <w:r w:rsidRPr="003732E3">
              <w:rPr>
                <w:rFonts w:cs="Times New Roman"/>
              </w:rPr>
              <w:t>5.08</w:t>
            </w:r>
          </w:p>
        </w:tc>
        <w:tc>
          <w:tcPr>
            <w:tcW w:w="1032" w:type="dxa"/>
          </w:tcPr>
          <w:p w14:paraId="4BD1A9C2" w14:textId="77777777" w:rsidR="003732E3" w:rsidRPr="003732E3" w:rsidRDefault="003732E3" w:rsidP="003732E3">
            <w:pPr>
              <w:jc w:val="center"/>
              <w:rPr>
                <w:rFonts w:cs="Times New Roman"/>
                <w:bCs/>
              </w:rPr>
            </w:pPr>
            <w:r w:rsidRPr="003732E3">
              <w:rPr>
                <w:rFonts w:cs="Times New Roman"/>
              </w:rPr>
              <w:t>0.47</w:t>
            </w:r>
          </w:p>
        </w:tc>
        <w:tc>
          <w:tcPr>
            <w:tcW w:w="1032" w:type="dxa"/>
          </w:tcPr>
          <w:p w14:paraId="456A5849" w14:textId="77777777" w:rsidR="003732E3" w:rsidRPr="003732E3" w:rsidRDefault="003732E3" w:rsidP="003732E3">
            <w:pPr>
              <w:jc w:val="center"/>
              <w:rPr>
                <w:rFonts w:cs="Times New Roman"/>
                <w:bCs/>
              </w:rPr>
            </w:pPr>
            <w:r w:rsidRPr="003732E3">
              <w:rPr>
                <w:rFonts w:cs="Times New Roman"/>
              </w:rPr>
              <w:t>0.67</w:t>
            </w:r>
          </w:p>
        </w:tc>
        <w:tc>
          <w:tcPr>
            <w:tcW w:w="1032" w:type="dxa"/>
          </w:tcPr>
          <w:p w14:paraId="1BC9B613" w14:textId="77777777" w:rsidR="003732E3" w:rsidRPr="003732E3" w:rsidRDefault="003732E3" w:rsidP="003732E3">
            <w:pPr>
              <w:jc w:val="center"/>
              <w:rPr>
                <w:rFonts w:cs="Times New Roman"/>
                <w:bCs/>
              </w:rPr>
            </w:pPr>
            <w:r w:rsidRPr="003732E3">
              <w:rPr>
                <w:rFonts w:cs="Times New Roman"/>
              </w:rPr>
              <w:t>15.9</w:t>
            </w:r>
          </w:p>
        </w:tc>
      </w:tr>
      <w:tr w:rsidR="003732E3" w:rsidRPr="003732E3" w14:paraId="2EF1E69E" w14:textId="77777777" w:rsidTr="003732E3">
        <w:trPr>
          <w:trHeight w:val="370"/>
        </w:trPr>
        <w:tc>
          <w:tcPr>
            <w:tcW w:w="1032" w:type="dxa"/>
          </w:tcPr>
          <w:p w14:paraId="45443D0A" w14:textId="77777777" w:rsidR="003732E3" w:rsidRPr="003732E3" w:rsidRDefault="003732E3" w:rsidP="003732E3">
            <w:pPr>
              <w:jc w:val="center"/>
              <w:rPr>
                <w:rFonts w:cs="Times New Roman"/>
                <w:bCs/>
              </w:rPr>
            </w:pPr>
            <w:r w:rsidRPr="003732E3">
              <w:rPr>
                <w:rFonts w:cs="Times New Roman"/>
              </w:rPr>
              <w:t>Early-7</w:t>
            </w:r>
          </w:p>
        </w:tc>
        <w:tc>
          <w:tcPr>
            <w:tcW w:w="1032" w:type="dxa"/>
          </w:tcPr>
          <w:p w14:paraId="65E68624" w14:textId="77777777" w:rsidR="003732E3" w:rsidRPr="003732E3" w:rsidRDefault="003732E3" w:rsidP="003732E3">
            <w:pPr>
              <w:jc w:val="center"/>
              <w:rPr>
                <w:rFonts w:cs="Times New Roman"/>
                <w:bCs/>
              </w:rPr>
            </w:pPr>
            <w:r w:rsidRPr="003732E3">
              <w:rPr>
                <w:rFonts w:cs="Times New Roman"/>
              </w:rPr>
              <w:t>F</w:t>
            </w:r>
          </w:p>
        </w:tc>
        <w:tc>
          <w:tcPr>
            <w:tcW w:w="1032" w:type="dxa"/>
          </w:tcPr>
          <w:p w14:paraId="57B5074A" w14:textId="77777777" w:rsidR="003732E3" w:rsidRPr="003732E3" w:rsidRDefault="003732E3" w:rsidP="003732E3">
            <w:pPr>
              <w:jc w:val="center"/>
              <w:rPr>
                <w:rFonts w:cs="Times New Roman"/>
                <w:bCs/>
              </w:rPr>
            </w:pPr>
            <w:r w:rsidRPr="003732E3">
              <w:rPr>
                <w:rFonts w:cs="Times New Roman"/>
              </w:rPr>
              <w:t>47</w:t>
            </w:r>
          </w:p>
        </w:tc>
        <w:tc>
          <w:tcPr>
            <w:tcW w:w="1032" w:type="dxa"/>
          </w:tcPr>
          <w:p w14:paraId="56E59785" w14:textId="77777777" w:rsidR="003732E3" w:rsidRPr="003732E3" w:rsidRDefault="003732E3" w:rsidP="003732E3">
            <w:pPr>
              <w:jc w:val="center"/>
              <w:rPr>
                <w:rFonts w:cs="Times New Roman"/>
                <w:bCs/>
              </w:rPr>
            </w:pPr>
            <w:r w:rsidRPr="003732E3">
              <w:rPr>
                <w:rFonts w:cs="Times New Roman"/>
              </w:rPr>
              <w:t>Early</w:t>
            </w:r>
          </w:p>
        </w:tc>
        <w:tc>
          <w:tcPr>
            <w:tcW w:w="1032" w:type="dxa"/>
          </w:tcPr>
          <w:p w14:paraId="40F2A9E6" w14:textId="77777777" w:rsidR="003732E3" w:rsidRPr="003732E3" w:rsidRDefault="003732E3" w:rsidP="003732E3">
            <w:pPr>
              <w:jc w:val="center"/>
              <w:rPr>
                <w:rFonts w:cs="Times New Roman"/>
                <w:bCs/>
              </w:rPr>
            </w:pPr>
            <w:r w:rsidRPr="003732E3">
              <w:rPr>
                <w:rFonts w:cs="Times New Roman"/>
              </w:rPr>
              <w:t>0.88</w:t>
            </w:r>
          </w:p>
        </w:tc>
        <w:tc>
          <w:tcPr>
            <w:tcW w:w="1032" w:type="dxa"/>
          </w:tcPr>
          <w:p w14:paraId="386CBB91" w14:textId="77777777" w:rsidR="003732E3" w:rsidRPr="003732E3" w:rsidRDefault="003732E3" w:rsidP="003732E3">
            <w:pPr>
              <w:jc w:val="center"/>
              <w:rPr>
                <w:rFonts w:cs="Times New Roman"/>
                <w:bCs/>
              </w:rPr>
            </w:pPr>
            <w:r w:rsidRPr="003732E3">
              <w:rPr>
                <w:rFonts w:cs="Times New Roman"/>
              </w:rPr>
              <w:t>9.05</w:t>
            </w:r>
          </w:p>
        </w:tc>
        <w:tc>
          <w:tcPr>
            <w:tcW w:w="1032" w:type="dxa"/>
          </w:tcPr>
          <w:p w14:paraId="3E646971" w14:textId="77777777" w:rsidR="003732E3" w:rsidRPr="003732E3" w:rsidRDefault="003732E3" w:rsidP="003732E3">
            <w:pPr>
              <w:jc w:val="center"/>
              <w:rPr>
                <w:rFonts w:cs="Times New Roman"/>
                <w:bCs/>
              </w:rPr>
            </w:pPr>
            <w:r w:rsidRPr="003732E3">
              <w:rPr>
                <w:rFonts w:cs="Times New Roman"/>
              </w:rPr>
              <w:t>0.52</w:t>
            </w:r>
          </w:p>
        </w:tc>
        <w:tc>
          <w:tcPr>
            <w:tcW w:w="1032" w:type="dxa"/>
          </w:tcPr>
          <w:p w14:paraId="2D2DDDA2" w14:textId="77777777" w:rsidR="003732E3" w:rsidRPr="003732E3" w:rsidRDefault="003732E3" w:rsidP="003732E3">
            <w:pPr>
              <w:jc w:val="center"/>
              <w:rPr>
                <w:rFonts w:cs="Times New Roman"/>
                <w:bCs/>
              </w:rPr>
            </w:pPr>
            <w:r w:rsidRPr="003732E3">
              <w:rPr>
                <w:rFonts w:cs="Times New Roman"/>
              </w:rPr>
              <w:t>0.77</w:t>
            </w:r>
          </w:p>
        </w:tc>
        <w:tc>
          <w:tcPr>
            <w:tcW w:w="1032" w:type="dxa"/>
          </w:tcPr>
          <w:p w14:paraId="539C5190" w14:textId="77777777" w:rsidR="003732E3" w:rsidRPr="003732E3" w:rsidRDefault="003732E3" w:rsidP="003732E3">
            <w:pPr>
              <w:jc w:val="center"/>
              <w:rPr>
                <w:rFonts w:cs="Times New Roman"/>
                <w:bCs/>
              </w:rPr>
            </w:pPr>
            <w:r w:rsidRPr="003732E3">
              <w:rPr>
                <w:rFonts w:cs="Times New Roman"/>
              </w:rPr>
              <w:t>19.9</w:t>
            </w:r>
          </w:p>
        </w:tc>
      </w:tr>
      <w:tr w:rsidR="003732E3" w:rsidRPr="003732E3" w14:paraId="19C924EE" w14:textId="77777777" w:rsidTr="003732E3">
        <w:trPr>
          <w:trHeight w:val="370"/>
        </w:trPr>
        <w:tc>
          <w:tcPr>
            <w:tcW w:w="1032" w:type="dxa"/>
          </w:tcPr>
          <w:p w14:paraId="1129050E" w14:textId="77777777" w:rsidR="003732E3" w:rsidRPr="003732E3" w:rsidRDefault="003732E3" w:rsidP="003732E3">
            <w:pPr>
              <w:jc w:val="center"/>
              <w:rPr>
                <w:rFonts w:cs="Times New Roman"/>
                <w:bCs/>
              </w:rPr>
            </w:pPr>
            <w:r w:rsidRPr="003732E3">
              <w:rPr>
                <w:rFonts w:cs="Times New Roman"/>
              </w:rPr>
              <w:t>Early-8</w:t>
            </w:r>
          </w:p>
        </w:tc>
        <w:tc>
          <w:tcPr>
            <w:tcW w:w="1032" w:type="dxa"/>
          </w:tcPr>
          <w:p w14:paraId="6DB3B2C4" w14:textId="77777777" w:rsidR="003732E3" w:rsidRPr="003732E3" w:rsidRDefault="003732E3" w:rsidP="003732E3">
            <w:pPr>
              <w:jc w:val="center"/>
              <w:rPr>
                <w:rFonts w:cs="Times New Roman"/>
                <w:bCs/>
              </w:rPr>
            </w:pPr>
            <w:r w:rsidRPr="003732E3">
              <w:rPr>
                <w:rFonts w:cs="Times New Roman"/>
              </w:rPr>
              <w:t>F</w:t>
            </w:r>
          </w:p>
        </w:tc>
        <w:tc>
          <w:tcPr>
            <w:tcW w:w="1032" w:type="dxa"/>
          </w:tcPr>
          <w:p w14:paraId="21DDEA63" w14:textId="77777777" w:rsidR="003732E3" w:rsidRPr="003732E3" w:rsidRDefault="003732E3" w:rsidP="003732E3">
            <w:pPr>
              <w:jc w:val="center"/>
              <w:rPr>
                <w:rFonts w:cs="Times New Roman"/>
                <w:bCs/>
              </w:rPr>
            </w:pPr>
            <w:r w:rsidRPr="003732E3">
              <w:rPr>
                <w:rFonts w:cs="Times New Roman"/>
              </w:rPr>
              <w:t>33</w:t>
            </w:r>
          </w:p>
        </w:tc>
        <w:tc>
          <w:tcPr>
            <w:tcW w:w="1032" w:type="dxa"/>
          </w:tcPr>
          <w:p w14:paraId="5975A211" w14:textId="77777777" w:rsidR="003732E3" w:rsidRPr="003732E3" w:rsidRDefault="003732E3" w:rsidP="003732E3">
            <w:pPr>
              <w:jc w:val="center"/>
              <w:rPr>
                <w:rFonts w:cs="Times New Roman"/>
                <w:bCs/>
              </w:rPr>
            </w:pPr>
            <w:r w:rsidRPr="003732E3">
              <w:rPr>
                <w:rFonts w:cs="Times New Roman"/>
              </w:rPr>
              <w:t>Early</w:t>
            </w:r>
          </w:p>
        </w:tc>
        <w:tc>
          <w:tcPr>
            <w:tcW w:w="1032" w:type="dxa"/>
          </w:tcPr>
          <w:p w14:paraId="10D758AB" w14:textId="77777777" w:rsidR="003732E3" w:rsidRPr="003732E3" w:rsidRDefault="003732E3" w:rsidP="003732E3">
            <w:pPr>
              <w:jc w:val="center"/>
              <w:rPr>
                <w:rFonts w:cs="Times New Roman"/>
                <w:bCs/>
              </w:rPr>
            </w:pPr>
            <w:r w:rsidRPr="003732E3">
              <w:rPr>
                <w:rFonts w:cs="Times New Roman"/>
              </w:rPr>
              <w:t>0.89</w:t>
            </w:r>
          </w:p>
        </w:tc>
        <w:tc>
          <w:tcPr>
            <w:tcW w:w="1032" w:type="dxa"/>
          </w:tcPr>
          <w:p w14:paraId="30716094" w14:textId="77777777" w:rsidR="003732E3" w:rsidRPr="003732E3" w:rsidRDefault="003732E3" w:rsidP="003732E3">
            <w:pPr>
              <w:jc w:val="center"/>
              <w:rPr>
                <w:rFonts w:cs="Times New Roman"/>
                <w:bCs/>
              </w:rPr>
            </w:pPr>
            <w:r w:rsidRPr="003732E3">
              <w:rPr>
                <w:rFonts w:cs="Times New Roman"/>
              </w:rPr>
              <w:t>10.27</w:t>
            </w:r>
          </w:p>
        </w:tc>
        <w:tc>
          <w:tcPr>
            <w:tcW w:w="1032" w:type="dxa"/>
          </w:tcPr>
          <w:p w14:paraId="0892DA0C" w14:textId="77777777" w:rsidR="003732E3" w:rsidRPr="003732E3" w:rsidRDefault="003732E3" w:rsidP="003732E3">
            <w:pPr>
              <w:jc w:val="center"/>
              <w:rPr>
                <w:rFonts w:cs="Times New Roman"/>
                <w:bCs/>
              </w:rPr>
            </w:pPr>
            <w:r w:rsidRPr="003732E3">
              <w:rPr>
                <w:rFonts w:cs="Times New Roman"/>
              </w:rPr>
              <w:t>0.54</w:t>
            </w:r>
          </w:p>
        </w:tc>
        <w:tc>
          <w:tcPr>
            <w:tcW w:w="1032" w:type="dxa"/>
          </w:tcPr>
          <w:p w14:paraId="04C3AE64" w14:textId="77777777" w:rsidR="003732E3" w:rsidRPr="003732E3" w:rsidRDefault="003732E3" w:rsidP="003732E3">
            <w:pPr>
              <w:jc w:val="center"/>
              <w:rPr>
                <w:rFonts w:cs="Times New Roman"/>
                <w:bCs/>
              </w:rPr>
            </w:pPr>
            <w:r w:rsidRPr="003732E3">
              <w:rPr>
                <w:rFonts w:cs="Times New Roman"/>
              </w:rPr>
              <w:t>0.78</w:t>
            </w:r>
          </w:p>
        </w:tc>
        <w:tc>
          <w:tcPr>
            <w:tcW w:w="1032" w:type="dxa"/>
          </w:tcPr>
          <w:p w14:paraId="6205F65C" w14:textId="77777777" w:rsidR="003732E3" w:rsidRPr="003732E3" w:rsidRDefault="003732E3" w:rsidP="003732E3">
            <w:pPr>
              <w:jc w:val="center"/>
              <w:rPr>
                <w:rFonts w:cs="Times New Roman"/>
                <w:bCs/>
              </w:rPr>
            </w:pPr>
            <w:r w:rsidRPr="003732E3">
              <w:rPr>
                <w:rFonts w:cs="Times New Roman"/>
              </w:rPr>
              <w:t>18.5</w:t>
            </w:r>
          </w:p>
        </w:tc>
      </w:tr>
      <w:tr w:rsidR="003732E3" w:rsidRPr="003732E3" w14:paraId="448BC71C" w14:textId="77777777" w:rsidTr="003732E3">
        <w:trPr>
          <w:trHeight w:val="370"/>
        </w:trPr>
        <w:tc>
          <w:tcPr>
            <w:tcW w:w="1032" w:type="dxa"/>
          </w:tcPr>
          <w:p w14:paraId="549A7B74" w14:textId="77777777" w:rsidR="003732E3" w:rsidRPr="003732E3" w:rsidRDefault="003732E3" w:rsidP="003732E3">
            <w:pPr>
              <w:jc w:val="center"/>
              <w:rPr>
                <w:rFonts w:cs="Times New Roman"/>
                <w:bCs/>
              </w:rPr>
            </w:pPr>
            <w:r w:rsidRPr="003732E3">
              <w:rPr>
                <w:rFonts w:cs="Times New Roman"/>
              </w:rPr>
              <w:t>Early-9</w:t>
            </w:r>
          </w:p>
        </w:tc>
        <w:tc>
          <w:tcPr>
            <w:tcW w:w="1032" w:type="dxa"/>
          </w:tcPr>
          <w:p w14:paraId="457EE56F" w14:textId="77777777" w:rsidR="003732E3" w:rsidRPr="003732E3" w:rsidRDefault="003732E3" w:rsidP="003732E3">
            <w:pPr>
              <w:jc w:val="center"/>
              <w:rPr>
                <w:rFonts w:cs="Times New Roman"/>
                <w:bCs/>
              </w:rPr>
            </w:pPr>
            <w:r w:rsidRPr="003732E3">
              <w:rPr>
                <w:rFonts w:cs="Times New Roman"/>
              </w:rPr>
              <w:t>M</w:t>
            </w:r>
          </w:p>
        </w:tc>
        <w:tc>
          <w:tcPr>
            <w:tcW w:w="1032" w:type="dxa"/>
          </w:tcPr>
          <w:p w14:paraId="3034BA6D" w14:textId="77777777" w:rsidR="003732E3" w:rsidRPr="003732E3" w:rsidRDefault="003732E3" w:rsidP="003732E3">
            <w:pPr>
              <w:jc w:val="center"/>
              <w:rPr>
                <w:rFonts w:cs="Times New Roman"/>
                <w:bCs/>
              </w:rPr>
            </w:pPr>
            <w:r w:rsidRPr="003732E3">
              <w:rPr>
                <w:rFonts w:cs="Times New Roman"/>
              </w:rPr>
              <w:t>45</w:t>
            </w:r>
          </w:p>
        </w:tc>
        <w:tc>
          <w:tcPr>
            <w:tcW w:w="1032" w:type="dxa"/>
          </w:tcPr>
          <w:p w14:paraId="71E0BF09" w14:textId="77777777" w:rsidR="003732E3" w:rsidRPr="003732E3" w:rsidRDefault="003732E3" w:rsidP="003732E3">
            <w:pPr>
              <w:jc w:val="center"/>
              <w:rPr>
                <w:rFonts w:cs="Times New Roman"/>
                <w:bCs/>
              </w:rPr>
            </w:pPr>
            <w:r w:rsidRPr="003732E3">
              <w:rPr>
                <w:rFonts w:cs="Times New Roman"/>
              </w:rPr>
              <w:t>Early</w:t>
            </w:r>
          </w:p>
        </w:tc>
        <w:tc>
          <w:tcPr>
            <w:tcW w:w="1032" w:type="dxa"/>
          </w:tcPr>
          <w:p w14:paraId="560DBB7F" w14:textId="77777777" w:rsidR="003732E3" w:rsidRPr="003732E3" w:rsidRDefault="003732E3" w:rsidP="003732E3">
            <w:pPr>
              <w:jc w:val="center"/>
              <w:rPr>
                <w:rFonts w:cs="Times New Roman"/>
                <w:bCs/>
              </w:rPr>
            </w:pPr>
            <w:r w:rsidRPr="003732E3">
              <w:rPr>
                <w:rFonts w:cs="Times New Roman"/>
              </w:rPr>
              <w:t>0.89</w:t>
            </w:r>
          </w:p>
        </w:tc>
        <w:tc>
          <w:tcPr>
            <w:tcW w:w="1032" w:type="dxa"/>
          </w:tcPr>
          <w:p w14:paraId="67DEE14F" w14:textId="77777777" w:rsidR="003732E3" w:rsidRPr="003732E3" w:rsidRDefault="003732E3" w:rsidP="003732E3">
            <w:pPr>
              <w:jc w:val="center"/>
              <w:rPr>
                <w:rFonts w:cs="Times New Roman"/>
                <w:bCs/>
              </w:rPr>
            </w:pPr>
            <w:r w:rsidRPr="003732E3">
              <w:rPr>
                <w:rFonts w:cs="Times New Roman"/>
              </w:rPr>
              <w:t>9.33</w:t>
            </w:r>
          </w:p>
        </w:tc>
        <w:tc>
          <w:tcPr>
            <w:tcW w:w="1032" w:type="dxa"/>
          </w:tcPr>
          <w:p w14:paraId="6C767C4C" w14:textId="77777777" w:rsidR="003732E3" w:rsidRPr="003732E3" w:rsidRDefault="003732E3" w:rsidP="003732E3">
            <w:pPr>
              <w:jc w:val="center"/>
              <w:rPr>
                <w:rFonts w:cs="Times New Roman"/>
                <w:bCs/>
              </w:rPr>
            </w:pPr>
            <w:r w:rsidRPr="003732E3">
              <w:rPr>
                <w:rFonts w:cs="Times New Roman"/>
              </w:rPr>
              <w:t>0.76</w:t>
            </w:r>
          </w:p>
        </w:tc>
        <w:tc>
          <w:tcPr>
            <w:tcW w:w="1032" w:type="dxa"/>
          </w:tcPr>
          <w:p w14:paraId="188B5F55" w14:textId="77777777" w:rsidR="003732E3" w:rsidRPr="003732E3" w:rsidRDefault="003732E3" w:rsidP="003732E3">
            <w:pPr>
              <w:jc w:val="center"/>
              <w:rPr>
                <w:rFonts w:cs="Times New Roman"/>
                <w:bCs/>
              </w:rPr>
            </w:pPr>
            <w:r w:rsidRPr="003732E3">
              <w:rPr>
                <w:rFonts w:cs="Times New Roman"/>
              </w:rPr>
              <w:t>0.34</w:t>
            </w:r>
          </w:p>
        </w:tc>
        <w:tc>
          <w:tcPr>
            <w:tcW w:w="1032" w:type="dxa"/>
          </w:tcPr>
          <w:p w14:paraId="35D4ECC3" w14:textId="77777777" w:rsidR="003732E3" w:rsidRPr="003732E3" w:rsidRDefault="003732E3" w:rsidP="003732E3">
            <w:pPr>
              <w:jc w:val="center"/>
              <w:rPr>
                <w:rFonts w:cs="Times New Roman"/>
                <w:bCs/>
              </w:rPr>
            </w:pPr>
            <w:r w:rsidRPr="003732E3">
              <w:rPr>
                <w:rFonts w:cs="Times New Roman"/>
              </w:rPr>
              <w:t>12.5</w:t>
            </w:r>
          </w:p>
        </w:tc>
      </w:tr>
      <w:tr w:rsidR="003732E3" w:rsidRPr="003732E3" w14:paraId="2AF0B0A8" w14:textId="77777777" w:rsidTr="003732E3">
        <w:trPr>
          <w:trHeight w:val="370"/>
        </w:trPr>
        <w:tc>
          <w:tcPr>
            <w:tcW w:w="1032" w:type="dxa"/>
          </w:tcPr>
          <w:p w14:paraId="73AC10D2" w14:textId="0751989A" w:rsidR="003732E3" w:rsidRPr="003732E3" w:rsidRDefault="003732E3" w:rsidP="003732E3">
            <w:pPr>
              <w:jc w:val="center"/>
              <w:rPr>
                <w:rFonts w:cs="Times New Roman"/>
              </w:rPr>
            </w:pPr>
            <w:r w:rsidRPr="003732E3">
              <w:rPr>
                <w:rFonts w:cs="Times New Roman"/>
              </w:rPr>
              <w:t>Early-10</w:t>
            </w:r>
          </w:p>
        </w:tc>
        <w:tc>
          <w:tcPr>
            <w:tcW w:w="1032" w:type="dxa"/>
          </w:tcPr>
          <w:p w14:paraId="2B0E451F" w14:textId="6057EE43" w:rsidR="003732E3" w:rsidRPr="003732E3" w:rsidRDefault="003732E3" w:rsidP="003732E3">
            <w:pPr>
              <w:jc w:val="center"/>
              <w:rPr>
                <w:rFonts w:cs="Times New Roman"/>
              </w:rPr>
            </w:pPr>
            <w:r w:rsidRPr="003732E3">
              <w:rPr>
                <w:rFonts w:cs="Times New Roman"/>
              </w:rPr>
              <w:t>M</w:t>
            </w:r>
          </w:p>
        </w:tc>
        <w:tc>
          <w:tcPr>
            <w:tcW w:w="1032" w:type="dxa"/>
          </w:tcPr>
          <w:p w14:paraId="5D7E8143" w14:textId="285C6186" w:rsidR="003732E3" w:rsidRPr="003732E3" w:rsidRDefault="003732E3" w:rsidP="003732E3">
            <w:pPr>
              <w:jc w:val="center"/>
              <w:rPr>
                <w:rFonts w:cs="Times New Roman"/>
              </w:rPr>
            </w:pPr>
            <w:r w:rsidRPr="003732E3">
              <w:rPr>
                <w:rFonts w:cs="Times New Roman"/>
              </w:rPr>
              <w:t>44</w:t>
            </w:r>
          </w:p>
        </w:tc>
        <w:tc>
          <w:tcPr>
            <w:tcW w:w="1032" w:type="dxa"/>
          </w:tcPr>
          <w:p w14:paraId="5931E0B9" w14:textId="7B161BB5" w:rsidR="003732E3" w:rsidRPr="003732E3" w:rsidRDefault="003732E3" w:rsidP="003732E3">
            <w:pPr>
              <w:jc w:val="center"/>
              <w:rPr>
                <w:rFonts w:cs="Times New Roman"/>
              </w:rPr>
            </w:pPr>
            <w:r w:rsidRPr="003732E3">
              <w:rPr>
                <w:rFonts w:cs="Times New Roman"/>
              </w:rPr>
              <w:t>Early</w:t>
            </w:r>
          </w:p>
        </w:tc>
        <w:tc>
          <w:tcPr>
            <w:tcW w:w="1032" w:type="dxa"/>
          </w:tcPr>
          <w:p w14:paraId="6986FCEF" w14:textId="1A31DA47" w:rsidR="003732E3" w:rsidRPr="003732E3" w:rsidRDefault="003732E3" w:rsidP="003732E3">
            <w:pPr>
              <w:jc w:val="center"/>
              <w:rPr>
                <w:rFonts w:cs="Times New Roman"/>
              </w:rPr>
            </w:pPr>
            <w:r w:rsidRPr="003732E3">
              <w:rPr>
                <w:rFonts w:cs="Times New Roman"/>
              </w:rPr>
              <w:t>0.75</w:t>
            </w:r>
          </w:p>
        </w:tc>
        <w:tc>
          <w:tcPr>
            <w:tcW w:w="1032" w:type="dxa"/>
          </w:tcPr>
          <w:p w14:paraId="7AA253F5" w14:textId="058FA273" w:rsidR="003732E3" w:rsidRPr="003732E3" w:rsidRDefault="003732E3" w:rsidP="003732E3">
            <w:pPr>
              <w:jc w:val="center"/>
              <w:rPr>
                <w:rFonts w:cs="Times New Roman"/>
              </w:rPr>
            </w:pPr>
            <w:r w:rsidRPr="003732E3">
              <w:rPr>
                <w:rFonts w:cs="Times New Roman"/>
              </w:rPr>
              <w:t>4.34</w:t>
            </w:r>
          </w:p>
        </w:tc>
        <w:tc>
          <w:tcPr>
            <w:tcW w:w="1032" w:type="dxa"/>
          </w:tcPr>
          <w:p w14:paraId="407BD6DD" w14:textId="7257C248" w:rsidR="003732E3" w:rsidRPr="003732E3" w:rsidRDefault="003732E3" w:rsidP="003732E3">
            <w:pPr>
              <w:jc w:val="center"/>
              <w:rPr>
                <w:rFonts w:cs="Times New Roman"/>
              </w:rPr>
            </w:pPr>
            <w:r w:rsidRPr="003732E3">
              <w:rPr>
                <w:rFonts w:cs="Times New Roman"/>
              </w:rPr>
              <w:t>0.42</w:t>
            </w:r>
          </w:p>
        </w:tc>
        <w:tc>
          <w:tcPr>
            <w:tcW w:w="1032" w:type="dxa"/>
          </w:tcPr>
          <w:p w14:paraId="69EEB5AC" w14:textId="2BC54050" w:rsidR="003732E3" w:rsidRPr="003732E3" w:rsidRDefault="003732E3" w:rsidP="003732E3">
            <w:pPr>
              <w:jc w:val="center"/>
              <w:rPr>
                <w:rFonts w:cs="Times New Roman"/>
              </w:rPr>
            </w:pPr>
            <w:r w:rsidRPr="003732E3">
              <w:rPr>
                <w:rFonts w:cs="Times New Roman"/>
              </w:rPr>
              <w:t>0.71</w:t>
            </w:r>
          </w:p>
        </w:tc>
        <w:tc>
          <w:tcPr>
            <w:tcW w:w="1032" w:type="dxa"/>
          </w:tcPr>
          <w:p w14:paraId="05BC7C14" w14:textId="49411627" w:rsidR="003732E3" w:rsidRPr="003732E3" w:rsidRDefault="003732E3" w:rsidP="003732E3">
            <w:pPr>
              <w:jc w:val="center"/>
              <w:rPr>
                <w:rFonts w:cs="Times New Roman"/>
              </w:rPr>
            </w:pPr>
            <w:r w:rsidRPr="003732E3">
              <w:rPr>
                <w:rFonts w:cs="Times New Roman"/>
              </w:rPr>
              <w:t>12.3</w:t>
            </w:r>
          </w:p>
        </w:tc>
      </w:tr>
      <w:tr w:rsidR="003732E3" w:rsidRPr="003732E3" w14:paraId="30EE6AC3" w14:textId="77777777" w:rsidTr="003732E3">
        <w:trPr>
          <w:trHeight w:val="370"/>
        </w:trPr>
        <w:tc>
          <w:tcPr>
            <w:tcW w:w="1032" w:type="dxa"/>
          </w:tcPr>
          <w:p w14:paraId="4697E268" w14:textId="4BF59D72" w:rsidR="003732E3" w:rsidRPr="003732E3" w:rsidRDefault="003732E3" w:rsidP="003732E3">
            <w:pPr>
              <w:jc w:val="center"/>
              <w:rPr>
                <w:rFonts w:cs="Times New Roman"/>
              </w:rPr>
            </w:pPr>
            <w:r w:rsidRPr="003732E3">
              <w:rPr>
                <w:rFonts w:cs="Times New Roman"/>
              </w:rPr>
              <w:t>Early-11</w:t>
            </w:r>
          </w:p>
        </w:tc>
        <w:tc>
          <w:tcPr>
            <w:tcW w:w="1032" w:type="dxa"/>
          </w:tcPr>
          <w:p w14:paraId="4BD57F34" w14:textId="28A5F795" w:rsidR="003732E3" w:rsidRPr="003732E3" w:rsidRDefault="003732E3" w:rsidP="003732E3">
            <w:pPr>
              <w:jc w:val="center"/>
              <w:rPr>
                <w:rFonts w:cs="Times New Roman"/>
              </w:rPr>
            </w:pPr>
            <w:r w:rsidRPr="003732E3">
              <w:rPr>
                <w:rFonts w:cs="Times New Roman"/>
              </w:rPr>
              <w:t>M</w:t>
            </w:r>
          </w:p>
        </w:tc>
        <w:tc>
          <w:tcPr>
            <w:tcW w:w="1032" w:type="dxa"/>
          </w:tcPr>
          <w:p w14:paraId="587DDC69" w14:textId="0217C874" w:rsidR="003732E3" w:rsidRPr="003732E3" w:rsidRDefault="003732E3" w:rsidP="003732E3">
            <w:pPr>
              <w:jc w:val="center"/>
              <w:rPr>
                <w:rFonts w:cs="Times New Roman"/>
              </w:rPr>
            </w:pPr>
            <w:r w:rsidRPr="003732E3">
              <w:rPr>
                <w:rFonts w:cs="Times New Roman"/>
              </w:rPr>
              <w:t>58</w:t>
            </w:r>
          </w:p>
        </w:tc>
        <w:tc>
          <w:tcPr>
            <w:tcW w:w="1032" w:type="dxa"/>
          </w:tcPr>
          <w:p w14:paraId="6F7D7EE9" w14:textId="6571BBE4" w:rsidR="003732E3" w:rsidRPr="003732E3" w:rsidRDefault="003732E3" w:rsidP="003732E3">
            <w:pPr>
              <w:jc w:val="center"/>
              <w:rPr>
                <w:rFonts w:cs="Times New Roman"/>
              </w:rPr>
            </w:pPr>
            <w:r w:rsidRPr="003732E3">
              <w:rPr>
                <w:rFonts w:cs="Times New Roman"/>
              </w:rPr>
              <w:t>Early</w:t>
            </w:r>
          </w:p>
        </w:tc>
        <w:tc>
          <w:tcPr>
            <w:tcW w:w="1032" w:type="dxa"/>
          </w:tcPr>
          <w:p w14:paraId="3C7A9786" w14:textId="57420B0C" w:rsidR="003732E3" w:rsidRPr="003732E3" w:rsidRDefault="003732E3" w:rsidP="003732E3">
            <w:pPr>
              <w:jc w:val="center"/>
              <w:rPr>
                <w:rFonts w:cs="Times New Roman"/>
              </w:rPr>
            </w:pPr>
            <w:r w:rsidRPr="003732E3">
              <w:rPr>
                <w:rFonts w:cs="Times New Roman"/>
              </w:rPr>
              <w:t>0.96</w:t>
            </w:r>
          </w:p>
        </w:tc>
        <w:tc>
          <w:tcPr>
            <w:tcW w:w="1032" w:type="dxa"/>
          </w:tcPr>
          <w:p w14:paraId="4613B24A" w14:textId="1BAEA773" w:rsidR="003732E3" w:rsidRPr="003732E3" w:rsidRDefault="003732E3" w:rsidP="003732E3">
            <w:pPr>
              <w:jc w:val="center"/>
              <w:rPr>
                <w:rFonts w:cs="Times New Roman"/>
              </w:rPr>
            </w:pPr>
            <w:r w:rsidRPr="003732E3">
              <w:rPr>
                <w:rFonts w:cs="Times New Roman"/>
              </w:rPr>
              <w:t>29.34</w:t>
            </w:r>
          </w:p>
        </w:tc>
        <w:tc>
          <w:tcPr>
            <w:tcW w:w="1032" w:type="dxa"/>
          </w:tcPr>
          <w:p w14:paraId="7CABAD13" w14:textId="165AA353" w:rsidR="003732E3" w:rsidRPr="003732E3" w:rsidRDefault="003732E3" w:rsidP="003732E3">
            <w:pPr>
              <w:jc w:val="center"/>
              <w:rPr>
                <w:rFonts w:cs="Times New Roman"/>
              </w:rPr>
            </w:pPr>
            <w:r w:rsidRPr="003732E3">
              <w:rPr>
                <w:rFonts w:cs="Times New Roman"/>
              </w:rPr>
              <w:t>0.77</w:t>
            </w:r>
          </w:p>
        </w:tc>
        <w:tc>
          <w:tcPr>
            <w:tcW w:w="1032" w:type="dxa"/>
          </w:tcPr>
          <w:p w14:paraId="611BBD31" w14:textId="2E3851A3" w:rsidR="003732E3" w:rsidRPr="003732E3" w:rsidRDefault="003732E3" w:rsidP="003732E3">
            <w:pPr>
              <w:jc w:val="center"/>
              <w:rPr>
                <w:rFonts w:cs="Times New Roman"/>
              </w:rPr>
            </w:pPr>
            <w:r w:rsidRPr="003732E3">
              <w:rPr>
                <w:rFonts w:cs="Times New Roman"/>
              </w:rPr>
              <w:t>0.59</w:t>
            </w:r>
          </w:p>
        </w:tc>
        <w:tc>
          <w:tcPr>
            <w:tcW w:w="1032" w:type="dxa"/>
          </w:tcPr>
          <w:p w14:paraId="0035F46B" w14:textId="41A0B3AE" w:rsidR="003732E3" w:rsidRPr="003732E3" w:rsidRDefault="003732E3" w:rsidP="003732E3">
            <w:pPr>
              <w:jc w:val="center"/>
              <w:rPr>
                <w:rFonts w:cs="Times New Roman"/>
              </w:rPr>
            </w:pPr>
            <w:r w:rsidRPr="003732E3">
              <w:rPr>
                <w:rFonts w:cs="Times New Roman"/>
              </w:rPr>
              <w:t>26.4</w:t>
            </w:r>
          </w:p>
        </w:tc>
      </w:tr>
      <w:tr w:rsidR="003732E3" w:rsidRPr="003732E3" w14:paraId="11E5EDD3" w14:textId="77777777" w:rsidTr="003732E3">
        <w:trPr>
          <w:trHeight w:val="370"/>
        </w:trPr>
        <w:tc>
          <w:tcPr>
            <w:tcW w:w="1032" w:type="dxa"/>
          </w:tcPr>
          <w:p w14:paraId="25EB6149" w14:textId="77777777" w:rsidR="003732E3" w:rsidRPr="003732E3" w:rsidRDefault="003732E3" w:rsidP="003732E3">
            <w:pPr>
              <w:jc w:val="center"/>
              <w:rPr>
                <w:rFonts w:cs="Times New Roman"/>
                <w:bCs/>
              </w:rPr>
            </w:pPr>
            <w:r w:rsidRPr="003732E3">
              <w:rPr>
                <w:rFonts w:cs="Times New Roman"/>
              </w:rPr>
              <w:t>Late-1</w:t>
            </w:r>
          </w:p>
        </w:tc>
        <w:tc>
          <w:tcPr>
            <w:tcW w:w="1032" w:type="dxa"/>
          </w:tcPr>
          <w:p w14:paraId="51FFEE08" w14:textId="77777777" w:rsidR="003732E3" w:rsidRPr="003732E3" w:rsidRDefault="003732E3" w:rsidP="003732E3">
            <w:pPr>
              <w:jc w:val="center"/>
              <w:rPr>
                <w:rFonts w:cs="Times New Roman"/>
                <w:bCs/>
              </w:rPr>
            </w:pPr>
            <w:r w:rsidRPr="003732E3">
              <w:rPr>
                <w:rFonts w:cs="Times New Roman"/>
              </w:rPr>
              <w:t>M</w:t>
            </w:r>
          </w:p>
        </w:tc>
        <w:tc>
          <w:tcPr>
            <w:tcW w:w="1032" w:type="dxa"/>
          </w:tcPr>
          <w:p w14:paraId="625B91CE" w14:textId="77777777" w:rsidR="003732E3" w:rsidRPr="003732E3" w:rsidRDefault="003732E3" w:rsidP="003732E3">
            <w:pPr>
              <w:jc w:val="center"/>
              <w:rPr>
                <w:rFonts w:cs="Times New Roman"/>
                <w:bCs/>
              </w:rPr>
            </w:pPr>
            <w:r w:rsidRPr="003732E3">
              <w:rPr>
                <w:rFonts w:cs="Times New Roman"/>
              </w:rPr>
              <w:t>45</w:t>
            </w:r>
          </w:p>
        </w:tc>
        <w:tc>
          <w:tcPr>
            <w:tcW w:w="1032" w:type="dxa"/>
          </w:tcPr>
          <w:p w14:paraId="6DF57110" w14:textId="77777777" w:rsidR="003732E3" w:rsidRPr="003732E3" w:rsidRDefault="003732E3" w:rsidP="003732E3">
            <w:pPr>
              <w:jc w:val="center"/>
              <w:rPr>
                <w:rFonts w:cs="Times New Roman"/>
                <w:bCs/>
              </w:rPr>
            </w:pPr>
            <w:r w:rsidRPr="003732E3">
              <w:rPr>
                <w:rFonts w:cs="Times New Roman"/>
              </w:rPr>
              <w:t>Late</w:t>
            </w:r>
          </w:p>
        </w:tc>
        <w:tc>
          <w:tcPr>
            <w:tcW w:w="1032" w:type="dxa"/>
          </w:tcPr>
          <w:p w14:paraId="7BFF5BDC" w14:textId="77777777" w:rsidR="003732E3" w:rsidRPr="003732E3" w:rsidRDefault="003732E3" w:rsidP="003732E3">
            <w:pPr>
              <w:jc w:val="center"/>
              <w:rPr>
                <w:rFonts w:cs="Times New Roman"/>
                <w:bCs/>
              </w:rPr>
            </w:pPr>
            <w:r w:rsidRPr="003732E3">
              <w:rPr>
                <w:rFonts w:cs="Times New Roman"/>
              </w:rPr>
              <w:t>0.73</w:t>
            </w:r>
          </w:p>
        </w:tc>
        <w:tc>
          <w:tcPr>
            <w:tcW w:w="1032" w:type="dxa"/>
          </w:tcPr>
          <w:p w14:paraId="0E73FA17" w14:textId="77777777" w:rsidR="003732E3" w:rsidRPr="003732E3" w:rsidRDefault="003732E3" w:rsidP="003732E3">
            <w:pPr>
              <w:jc w:val="center"/>
              <w:rPr>
                <w:rFonts w:cs="Times New Roman"/>
                <w:bCs/>
              </w:rPr>
            </w:pPr>
            <w:r w:rsidRPr="003732E3">
              <w:rPr>
                <w:rFonts w:cs="Times New Roman"/>
              </w:rPr>
              <w:t>3.84</w:t>
            </w:r>
          </w:p>
        </w:tc>
        <w:tc>
          <w:tcPr>
            <w:tcW w:w="1032" w:type="dxa"/>
          </w:tcPr>
          <w:p w14:paraId="124DFEE1" w14:textId="77777777" w:rsidR="003732E3" w:rsidRPr="003732E3" w:rsidRDefault="003732E3" w:rsidP="003732E3">
            <w:pPr>
              <w:jc w:val="center"/>
              <w:rPr>
                <w:rFonts w:cs="Times New Roman"/>
                <w:bCs/>
              </w:rPr>
            </w:pPr>
            <w:r w:rsidRPr="003732E3">
              <w:rPr>
                <w:rFonts w:cs="Times New Roman"/>
              </w:rPr>
              <w:t>0.37</w:t>
            </w:r>
          </w:p>
        </w:tc>
        <w:tc>
          <w:tcPr>
            <w:tcW w:w="1032" w:type="dxa"/>
          </w:tcPr>
          <w:p w14:paraId="5537ABE5" w14:textId="77777777" w:rsidR="003732E3" w:rsidRPr="003732E3" w:rsidRDefault="003732E3" w:rsidP="003732E3">
            <w:pPr>
              <w:jc w:val="center"/>
              <w:rPr>
                <w:rFonts w:cs="Times New Roman"/>
                <w:bCs/>
              </w:rPr>
            </w:pPr>
            <w:r w:rsidRPr="003732E3">
              <w:rPr>
                <w:rFonts w:cs="Times New Roman"/>
              </w:rPr>
              <w:t>0.77</w:t>
            </w:r>
          </w:p>
        </w:tc>
        <w:tc>
          <w:tcPr>
            <w:tcW w:w="1032" w:type="dxa"/>
          </w:tcPr>
          <w:p w14:paraId="53CA45D5" w14:textId="77777777" w:rsidR="003732E3" w:rsidRPr="003732E3" w:rsidRDefault="003732E3" w:rsidP="003732E3">
            <w:pPr>
              <w:jc w:val="center"/>
              <w:rPr>
                <w:rFonts w:cs="Times New Roman"/>
                <w:bCs/>
              </w:rPr>
            </w:pPr>
            <w:r w:rsidRPr="003732E3">
              <w:rPr>
                <w:rFonts w:cs="Times New Roman"/>
              </w:rPr>
              <w:t>13.0</w:t>
            </w:r>
          </w:p>
        </w:tc>
      </w:tr>
      <w:tr w:rsidR="003732E3" w:rsidRPr="003732E3" w14:paraId="0DEFEBE8" w14:textId="77777777" w:rsidTr="003732E3">
        <w:trPr>
          <w:trHeight w:val="370"/>
        </w:trPr>
        <w:tc>
          <w:tcPr>
            <w:tcW w:w="1032" w:type="dxa"/>
          </w:tcPr>
          <w:p w14:paraId="3CE16B47" w14:textId="77777777" w:rsidR="003732E3" w:rsidRPr="003732E3" w:rsidRDefault="003732E3" w:rsidP="003732E3">
            <w:pPr>
              <w:jc w:val="center"/>
              <w:rPr>
                <w:rFonts w:cs="Times New Roman"/>
                <w:bCs/>
              </w:rPr>
            </w:pPr>
            <w:r w:rsidRPr="003732E3">
              <w:rPr>
                <w:rFonts w:cs="Times New Roman"/>
              </w:rPr>
              <w:t>Late-2</w:t>
            </w:r>
          </w:p>
        </w:tc>
        <w:tc>
          <w:tcPr>
            <w:tcW w:w="1032" w:type="dxa"/>
          </w:tcPr>
          <w:p w14:paraId="2EDD6267" w14:textId="77777777" w:rsidR="003732E3" w:rsidRPr="003732E3" w:rsidRDefault="003732E3" w:rsidP="003732E3">
            <w:pPr>
              <w:jc w:val="center"/>
              <w:rPr>
                <w:rFonts w:cs="Times New Roman"/>
                <w:bCs/>
              </w:rPr>
            </w:pPr>
            <w:r w:rsidRPr="003732E3">
              <w:rPr>
                <w:rFonts w:cs="Times New Roman"/>
              </w:rPr>
              <w:t>F</w:t>
            </w:r>
          </w:p>
        </w:tc>
        <w:tc>
          <w:tcPr>
            <w:tcW w:w="1032" w:type="dxa"/>
          </w:tcPr>
          <w:p w14:paraId="7E14DA90" w14:textId="77777777" w:rsidR="003732E3" w:rsidRPr="003732E3" w:rsidRDefault="003732E3" w:rsidP="003732E3">
            <w:pPr>
              <w:jc w:val="center"/>
              <w:rPr>
                <w:rFonts w:cs="Times New Roman"/>
                <w:bCs/>
              </w:rPr>
            </w:pPr>
            <w:r w:rsidRPr="003732E3">
              <w:rPr>
                <w:rFonts w:cs="Times New Roman"/>
              </w:rPr>
              <w:t>54</w:t>
            </w:r>
          </w:p>
        </w:tc>
        <w:tc>
          <w:tcPr>
            <w:tcW w:w="1032" w:type="dxa"/>
          </w:tcPr>
          <w:p w14:paraId="0111BBA8" w14:textId="77777777" w:rsidR="003732E3" w:rsidRPr="003732E3" w:rsidRDefault="003732E3" w:rsidP="003732E3">
            <w:pPr>
              <w:jc w:val="center"/>
              <w:rPr>
                <w:rFonts w:cs="Times New Roman"/>
                <w:bCs/>
              </w:rPr>
            </w:pPr>
            <w:r w:rsidRPr="003732E3">
              <w:rPr>
                <w:rFonts w:cs="Times New Roman"/>
              </w:rPr>
              <w:t>Late</w:t>
            </w:r>
          </w:p>
        </w:tc>
        <w:tc>
          <w:tcPr>
            <w:tcW w:w="1032" w:type="dxa"/>
          </w:tcPr>
          <w:p w14:paraId="2058BA61" w14:textId="77777777" w:rsidR="003732E3" w:rsidRPr="003732E3" w:rsidRDefault="003732E3" w:rsidP="003732E3">
            <w:pPr>
              <w:jc w:val="center"/>
              <w:rPr>
                <w:rFonts w:cs="Times New Roman"/>
                <w:bCs/>
              </w:rPr>
            </w:pPr>
            <w:r w:rsidRPr="003732E3">
              <w:rPr>
                <w:rFonts w:cs="Times New Roman"/>
              </w:rPr>
              <w:t>0.79</w:t>
            </w:r>
          </w:p>
        </w:tc>
        <w:tc>
          <w:tcPr>
            <w:tcW w:w="1032" w:type="dxa"/>
          </w:tcPr>
          <w:p w14:paraId="06F2E460" w14:textId="77777777" w:rsidR="003732E3" w:rsidRPr="003732E3" w:rsidRDefault="003732E3" w:rsidP="003732E3">
            <w:pPr>
              <w:jc w:val="center"/>
              <w:rPr>
                <w:rFonts w:cs="Times New Roman"/>
                <w:bCs/>
              </w:rPr>
            </w:pPr>
            <w:r w:rsidRPr="003732E3">
              <w:rPr>
                <w:rFonts w:cs="Times New Roman"/>
              </w:rPr>
              <w:t>4.97</w:t>
            </w:r>
          </w:p>
        </w:tc>
        <w:tc>
          <w:tcPr>
            <w:tcW w:w="1032" w:type="dxa"/>
          </w:tcPr>
          <w:p w14:paraId="2F2FDA48" w14:textId="77777777" w:rsidR="003732E3" w:rsidRPr="003732E3" w:rsidRDefault="003732E3" w:rsidP="003732E3">
            <w:pPr>
              <w:jc w:val="center"/>
              <w:rPr>
                <w:rFonts w:cs="Times New Roman"/>
                <w:bCs/>
              </w:rPr>
            </w:pPr>
            <w:r w:rsidRPr="003732E3">
              <w:rPr>
                <w:rFonts w:cs="Times New Roman"/>
              </w:rPr>
              <w:t>0.39</w:t>
            </w:r>
          </w:p>
        </w:tc>
        <w:tc>
          <w:tcPr>
            <w:tcW w:w="1032" w:type="dxa"/>
          </w:tcPr>
          <w:p w14:paraId="59D5BC1B" w14:textId="77777777" w:rsidR="003732E3" w:rsidRPr="003732E3" w:rsidRDefault="003732E3" w:rsidP="003732E3">
            <w:pPr>
              <w:jc w:val="center"/>
              <w:rPr>
                <w:rFonts w:cs="Times New Roman"/>
                <w:bCs/>
              </w:rPr>
            </w:pPr>
            <w:r w:rsidRPr="003732E3">
              <w:rPr>
                <w:rFonts w:cs="Times New Roman"/>
              </w:rPr>
              <w:t>0.81</w:t>
            </w:r>
          </w:p>
        </w:tc>
        <w:tc>
          <w:tcPr>
            <w:tcW w:w="1032" w:type="dxa"/>
          </w:tcPr>
          <w:p w14:paraId="779E45FD" w14:textId="77777777" w:rsidR="003732E3" w:rsidRPr="003732E3" w:rsidRDefault="003732E3" w:rsidP="003732E3">
            <w:pPr>
              <w:jc w:val="center"/>
              <w:rPr>
                <w:rFonts w:cs="Times New Roman"/>
                <w:bCs/>
              </w:rPr>
            </w:pPr>
            <w:r w:rsidRPr="003732E3">
              <w:rPr>
                <w:rFonts w:cs="Times New Roman"/>
              </w:rPr>
              <w:t>15.6</w:t>
            </w:r>
          </w:p>
        </w:tc>
      </w:tr>
      <w:tr w:rsidR="003732E3" w:rsidRPr="003732E3" w14:paraId="1902FCA4" w14:textId="77777777" w:rsidTr="003732E3">
        <w:trPr>
          <w:trHeight w:val="370"/>
        </w:trPr>
        <w:tc>
          <w:tcPr>
            <w:tcW w:w="1032" w:type="dxa"/>
          </w:tcPr>
          <w:p w14:paraId="4839D376" w14:textId="77777777" w:rsidR="003732E3" w:rsidRPr="003732E3" w:rsidRDefault="003732E3" w:rsidP="003732E3">
            <w:pPr>
              <w:jc w:val="center"/>
              <w:rPr>
                <w:rFonts w:cs="Times New Roman"/>
                <w:bCs/>
              </w:rPr>
            </w:pPr>
            <w:r w:rsidRPr="003732E3">
              <w:rPr>
                <w:rFonts w:cs="Times New Roman"/>
              </w:rPr>
              <w:t>Late-3</w:t>
            </w:r>
          </w:p>
        </w:tc>
        <w:tc>
          <w:tcPr>
            <w:tcW w:w="1032" w:type="dxa"/>
          </w:tcPr>
          <w:p w14:paraId="6D7227D6" w14:textId="77777777" w:rsidR="003732E3" w:rsidRPr="003732E3" w:rsidRDefault="003732E3" w:rsidP="003732E3">
            <w:pPr>
              <w:jc w:val="center"/>
              <w:rPr>
                <w:rFonts w:cs="Times New Roman"/>
                <w:bCs/>
              </w:rPr>
            </w:pPr>
            <w:r w:rsidRPr="003732E3">
              <w:rPr>
                <w:rFonts w:cs="Times New Roman"/>
              </w:rPr>
              <w:t>F</w:t>
            </w:r>
          </w:p>
        </w:tc>
        <w:tc>
          <w:tcPr>
            <w:tcW w:w="1032" w:type="dxa"/>
          </w:tcPr>
          <w:p w14:paraId="4F6F3201" w14:textId="77777777" w:rsidR="003732E3" w:rsidRPr="003732E3" w:rsidRDefault="003732E3" w:rsidP="003732E3">
            <w:pPr>
              <w:jc w:val="center"/>
              <w:rPr>
                <w:rFonts w:cs="Times New Roman"/>
                <w:bCs/>
              </w:rPr>
            </w:pPr>
            <w:r w:rsidRPr="003732E3">
              <w:rPr>
                <w:rFonts w:cs="Times New Roman"/>
              </w:rPr>
              <w:t>50</w:t>
            </w:r>
          </w:p>
        </w:tc>
        <w:tc>
          <w:tcPr>
            <w:tcW w:w="1032" w:type="dxa"/>
          </w:tcPr>
          <w:p w14:paraId="77DE348A" w14:textId="77777777" w:rsidR="003732E3" w:rsidRPr="003732E3" w:rsidRDefault="003732E3" w:rsidP="003732E3">
            <w:pPr>
              <w:jc w:val="center"/>
              <w:rPr>
                <w:rFonts w:cs="Times New Roman"/>
                <w:bCs/>
              </w:rPr>
            </w:pPr>
            <w:r w:rsidRPr="003732E3">
              <w:rPr>
                <w:rFonts w:cs="Times New Roman"/>
              </w:rPr>
              <w:t>Late</w:t>
            </w:r>
          </w:p>
        </w:tc>
        <w:tc>
          <w:tcPr>
            <w:tcW w:w="1032" w:type="dxa"/>
          </w:tcPr>
          <w:p w14:paraId="22928CB8" w14:textId="77777777" w:rsidR="003732E3" w:rsidRPr="003732E3" w:rsidRDefault="003732E3" w:rsidP="003732E3">
            <w:pPr>
              <w:jc w:val="center"/>
              <w:rPr>
                <w:rFonts w:cs="Times New Roman"/>
                <w:bCs/>
              </w:rPr>
            </w:pPr>
            <w:r w:rsidRPr="003732E3">
              <w:rPr>
                <w:rFonts w:cs="Times New Roman"/>
              </w:rPr>
              <w:t>0.77</w:t>
            </w:r>
          </w:p>
        </w:tc>
        <w:tc>
          <w:tcPr>
            <w:tcW w:w="1032" w:type="dxa"/>
          </w:tcPr>
          <w:p w14:paraId="6B2D289C" w14:textId="77777777" w:rsidR="003732E3" w:rsidRPr="003732E3" w:rsidRDefault="003732E3" w:rsidP="003732E3">
            <w:pPr>
              <w:jc w:val="center"/>
              <w:rPr>
                <w:rFonts w:cs="Times New Roman"/>
                <w:bCs/>
              </w:rPr>
            </w:pPr>
            <w:r w:rsidRPr="003732E3">
              <w:rPr>
                <w:rFonts w:cs="Times New Roman"/>
              </w:rPr>
              <w:t>4.55</w:t>
            </w:r>
          </w:p>
        </w:tc>
        <w:tc>
          <w:tcPr>
            <w:tcW w:w="1032" w:type="dxa"/>
          </w:tcPr>
          <w:p w14:paraId="3E7BEA99" w14:textId="77777777" w:rsidR="003732E3" w:rsidRPr="003732E3" w:rsidRDefault="003732E3" w:rsidP="003732E3">
            <w:pPr>
              <w:jc w:val="center"/>
              <w:rPr>
                <w:rFonts w:cs="Times New Roman"/>
                <w:bCs/>
              </w:rPr>
            </w:pPr>
            <w:r w:rsidRPr="003732E3">
              <w:rPr>
                <w:rFonts w:cs="Times New Roman"/>
              </w:rPr>
              <w:t>0.45</w:t>
            </w:r>
          </w:p>
        </w:tc>
        <w:tc>
          <w:tcPr>
            <w:tcW w:w="1032" w:type="dxa"/>
          </w:tcPr>
          <w:p w14:paraId="32E3C813" w14:textId="77777777" w:rsidR="003732E3" w:rsidRPr="003732E3" w:rsidRDefault="003732E3" w:rsidP="003732E3">
            <w:pPr>
              <w:jc w:val="center"/>
              <w:rPr>
                <w:rFonts w:cs="Times New Roman"/>
                <w:bCs/>
              </w:rPr>
            </w:pPr>
            <w:r w:rsidRPr="003732E3">
              <w:rPr>
                <w:rFonts w:cs="Times New Roman"/>
              </w:rPr>
              <w:t>0.72</w:t>
            </w:r>
          </w:p>
        </w:tc>
        <w:tc>
          <w:tcPr>
            <w:tcW w:w="1032" w:type="dxa"/>
          </w:tcPr>
          <w:p w14:paraId="677F483B" w14:textId="77777777" w:rsidR="003732E3" w:rsidRPr="003732E3" w:rsidRDefault="003732E3" w:rsidP="003732E3">
            <w:pPr>
              <w:jc w:val="center"/>
              <w:rPr>
                <w:rFonts w:cs="Times New Roman"/>
                <w:bCs/>
              </w:rPr>
            </w:pPr>
            <w:r w:rsidRPr="003732E3">
              <w:rPr>
                <w:rFonts w:cs="Times New Roman"/>
              </w:rPr>
              <w:t>17.6</w:t>
            </w:r>
          </w:p>
        </w:tc>
      </w:tr>
      <w:tr w:rsidR="003732E3" w:rsidRPr="003732E3" w14:paraId="6DAE385A" w14:textId="77777777" w:rsidTr="003732E3">
        <w:trPr>
          <w:trHeight w:val="370"/>
        </w:trPr>
        <w:tc>
          <w:tcPr>
            <w:tcW w:w="1032" w:type="dxa"/>
          </w:tcPr>
          <w:p w14:paraId="22A2E710" w14:textId="77777777" w:rsidR="003732E3" w:rsidRPr="003732E3" w:rsidRDefault="003732E3" w:rsidP="003732E3">
            <w:pPr>
              <w:jc w:val="center"/>
              <w:rPr>
                <w:rFonts w:cs="Times New Roman"/>
                <w:bCs/>
              </w:rPr>
            </w:pPr>
            <w:r w:rsidRPr="003732E3">
              <w:rPr>
                <w:rFonts w:cs="Times New Roman"/>
              </w:rPr>
              <w:t>Late-4</w:t>
            </w:r>
          </w:p>
        </w:tc>
        <w:tc>
          <w:tcPr>
            <w:tcW w:w="1032" w:type="dxa"/>
          </w:tcPr>
          <w:p w14:paraId="5E870F3A" w14:textId="77777777" w:rsidR="003732E3" w:rsidRPr="003732E3" w:rsidRDefault="003732E3" w:rsidP="003732E3">
            <w:pPr>
              <w:jc w:val="center"/>
              <w:rPr>
                <w:rFonts w:cs="Times New Roman"/>
                <w:bCs/>
              </w:rPr>
            </w:pPr>
            <w:r w:rsidRPr="003732E3">
              <w:rPr>
                <w:rFonts w:cs="Times New Roman"/>
              </w:rPr>
              <w:t>F</w:t>
            </w:r>
          </w:p>
        </w:tc>
        <w:tc>
          <w:tcPr>
            <w:tcW w:w="1032" w:type="dxa"/>
          </w:tcPr>
          <w:p w14:paraId="7E6009AB" w14:textId="77777777" w:rsidR="003732E3" w:rsidRPr="003732E3" w:rsidRDefault="003732E3" w:rsidP="003732E3">
            <w:pPr>
              <w:jc w:val="center"/>
              <w:rPr>
                <w:rFonts w:cs="Times New Roman"/>
                <w:bCs/>
              </w:rPr>
            </w:pPr>
            <w:r w:rsidRPr="003732E3">
              <w:rPr>
                <w:rFonts w:cs="Times New Roman"/>
              </w:rPr>
              <w:t>50</w:t>
            </w:r>
          </w:p>
        </w:tc>
        <w:tc>
          <w:tcPr>
            <w:tcW w:w="1032" w:type="dxa"/>
          </w:tcPr>
          <w:p w14:paraId="455FF103" w14:textId="77777777" w:rsidR="003732E3" w:rsidRPr="003732E3" w:rsidRDefault="003732E3" w:rsidP="003732E3">
            <w:pPr>
              <w:jc w:val="center"/>
              <w:rPr>
                <w:rFonts w:cs="Times New Roman"/>
                <w:bCs/>
              </w:rPr>
            </w:pPr>
            <w:r w:rsidRPr="003732E3">
              <w:rPr>
                <w:rFonts w:cs="Times New Roman"/>
              </w:rPr>
              <w:t>Late</w:t>
            </w:r>
          </w:p>
        </w:tc>
        <w:tc>
          <w:tcPr>
            <w:tcW w:w="1032" w:type="dxa"/>
          </w:tcPr>
          <w:p w14:paraId="0CADDEBA" w14:textId="77777777" w:rsidR="003732E3" w:rsidRPr="003732E3" w:rsidRDefault="003732E3" w:rsidP="003732E3">
            <w:pPr>
              <w:jc w:val="center"/>
              <w:rPr>
                <w:rFonts w:cs="Times New Roman"/>
                <w:bCs/>
              </w:rPr>
            </w:pPr>
            <w:r w:rsidRPr="003732E3">
              <w:rPr>
                <w:rFonts w:cs="Times New Roman"/>
              </w:rPr>
              <w:t>0.88</w:t>
            </w:r>
          </w:p>
        </w:tc>
        <w:tc>
          <w:tcPr>
            <w:tcW w:w="1032" w:type="dxa"/>
          </w:tcPr>
          <w:p w14:paraId="054648DC" w14:textId="77777777" w:rsidR="003732E3" w:rsidRPr="003732E3" w:rsidRDefault="003732E3" w:rsidP="003732E3">
            <w:pPr>
              <w:jc w:val="center"/>
              <w:rPr>
                <w:rFonts w:cs="Times New Roman"/>
                <w:bCs/>
              </w:rPr>
            </w:pPr>
            <w:r w:rsidRPr="003732E3">
              <w:rPr>
                <w:rFonts w:cs="Times New Roman"/>
              </w:rPr>
              <w:t>9.41</w:t>
            </w:r>
          </w:p>
        </w:tc>
        <w:tc>
          <w:tcPr>
            <w:tcW w:w="1032" w:type="dxa"/>
          </w:tcPr>
          <w:p w14:paraId="7465D7BE" w14:textId="77777777" w:rsidR="003732E3" w:rsidRPr="003732E3" w:rsidRDefault="003732E3" w:rsidP="003732E3">
            <w:pPr>
              <w:jc w:val="center"/>
              <w:rPr>
                <w:rFonts w:cs="Times New Roman"/>
                <w:bCs/>
              </w:rPr>
            </w:pPr>
            <w:r w:rsidRPr="003732E3">
              <w:rPr>
                <w:rFonts w:cs="Times New Roman"/>
              </w:rPr>
              <w:t>0.51</w:t>
            </w:r>
          </w:p>
        </w:tc>
        <w:tc>
          <w:tcPr>
            <w:tcW w:w="1032" w:type="dxa"/>
          </w:tcPr>
          <w:p w14:paraId="02127A3B" w14:textId="77777777" w:rsidR="003732E3" w:rsidRPr="003732E3" w:rsidRDefault="003732E3" w:rsidP="003732E3">
            <w:pPr>
              <w:jc w:val="center"/>
              <w:rPr>
                <w:rFonts w:cs="Times New Roman"/>
                <w:bCs/>
              </w:rPr>
            </w:pPr>
            <w:r w:rsidRPr="003732E3">
              <w:rPr>
                <w:rFonts w:cs="Times New Roman"/>
              </w:rPr>
              <w:t>0.81</w:t>
            </w:r>
          </w:p>
        </w:tc>
        <w:tc>
          <w:tcPr>
            <w:tcW w:w="1032" w:type="dxa"/>
          </w:tcPr>
          <w:p w14:paraId="19E7D39F" w14:textId="77777777" w:rsidR="003732E3" w:rsidRPr="003732E3" w:rsidRDefault="003732E3" w:rsidP="003732E3">
            <w:pPr>
              <w:jc w:val="center"/>
              <w:rPr>
                <w:rFonts w:cs="Times New Roman"/>
                <w:bCs/>
              </w:rPr>
            </w:pPr>
            <w:r w:rsidRPr="003732E3">
              <w:rPr>
                <w:rFonts w:cs="Times New Roman"/>
              </w:rPr>
              <w:t>18.4</w:t>
            </w:r>
          </w:p>
        </w:tc>
      </w:tr>
      <w:tr w:rsidR="003732E3" w:rsidRPr="003732E3" w14:paraId="5DBC94FE" w14:textId="77777777" w:rsidTr="003732E3">
        <w:trPr>
          <w:trHeight w:val="370"/>
        </w:trPr>
        <w:tc>
          <w:tcPr>
            <w:tcW w:w="1032" w:type="dxa"/>
          </w:tcPr>
          <w:p w14:paraId="4FB4D160" w14:textId="77777777" w:rsidR="003732E3" w:rsidRPr="003732E3" w:rsidRDefault="003732E3" w:rsidP="003732E3">
            <w:pPr>
              <w:jc w:val="center"/>
              <w:rPr>
                <w:rFonts w:cs="Times New Roman"/>
                <w:bCs/>
              </w:rPr>
            </w:pPr>
            <w:r w:rsidRPr="003732E3">
              <w:rPr>
                <w:rFonts w:cs="Times New Roman"/>
              </w:rPr>
              <w:t>Late-5</w:t>
            </w:r>
          </w:p>
        </w:tc>
        <w:tc>
          <w:tcPr>
            <w:tcW w:w="1032" w:type="dxa"/>
          </w:tcPr>
          <w:p w14:paraId="66D1334E" w14:textId="77777777" w:rsidR="003732E3" w:rsidRPr="003732E3" w:rsidRDefault="003732E3" w:rsidP="003732E3">
            <w:pPr>
              <w:jc w:val="center"/>
              <w:rPr>
                <w:rFonts w:cs="Times New Roman"/>
                <w:bCs/>
              </w:rPr>
            </w:pPr>
            <w:r w:rsidRPr="003732E3">
              <w:rPr>
                <w:rFonts w:cs="Times New Roman"/>
              </w:rPr>
              <w:t>F</w:t>
            </w:r>
          </w:p>
        </w:tc>
        <w:tc>
          <w:tcPr>
            <w:tcW w:w="1032" w:type="dxa"/>
          </w:tcPr>
          <w:p w14:paraId="02AA129A" w14:textId="77777777" w:rsidR="003732E3" w:rsidRPr="003732E3" w:rsidRDefault="003732E3" w:rsidP="003732E3">
            <w:pPr>
              <w:jc w:val="center"/>
              <w:rPr>
                <w:rFonts w:cs="Times New Roman"/>
                <w:bCs/>
              </w:rPr>
            </w:pPr>
            <w:r w:rsidRPr="003732E3">
              <w:rPr>
                <w:rFonts w:cs="Times New Roman"/>
              </w:rPr>
              <w:t>43</w:t>
            </w:r>
          </w:p>
        </w:tc>
        <w:tc>
          <w:tcPr>
            <w:tcW w:w="1032" w:type="dxa"/>
          </w:tcPr>
          <w:p w14:paraId="51985A90" w14:textId="77777777" w:rsidR="003732E3" w:rsidRPr="003732E3" w:rsidRDefault="003732E3" w:rsidP="003732E3">
            <w:pPr>
              <w:jc w:val="center"/>
              <w:rPr>
                <w:rFonts w:cs="Times New Roman"/>
                <w:bCs/>
              </w:rPr>
            </w:pPr>
            <w:r w:rsidRPr="003732E3">
              <w:rPr>
                <w:rFonts w:cs="Times New Roman"/>
              </w:rPr>
              <w:t>Late</w:t>
            </w:r>
          </w:p>
        </w:tc>
        <w:tc>
          <w:tcPr>
            <w:tcW w:w="1032" w:type="dxa"/>
          </w:tcPr>
          <w:p w14:paraId="5CD71E21" w14:textId="77777777" w:rsidR="003732E3" w:rsidRPr="003732E3" w:rsidRDefault="003732E3" w:rsidP="003732E3">
            <w:pPr>
              <w:jc w:val="center"/>
              <w:rPr>
                <w:rFonts w:cs="Times New Roman"/>
                <w:bCs/>
              </w:rPr>
            </w:pPr>
            <w:r w:rsidRPr="003732E3">
              <w:rPr>
                <w:rFonts w:cs="Times New Roman"/>
              </w:rPr>
              <w:t>0.76</w:t>
            </w:r>
          </w:p>
        </w:tc>
        <w:tc>
          <w:tcPr>
            <w:tcW w:w="1032" w:type="dxa"/>
          </w:tcPr>
          <w:p w14:paraId="43ABC456" w14:textId="77777777" w:rsidR="003732E3" w:rsidRPr="003732E3" w:rsidRDefault="003732E3" w:rsidP="003732E3">
            <w:pPr>
              <w:jc w:val="center"/>
              <w:rPr>
                <w:rFonts w:cs="Times New Roman"/>
                <w:bCs/>
              </w:rPr>
            </w:pPr>
            <w:r w:rsidRPr="003732E3">
              <w:rPr>
                <w:rFonts w:cs="Times New Roman"/>
              </w:rPr>
              <w:t>4.49</w:t>
            </w:r>
          </w:p>
        </w:tc>
        <w:tc>
          <w:tcPr>
            <w:tcW w:w="1032" w:type="dxa"/>
          </w:tcPr>
          <w:p w14:paraId="2F97E3BF" w14:textId="77777777" w:rsidR="003732E3" w:rsidRPr="003732E3" w:rsidRDefault="003732E3" w:rsidP="003732E3">
            <w:pPr>
              <w:jc w:val="center"/>
              <w:rPr>
                <w:rFonts w:cs="Times New Roman"/>
                <w:bCs/>
              </w:rPr>
            </w:pPr>
            <w:r w:rsidRPr="003732E3">
              <w:rPr>
                <w:rFonts w:cs="Times New Roman"/>
              </w:rPr>
              <w:t>0.44</w:t>
            </w:r>
          </w:p>
        </w:tc>
        <w:tc>
          <w:tcPr>
            <w:tcW w:w="1032" w:type="dxa"/>
          </w:tcPr>
          <w:p w14:paraId="7108DB51" w14:textId="77777777" w:rsidR="003732E3" w:rsidRPr="003732E3" w:rsidRDefault="003732E3" w:rsidP="003732E3">
            <w:pPr>
              <w:jc w:val="center"/>
              <w:rPr>
                <w:rFonts w:cs="Times New Roman"/>
                <w:bCs/>
              </w:rPr>
            </w:pPr>
            <w:r w:rsidRPr="003732E3">
              <w:rPr>
                <w:rFonts w:cs="Times New Roman"/>
              </w:rPr>
              <w:t>0.66</w:t>
            </w:r>
          </w:p>
        </w:tc>
        <w:tc>
          <w:tcPr>
            <w:tcW w:w="1032" w:type="dxa"/>
          </w:tcPr>
          <w:p w14:paraId="7BD2B6D2" w14:textId="77777777" w:rsidR="003732E3" w:rsidRPr="003732E3" w:rsidRDefault="003732E3" w:rsidP="003732E3">
            <w:pPr>
              <w:jc w:val="center"/>
              <w:rPr>
                <w:rFonts w:cs="Times New Roman"/>
                <w:bCs/>
              </w:rPr>
            </w:pPr>
            <w:r w:rsidRPr="003732E3">
              <w:rPr>
                <w:rFonts w:cs="Times New Roman"/>
              </w:rPr>
              <w:t>11.9</w:t>
            </w:r>
          </w:p>
        </w:tc>
      </w:tr>
      <w:tr w:rsidR="003732E3" w:rsidRPr="003732E3" w14:paraId="527F76F1" w14:textId="77777777" w:rsidTr="003732E3">
        <w:trPr>
          <w:trHeight w:val="370"/>
        </w:trPr>
        <w:tc>
          <w:tcPr>
            <w:tcW w:w="1032" w:type="dxa"/>
            <w:tcBorders>
              <w:bottom w:val="single" w:sz="4" w:space="0" w:color="auto"/>
            </w:tcBorders>
          </w:tcPr>
          <w:p w14:paraId="26ACB41C" w14:textId="77777777" w:rsidR="003732E3" w:rsidRPr="003732E3" w:rsidRDefault="003732E3" w:rsidP="003732E3">
            <w:pPr>
              <w:jc w:val="center"/>
              <w:rPr>
                <w:rFonts w:cs="Times New Roman"/>
                <w:bCs/>
              </w:rPr>
            </w:pPr>
            <w:r w:rsidRPr="003732E3">
              <w:rPr>
                <w:rFonts w:cs="Times New Roman"/>
              </w:rPr>
              <w:t>Late-6</w:t>
            </w:r>
          </w:p>
        </w:tc>
        <w:tc>
          <w:tcPr>
            <w:tcW w:w="1032" w:type="dxa"/>
            <w:tcBorders>
              <w:bottom w:val="single" w:sz="4" w:space="0" w:color="auto"/>
            </w:tcBorders>
          </w:tcPr>
          <w:p w14:paraId="4A8655DC" w14:textId="77777777" w:rsidR="003732E3" w:rsidRPr="003732E3" w:rsidRDefault="003732E3" w:rsidP="003732E3">
            <w:pPr>
              <w:jc w:val="center"/>
              <w:rPr>
                <w:rFonts w:cs="Times New Roman"/>
                <w:bCs/>
              </w:rPr>
            </w:pPr>
            <w:r w:rsidRPr="003732E3">
              <w:rPr>
                <w:rFonts w:cs="Times New Roman"/>
              </w:rPr>
              <w:t>F</w:t>
            </w:r>
          </w:p>
        </w:tc>
        <w:tc>
          <w:tcPr>
            <w:tcW w:w="1032" w:type="dxa"/>
            <w:tcBorders>
              <w:bottom w:val="single" w:sz="4" w:space="0" w:color="auto"/>
            </w:tcBorders>
          </w:tcPr>
          <w:p w14:paraId="1E98C1E6" w14:textId="77777777" w:rsidR="003732E3" w:rsidRPr="003732E3" w:rsidRDefault="003732E3" w:rsidP="003732E3">
            <w:pPr>
              <w:jc w:val="center"/>
              <w:rPr>
                <w:rFonts w:cs="Times New Roman"/>
                <w:bCs/>
              </w:rPr>
            </w:pPr>
            <w:r w:rsidRPr="003732E3">
              <w:rPr>
                <w:rFonts w:cs="Times New Roman"/>
              </w:rPr>
              <w:t>38</w:t>
            </w:r>
          </w:p>
        </w:tc>
        <w:tc>
          <w:tcPr>
            <w:tcW w:w="1032" w:type="dxa"/>
            <w:tcBorders>
              <w:bottom w:val="single" w:sz="4" w:space="0" w:color="auto"/>
            </w:tcBorders>
          </w:tcPr>
          <w:p w14:paraId="65535A63" w14:textId="77777777" w:rsidR="003732E3" w:rsidRPr="003732E3" w:rsidRDefault="003732E3" w:rsidP="003732E3">
            <w:pPr>
              <w:jc w:val="center"/>
              <w:rPr>
                <w:rFonts w:cs="Times New Roman"/>
                <w:bCs/>
              </w:rPr>
            </w:pPr>
            <w:r w:rsidRPr="003732E3">
              <w:rPr>
                <w:rFonts w:cs="Times New Roman"/>
              </w:rPr>
              <w:t>Late</w:t>
            </w:r>
          </w:p>
        </w:tc>
        <w:tc>
          <w:tcPr>
            <w:tcW w:w="1032" w:type="dxa"/>
            <w:tcBorders>
              <w:bottom w:val="single" w:sz="4" w:space="0" w:color="auto"/>
            </w:tcBorders>
          </w:tcPr>
          <w:p w14:paraId="49BF6CE5" w14:textId="77777777" w:rsidR="003732E3" w:rsidRPr="003732E3" w:rsidRDefault="003732E3" w:rsidP="003732E3">
            <w:pPr>
              <w:jc w:val="center"/>
              <w:rPr>
                <w:rFonts w:cs="Times New Roman"/>
                <w:bCs/>
              </w:rPr>
            </w:pPr>
            <w:r w:rsidRPr="003732E3">
              <w:rPr>
                <w:rFonts w:cs="Times New Roman"/>
              </w:rPr>
              <w:t>0.96</w:t>
            </w:r>
          </w:p>
        </w:tc>
        <w:tc>
          <w:tcPr>
            <w:tcW w:w="1032" w:type="dxa"/>
            <w:tcBorders>
              <w:bottom w:val="single" w:sz="4" w:space="0" w:color="auto"/>
            </w:tcBorders>
          </w:tcPr>
          <w:p w14:paraId="4FC15A5E" w14:textId="77777777" w:rsidR="003732E3" w:rsidRPr="003732E3" w:rsidRDefault="003732E3" w:rsidP="003732E3">
            <w:pPr>
              <w:jc w:val="center"/>
              <w:rPr>
                <w:rFonts w:cs="Times New Roman"/>
                <w:bCs/>
              </w:rPr>
            </w:pPr>
            <w:r w:rsidRPr="003732E3">
              <w:rPr>
                <w:rFonts w:cs="Times New Roman"/>
              </w:rPr>
              <w:t>27.82</w:t>
            </w:r>
          </w:p>
        </w:tc>
        <w:tc>
          <w:tcPr>
            <w:tcW w:w="1032" w:type="dxa"/>
            <w:tcBorders>
              <w:bottom w:val="single" w:sz="4" w:space="0" w:color="auto"/>
            </w:tcBorders>
          </w:tcPr>
          <w:p w14:paraId="47B4A56F" w14:textId="77777777" w:rsidR="003732E3" w:rsidRPr="003732E3" w:rsidRDefault="003732E3" w:rsidP="003732E3">
            <w:pPr>
              <w:jc w:val="center"/>
              <w:rPr>
                <w:rFonts w:cs="Times New Roman"/>
                <w:bCs/>
              </w:rPr>
            </w:pPr>
            <w:r w:rsidRPr="003732E3">
              <w:rPr>
                <w:rFonts w:cs="Times New Roman"/>
              </w:rPr>
              <w:t>0.76</w:t>
            </w:r>
          </w:p>
        </w:tc>
        <w:tc>
          <w:tcPr>
            <w:tcW w:w="1032" w:type="dxa"/>
            <w:tcBorders>
              <w:bottom w:val="single" w:sz="4" w:space="0" w:color="auto"/>
            </w:tcBorders>
          </w:tcPr>
          <w:p w14:paraId="783B72A1" w14:textId="77777777" w:rsidR="003732E3" w:rsidRPr="003732E3" w:rsidRDefault="003732E3" w:rsidP="003732E3">
            <w:pPr>
              <w:jc w:val="center"/>
              <w:rPr>
                <w:rFonts w:cs="Times New Roman"/>
                <w:bCs/>
              </w:rPr>
            </w:pPr>
            <w:r w:rsidRPr="003732E3">
              <w:rPr>
                <w:rFonts w:cs="Times New Roman"/>
              </w:rPr>
              <w:t>0.60</w:t>
            </w:r>
          </w:p>
        </w:tc>
        <w:tc>
          <w:tcPr>
            <w:tcW w:w="1032" w:type="dxa"/>
            <w:tcBorders>
              <w:bottom w:val="single" w:sz="4" w:space="0" w:color="auto"/>
            </w:tcBorders>
          </w:tcPr>
          <w:p w14:paraId="1BA98C7E" w14:textId="77777777" w:rsidR="003732E3" w:rsidRPr="003732E3" w:rsidRDefault="003732E3" w:rsidP="003732E3">
            <w:pPr>
              <w:jc w:val="center"/>
              <w:rPr>
                <w:rFonts w:cs="Times New Roman"/>
                <w:bCs/>
              </w:rPr>
            </w:pPr>
            <w:r w:rsidRPr="003732E3">
              <w:rPr>
                <w:rFonts w:cs="Times New Roman"/>
              </w:rPr>
              <w:t>29.1</w:t>
            </w:r>
          </w:p>
        </w:tc>
      </w:tr>
    </w:tbl>
    <w:p w14:paraId="7F02EC17" w14:textId="77777777" w:rsidR="003732E3" w:rsidRPr="00DA1306" w:rsidRDefault="003732E3" w:rsidP="003732E3">
      <w:pPr>
        <w:spacing w:after="0" w:line="360" w:lineRule="auto"/>
        <w:rPr>
          <w:rFonts w:cs="Times New Roman"/>
        </w:rPr>
      </w:pPr>
      <w:r w:rsidRPr="00DA1306">
        <w:rPr>
          <w:rFonts w:cs="Times New Roman" w:hint="eastAsia"/>
        </w:rPr>
        <w:t xml:space="preserve">PBC: </w:t>
      </w:r>
      <w:r w:rsidRPr="00DA1306">
        <w:rPr>
          <w:rFonts w:cs="Times New Roman"/>
        </w:rPr>
        <w:t>Polymerase chain reaction bottlenecking coefficients</w:t>
      </w:r>
      <w:r w:rsidRPr="00DA1306">
        <w:rPr>
          <w:rFonts w:cs="Times New Roman"/>
        </w:rPr>
        <w:br/>
        <w:t xml:space="preserve">NRF: non-redundant fraction </w:t>
      </w:r>
    </w:p>
    <w:p w14:paraId="2E2827D1" w14:textId="77777777" w:rsidR="003732E3" w:rsidRPr="00DA1306" w:rsidRDefault="003732E3" w:rsidP="003732E3">
      <w:pPr>
        <w:spacing w:after="0" w:line="360" w:lineRule="auto"/>
        <w:rPr>
          <w:rFonts w:cs="Times New Roman"/>
        </w:rPr>
      </w:pPr>
      <w:proofErr w:type="spellStart"/>
      <w:r w:rsidRPr="00DA1306">
        <w:rPr>
          <w:rFonts w:cs="Times New Roman"/>
        </w:rPr>
        <w:t>FRiP</w:t>
      </w:r>
      <w:proofErr w:type="spellEnd"/>
      <w:r w:rsidRPr="00DA1306">
        <w:rPr>
          <w:rFonts w:cs="Times New Roman"/>
        </w:rPr>
        <w:t>: Fraction of reads in peaks</w:t>
      </w:r>
    </w:p>
    <w:p w14:paraId="558C4156" w14:textId="77777777" w:rsidR="003732E3" w:rsidRPr="00DA1306" w:rsidRDefault="003732E3" w:rsidP="003732E3">
      <w:pPr>
        <w:spacing w:after="0" w:line="360" w:lineRule="auto"/>
        <w:rPr>
          <w:rFonts w:cs="Times New Roman"/>
        </w:rPr>
      </w:pPr>
      <w:r w:rsidRPr="00DA1306">
        <w:rPr>
          <w:rFonts w:cs="Times New Roman"/>
        </w:rPr>
        <w:t>TSSE: Transcription start site enrichment</w:t>
      </w:r>
    </w:p>
    <w:p w14:paraId="00B353DE" w14:textId="77777777" w:rsidR="003732E3" w:rsidRPr="00DA1306" w:rsidRDefault="003732E3" w:rsidP="003732E3">
      <w:pPr>
        <w:spacing w:after="0" w:line="360" w:lineRule="auto"/>
        <w:rPr>
          <w:rFonts w:cs="Times New Roman"/>
          <w:b/>
        </w:rPr>
      </w:pPr>
    </w:p>
    <w:p w14:paraId="7AA51408" w14:textId="77777777" w:rsidR="003732E3" w:rsidRPr="00DA1306" w:rsidRDefault="003732E3" w:rsidP="003732E3">
      <w:pPr>
        <w:spacing w:after="0" w:line="360" w:lineRule="auto"/>
        <w:rPr>
          <w:rFonts w:cs="Times New Roman"/>
          <w:b/>
        </w:rPr>
      </w:pPr>
    </w:p>
    <w:p w14:paraId="29FE7371" w14:textId="77777777" w:rsidR="003732E3" w:rsidRDefault="003732E3" w:rsidP="003732E3">
      <w:pPr>
        <w:spacing w:after="0" w:line="360" w:lineRule="auto"/>
        <w:rPr>
          <w:rFonts w:cs="Times New Roman"/>
          <w:b/>
          <w:color w:val="0000FF"/>
        </w:rPr>
      </w:pPr>
    </w:p>
    <w:p w14:paraId="0A16FDC3" w14:textId="37BE6A87" w:rsidR="0066239F" w:rsidRPr="00DA1306" w:rsidRDefault="003732E3" w:rsidP="003732E3">
      <w:pPr>
        <w:jc w:val="both"/>
        <w:rPr>
          <w:rFonts w:cs="Times New Roman"/>
          <w:b/>
        </w:rPr>
      </w:pPr>
      <w:r>
        <w:rPr>
          <w:rFonts w:cs="Times New Roman"/>
          <w:b/>
        </w:rPr>
        <w:br w:type="page"/>
      </w:r>
      <w:r w:rsidR="0066239F" w:rsidRPr="00DA1306">
        <w:rPr>
          <w:rFonts w:cs="Times New Roman"/>
          <w:b/>
        </w:rPr>
        <w:lastRenderedPageBreak/>
        <w:t>Supplementary Table S</w:t>
      </w:r>
      <w:r>
        <w:rPr>
          <w:rFonts w:cs="Times New Roman"/>
          <w:b/>
        </w:rPr>
        <w:t>2</w:t>
      </w:r>
      <w:r w:rsidR="0066239F" w:rsidRPr="00DA1306">
        <w:rPr>
          <w:rFonts w:cs="Times New Roman"/>
          <w:b/>
        </w:rPr>
        <w:t>. Differentially accessible regions (DARs) identified in CD8+ T cells from patients with IgA nephropathy.</w:t>
      </w:r>
    </w:p>
    <w:p w14:paraId="2F11EA26" w14:textId="77777777" w:rsidR="0066239F" w:rsidRPr="00DA1306" w:rsidRDefault="0066239F" w:rsidP="0066239F">
      <w:pPr>
        <w:spacing w:after="0" w:line="360" w:lineRule="auto"/>
        <w:jc w:val="both"/>
        <w:rPr>
          <w:rFonts w:cs="Times New Roman"/>
          <w:b/>
        </w:rPr>
      </w:pPr>
    </w:p>
    <w:p w14:paraId="5D507225" w14:textId="4992A2B0" w:rsidR="003732E3" w:rsidRDefault="0066239F" w:rsidP="0066239F">
      <w:pPr>
        <w:spacing w:after="0" w:line="360" w:lineRule="auto"/>
        <w:jc w:val="both"/>
        <w:rPr>
          <w:rFonts w:cs="Times New Roman"/>
          <w:b/>
        </w:rPr>
      </w:pPr>
      <w:r w:rsidRPr="00DA1306">
        <w:rPr>
          <w:rFonts w:cs="Times New Roman"/>
          <w:b/>
        </w:rPr>
        <w:t>Supplementary Table S</w:t>
      </w:r>
      <w:r w:rsidR="003732E3">
        <w:rPr>
          <w:rFonts w:cs="Times New Roman"/>
          <w:b/>
        </w:rPr>
        <w:t>2</w:t>
      </w:r>
      <w:r w:rsidRPr="00DA1306">
        <w:rPr>
          <w:rFonts w:cs="Times New Roman"/>
          <w:b/>
        </w:rPr>
        <w:t>.xls</w:t>
      </w:r>
    </w:p>
    <w:p w14:paraId="19780B63" w14:textId="77777777" w:rsidR="003732E3" w:rsidRDefault="003732E3">
      <w:pPr>
        <w:jc w:val="both"/>
        <w:rPr>
          <w:rFonts w:cs="Times New Roman"/>
          <w:b/>
        </w:rPr>
      </w:pPr>
      <w:r>
        <w:rPr>
          <w:rFonts w:cs="Times New Roman"/>
          <w:b/>
        </w:rPr>
        <w:br w:type="page"/>
      </w:r>
    </w:p>
    <w:p w14:paraId="39ED9561" w14:textId="77777777" w:rsidR="003732E3" w:rsidRPr="003B4CC5" w:rsidRDefault="003732E3" w:rsidP="003732E3">
      <w:pPr>
        <w:spacing w:after="0" w:line="360" w:lineRule="auto"/>
        <w:jc w:val="both"/>
        <w:rPr>
          <w:rFonts w:cs="Times New Roman"/>
        </w:rPr>
      </w:pPr>
      <w:r w:rsidRPr="00E20C51">
        <w:rPr>
          <w:rFonts w:cs="Times New Roman"/>
          <w:b/>
        </w:rPr>
        <w:lastRenderedPageBreak/>
        <w:t>Supplementary Table S</w:t>
      </w:r>
      <w:r>
        <w:rPr>
          <w:rFonts w:cs="Times New Roman"/>
          <w:b/>
        </w:rPr>
        <w:t>3</w:t>
      </w:r>
      <w:r w:rsidRPr="00E20C51">
        <w:rPr>
          <w:rFonts w:cs="Times New Roman"/>
          <w:b/>
        </w:rPr>
        <w:t xml:space="preserve">. </w:t>
      </w:r>
      <w:r w:rsidRPr="00170767">
        <w:rPr>
          <w:rFonts w:cs="Times New Roman"/>
          <w:b/>
        </w:rPr>
        <w:t>Covariable-adjusted differentially accessible regions (DARs) between early- and late-stage IgA nephropathy identified in circulating CD8+ T cells.</w:t>
      </w:r>
    </w:p>
    <w:p w14:paraId="6A888E6A" w14:textId="77777777" w:rsidR="003732E3" w:rsidRPr="00DA1306" w:rsidRDefault="003732E3" w:rsidP="003732E3">
      <w:pPr>
        <w:spacing w:after="0" w:line="360" w:lineRule="auto"/>
        <w:jc w:val="both"/>
        <w:rPr>
          <w:rFonts w:cs="Times New Roman"/>
          <w:b/>
        </w:rPr>
      </w:pPr>
    </w:p>
    <w:p w14:paraId="13CC7318" w14:textId="77777777" w:rsidR="003732E3" w:rsidRPr="00DA1306" w:rsidRDefault="003732E3" w:rsidP="003732E3">
      <w:pPr>
        <w:spacing w:after="0" w:line="360" w:lineRule="auto"/>
        <w:jc w:val="both"/>
        <w:rPr>
          <w:rFonts w:cs="Times New Roman"/>
          <w:b/>
        </w:rPr>
      </w:pPr>
      <w:r w:rsidRPr="00DA1306">
        <w:rPr>
          <w:rFonts w:cs="Times New Roman"/>
          <w:b/>
        </w:rPr>
        <w:t>Supplementary Table S</w:t>
      </w:r>
      <w:r>
        <w:rPr>
          <w:rFonts w:cs="Times New Roman"/>
          <w:b/>
        </w:rPr>
        <w:t>3</w:t>
      </w:r>
      <w:r w:rsidRPr="00DA1306">
        <w:rPr>
          <w:rFonts w:cs="Times New Roman"/>
          <w:b/>
        </w:rPr>
        <w:t>.xls</w:t>
      </w:r>
    </w:p>
    <w:p w14:paraId="6B12C168" w14:textId="77777777" w:rsidR="0066239F" w:rsidRPr="00DA1306" w:rsidRDefault="0066239F" w:rsidP="0066239F">
      <w:pPr>
        <w:spacing w:after="0" w:line="360" w:lineRule="auto"/>
        <w:jc w:val="both"/>
        <w:rPr>
          <w:rFonts w:cs="Times New Roman"/>
          <w:b/>
        </w:rPr>
      </w:pPr>
    </w:p>
    <w:p w14:paraId="7237D413" w14:textId="77777777" w:rsidR="0066239F" w:rsidRPr="00DA1306" w:rsidRDefault="0066239F" w:rsidP="0066239F">
      <w:pPr>
        <w:spacing w:after="0" w:line="360" w:lineRule="auto"/>
        <w:jc w:val="both"/>
        <w:rPr>
          <w:rFonts w:cs="Times New Roman"/>
          <w:b/>
        </w:rPr>
      </w:pPr>
      <w:r w:rsidRPr="00DA1306">
        <w:rPr>
          <w:rFonts w:cs="Times New Roman"/>
          <w:b/>
        </w:rPr>
        <w:br w:type="page"/>
      </w:r>
    </w:p>
    <w:p w14:paraId="19AA5999" w14:textId="2B2F4268" w:rsidR="003732E3" w:rsidRPr="003732E3" w:rsidRDefault="003732E3" w:rsidP="003732E3">
      <w:pPr>
        <w:spacing w:after="0" w:line="360" w:lineRule="auto"/>
        <w:jc w:val="both"/>
        <w:rPr>
          <w:rFonts w:cs="Times New Roman"/>
          <w:b/>
        </w:rPr>
      </w:pPr>
      <w:r w:rsidRPr="003732E3">
        <w:rPr>
          <w:rFonts w:cs="Times New Roman"/>
          <w:b/>
        </w:rPr>
        <w:lastRenderedPageBreak/>
        <w:t>Supplementary Table S4. Primer sequences used for ATAC-qPCR analysis</w:t>
      </w:r>
      <w:r>
        <w:rPr>
          <w:rFonts w:cs="Times New Roman"/>
          <w:b/>
        </w:rPr>
        <w:t>.</w:t>
      </w:r>
    </w:p>
    <w:tbl>
      <w:tblPr>
        <w:tblStyle w:val="TableGrid"/>
        <w:tblW w:w="9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80" w:firstRow="0" w:lastRow="0" w:firstColumn="1" w:lastColumn="0" w:noHBand="0" w:noVBand="1"/>
      </w:tblPr>
      <w:tblGrid>
        <w:gridCol w:w="997"/>
        <w:gridCol w:w="2988"/>
        <w:gridCol w:w="5402"/>
      </w:tblGrid>
      <w:tr w:rsidR="003732E3" w:rsidRPr="003732E3" w14:paraId="4A1EB9D2" w14:textId="77777777" w:rsidTr="0016718C">
        <w:trPr>
          <w:trHeight w:val="19"/>
        </w:trPr>
        <w:tc>
          <w:tcPr>
            <w:tcW w:w="997" w:type="dxa"/>
            <w:tcBorders>
              <w:top w:val="single" w:sz="2" w:space="0" w:color="auto"/>
              <w:bottom w:val="single" w:sz="12" w:space="0" w:color="auto"/>
            </w:tcBorders>
            <w:vAlign w:val="center"/>
          </w:tcPr>
          <w:p w14:paraId="373BFEE6" w14:textId="77777777" w:rsidR="003732E3" w:rsidRPr="003732E3" w:rsidRDefault="003732E3" w:rsidP="0016718C">
            <w:pPr>
              <w:spacing w:line="360" w:lineRule="auto"/>
              <w:jc w:val="center"/>
              <w:rPr>
                <w:rFonts w:cs="Times New Roman"/>
              </w:rPr>
            </w:pPr>
            <w:r w:rsidRPr="003732E3">
              <w:rPr>
                <w:rFonts w:cs="Times New Roman"/>
              </w:rPr>
              <w:t>Marker</w:t>
            </w:r>
          </w:p>
        </w:tc>
        <w:tc>
          <w:tcPr>
            <w:tcW w:w="2988" w:type="dxa"/>
            <w:tcBorders>
              <w:top w:val="single" w:sz="2" w:space="0" w:color="auto"/>
              <w:bottom w:val="single" w:sz="12" w:space="0" w:color="auto"/>
            </w:tcBorders>
            <w:vAlign w:val="center"/>
          </w:tcPr>
          <w:p w14:paraId="13AE9FDD" w14:textId="77777777" w:rsidR="003732E3" w:rsidRPr="003732E3" w:rsidRDefault="003732E3" w:rsidP="0016718C">
            <w:pPr>
              <w:spacing w:line="360" w:lineRule="auto"/>
              <w:jc w:val="center"/>
              <w:rPr>
                <w:rFonts w:cs="Times New Roman"/>
              </w:rPr>
            </w:pPr>
            <w:r w:rsidRPr="003732E3">
              <w:rPr>
                <w:rFonts w:cs="Times New Roman"/>
              </w:rPr>
              <w:t>Genomic coordinates (</w:t>
            </w:r>
            <w:r w:rsidRPr="003732E3">
              <w:rPr>
                <w:rFonts w:cs="Times New Roman"/>
                <w:i/>
                <w:iCs/>
              </w:rPr>
              <w:t>hg19</w:t>
            </w:r>
            <w:r w:rsidRPr="003732E3">
              <w:rPr>
                <w:rFonts w:cs="Times New Roman"/>
              </w:rPr>
              <w:t>)</w:t>
            </w:r>
          </w:p>
        </w:tc>
        <w:tc>
          <w:tcPr>
            <w:tcW w:w="5402" w:type="dxa"/>
            <w:tcBorders>
              <w:top w:val="single" w:sz="2" w:space="0" w:color="auto"/>
              <w:bottom w:val="single" w:sz="12" w:space="0" w:color="auto"/>
            </w:tcBorders>
            <w:vAlign w:val="center"/>
          </w:tcPr>
          <w:p w14:paraId="2D37A0C0" w14:textId="77777777" w:rsidR="003732E3" w:rsidRPr="003732E3" w:rsidRDefault="003732E3" w:rsidP="0016718C">
            <w:pPr>
              <w:spacing w:line="360" w:lineRule="auto"/>
              <w:jc w:val="center"/>
              <w:rPr>
                <w:rFonts w:cs="Times New Roman"/>
              </w:rPr>
            </w:pPr>
            <w:r w:rsidRPr="003732E3">
              <w:rPr>
                <w:rFonts w:cs="Times New Roman"/>
              </w:rPr>
              <w:t xml:space="preserve">Sequence (5’ </w:t>
            </w:r>
            <w:r w:rsidRPr="003732E3">
              <w:rPr>
                <w:rFonts w:eastAsia="HYSinMyeongJo-Medium" w:cs="Times New Roman"/>
              </w:rPr>
              <w:t>→</w:t>
            </w:r>
            <w:r w:rsidRPr="003732E3">
              <w:rPr>
                <w:rFonts w:cs="Times New Roman"/>
              </w:rPr>
              <w:t xml:space="preserve"> 3’)</w:t>
            </w:r>
          </w:p>
        </w:tc>
      </w:tr>
      <w:tr w:rsidR="003732E3" w:rsidRPr="003732E3" w14:paraId="6A83B2A3" w14:textId="77777777" w:rsidTr="0016718C">
        <w:trPr>
          <w:trHeight w:val="19"/>
        </w:trPr>
        <w:tc>
          <w:tcPr>
            <w:tcW w:w="997" w:type="dxa"/>
            <w:vMerge w:val="restart"/>
            <w:tcBorders>
              <w:top w:val="single" w:sz="12" w:space="0" w:color="auto"/>
            </w:tcBorders>
            <w:vAlign w:val="center"/>
          </w:tcPr>
          <w:p w14:paraId="17CB7F7D" w14:textId="77777777" w:rsidR="003732E3" w:rsidRPr="003732E3" w:rsidRDefault="003732E3" w:rsidP="0016718C">
            <w:pPr>
              <w:spacing w:line="360" w:lineRule="auto"/>
              <w:jc w:val="center"/>
              <w:rPr>
                <w:rFonts w:cs="Times New Roman"/>
              </w:rPr>
            </w:pPr>
            <w:r w:rsidRPr="003732E3">
              <w:rPr>
                <w:rFonts w:cs="Times New Roman"/>
              </w:rPr>
              <w:t>Early-1</w:t>
            </w:r>
          </w:p>
        </w:tc>
        <w:tc>
          <w:tcPr>
            <w:tcW w:w="2988" w:type="dxa"/>
            <w:vMerge w:val="restart"/>
            <w:tcBorders>
              <w:top w:val="single" w:sz="12" w:space="0" w:color="auto"/>
            </w:tcBorders>
            <w:vAlign w:val="center"/>
          </w:tcPr>
          <w:p w14:paraId="74E69BD9" w14:textId="77777777" w:rsidR="003732E3" w:rsidRPr="003732E3" w:rsidRDefault="003732E3" w:rsidP="0016718C">
            <w:pPr>
              <w:spacing w:line="360" w:lineRule="auto"/>
              <w:jc w:val="center"/>
              <w:rPr>
                <w:rFonts w:cs="Times New Roman"/>
              </w:rPr>
            </w:pPr>
            <w:r w:rsidRPr="003732E3">
              <w:rPr>
                <w:rFonts w:cs="Times New Roman"/>
              </w:rPr>
              <w:t>chr4:108957563-108957678</w:t>
            </w:r>
          </w:p>
        </w:tc>
        <w:tc>
          <w:tcPr>
            <w:tcW w:w="5402" w:type="dxa"/>
            <w:tcBorders>
              <w:top w:val="single" w:sz="12" w:space="0" w:color="auto"/>
              <w:bottom w:val="nil"/>
            </w:tcBorders>
            <w:vAlign w:val="center"/>
          </w:tcPr>
          <w:p w14:paraId="4DF5D1F0" w14:textId="77777777" w:rsidR="003732E3" w:rsidRPr="003732E3" w:rsidRDefault="003732E3" w:rsidP="0016718C">
            <w:pPr>
              <w:spacing w:line="360" w:lineRule="auto"/>
              <w:rPr>
                <w:rFonts w:cs="Times New Roman"/>
              </w:rPr>
            </w:pPr>
            <w:r w:rsidRPr="003732E3">
              <w:rPr>
                <w:rFonts w:cs="Times New Roman"/>
              </w:rPr>
              <w:t>Forward: CTGCTGCTGTTTGCTTCAGT</w:t>
            </w:r>
          </w:p>
        </w:tc>
      </w:tr>
      <w:tr w:rsidR="003732E3" w:rsidRPr="003732E3" w14:paraId="14376354" w14:textId="77777777" w:rsidTr="0016718C">
        <w:trPr>
          <w:trHeight w:val="19"/>
        </w:trPr>
        <w:tc>
          <w:tcPr>
            <w:tcW w:w="997" w:type="dxa"/>
            <w:vMerge/>
            <w:tcBorders>
              <w:bottom w:val="single" w:sz="2" w:space="0" w:color="auto"/>
            </w:tcBorders>
            <w:vAlign w:val="center"/>
          </w:tcPr>
          <w:p w14:paraId="5968F7DF" w14:textId="77777777" w:rsidR="003732E3" w:rsidRPr="003732E3" w:rsidRDefault="003732E3" w:rsidP="0016718C">
            <w:pPr>
              <w:spacing w:line="360" w:lineRule="auto"/>
              <w:jc w:val="center"/>
              <w:rPr>
                <w:rFonts w:cs="Times New Roman"/>
              </w:rPr>
            </w:pPr>
          </w:p>
        </w:tc>
        <w:tc>
          <w:tcPr>
            <w:tcW w:w="2988" w:type="dxa"/>
            <w:vMerge/>
            <w:tcBorders>
              <w:bottom w:val="single" w:sz="2" w:space="0" w:color="auto"/>
            </w:tcBorders>
            <w:vAlign w:val="center"/>
          </w:tcPr>
          <w:p w14:paraId="2AFA0BFE" w14:textId="77777777" w:rsidR="003732E3" w:rsidRPr="003732E3" w:rsidRDefault="003732E3" w:rsidP="0016718C">
            <w:pPr>
              <w:spacing w:line="360" w:lineRule="auto"/>
              <w:jc w:val="center"/>
              <w:rPr>
                <w:rFonts w:cs="Times New Roman"/>
              </w:rPr>
            </w:pPr>
          </w:p>
        </w:tc>
        <w:tc>
          <w:tcPr>
            <w:tcW w:w="5402" w:type="dxa"/>
            <w:tcBorders>
              <w:bottom w:val="single" w:sz="2" w:space="0" w:color="auto"/>
            </w:tcBorders>
            <w:vAlign w:val="center"/>
          </w:tcPr>
          <w:p w14:paraId="55AACAEA" w14:textId="77777777" w:rsidR="003732E3" w:rsidRPr="003732E3" w:rsidRDefault="003732E3" w:rsidP="0016718C">
            <w:pPr>
              <w:spacing w:line="360" w:lineRule="auto"/>
              <w:rPr>
                <w:rFonts w:cs="Times New Roman"/>
              </w:rPr>
            </w:pPr>
            <w:r w:rsidRPr="003732E3">
              <w:rPr>
                <w:rFonts w:cs="Times New Roman"/>
              </w:rPr>
              <w:t>Reverse: GACCCACCCTCCCTCTTGA</w:t>
            </w:r>
          </w:p>
        </w:tc>
      </w:tr>
      <w:tr w:rsidR="003732E3" w:rsidRPr="003732E3" w14:paraId="0581BD90" w14:textId="77777777" w:rsidTr="0016718C">
        <w:trPr>
          <w:trHeight w:val="19"/>
        </w:trPr>
        <w:tc>
          <w:tcPr>
            <w:tcW w:w="997" w:type="dxa"/>
            <w:vMerge w:val="restart"/>
            <w:tcBorders>
              <w:top w:val="single" w:sz="2" w:space="0" w:color="auto"/>
            </w:tcBorders>
            <w:vAlign w:val="center"/>
          </w:tcPr>
          <w:p w14:paraId="2BEA4BB5" w14:textId="77777777" w:rsidR="003732E3" w:rsidRPr="003732E3" w:rsidRDefault="003732E3" w:rsidP="0016718C">
            <w:pPr>
              <w:spacing w:line="360" w:lineRule="auto"/>
              <w:jc w:val="center"/>
              <w:rPr>
                <w:rFonts w:cs="Times New Roman"/>
              </w:rPr>
            </w:pPr>
            <w:r w:rsidRPr="003732E3">
              <w:rPr>
                <w:rFonts w:cs="Times New Roman"/>
              </w:rPr>
              <w:t>Early-2</w:t>
            </w:r>
          </w:p>
        </w:tc>
        <w:tc>
          <w:tcPr>
            <w:tcW w:w="2988" w:type="dxa"/>
            <w:vMerge w:val="restart"/>
            <w:tcBorders>
              <w:top w:val="single" w:sz="2" w:space="0" w:color="auto"/>
            </w:tcBorders>
            <w:vAlign w:val="center"/>
          </w:tcPr>
          <w:p w14:paraId="56672F73" w14:textId="77777777" w:rsidR="003732E3" w:rsidRPr="003732E3" w:rsidRDefault="003732E3" w:rsidP="0016718C">
            <w:pPr>
              <w:spacing w:line="360" w:lineRule="auto"/>
              <w:jc w:val="center"/>
              <w:rPr>
                <w:rFonts w:cs="Times New Roman"/>
                <w:color w:val="000000"/>
              </w:rPr>
            </w:pPr>
            <w:r w:rsidRPr="003732E3">
              <w:rPr>
                <w:rFonts w:cs="Times New Roman"/>
                <w:color w:val="000000"/>
              </w:rPr>
              <w:t>chr20:52004930-52005029</w:t>
            </w:r>
          </w:p>
        </w:tc>
        <w:tc>
          <w:tcPr>
            <w:tcW w:w="5402" w:type="dxa"/>
            <w:tcBorders>
              <w:top w:val="single" w:sz="2" w:space="0" w:color="auto"/>
            </w:tcBorders>
            <w:vAlign w:val="center"/>
          </w:tcPr>
          <w:p w14:paraId="4F9440AB" w14:textId="77777777" w:rsidR="003732E3" w:rsidRPr="003732E3" w:rsidRDefault="003732E3" w:rsidP="0016718C">
            <w:pPr>
              <w:spacing w:line="360" w:lineRule="auto"/>
              <w:rPr>
                <w:rFonts w:cs="Times New Roman"/>
              </w:rPr>
            </w:pPr>
            <w:r w:rsidRPr="003732E3">
              <w:rPr>
                <w:rFonts w:cs="Times New Roman"/>
              </w:rPr>
              <w:t>Forward: GGTCCTCTGCCCTCGAGTAAG</w:t>
            </w:r>
          </w:p>
        </w:tc>
      </w:tr>
      <w:tr w:rsidR="003732E3" w:rsidRPr="003732E3" w14:paraId="58F77C3F" w14:textId="77777777" w:rsidTr="0016718C">
        <w:trPr>
          <w:trHeight w:val="19"/>
        </w:trPr>
        <w:tc>
          <w:tcPr>
            <w:tcW w:w="997" w:type="dxa"/>
            <w:vMerge/>
            <w:tcBorders>
              <w:bottom w:val="single" w:sz="2" w:space="0" w:color="auto"/>
            </w:tcBorders>
            <w:vAlign w:val="center"/>
          </w:tcPr>
          <w:p w14:paraId="5D51DDD4" w14:textId="77777777" w:rsidR="003732E3" w:rsidRPr="003732E3" w:rsidRDefault="003732E3" w:rsidP="0016718C">
            <w:pPr>
              <w:spacing w:line="360" w:lineRule="auto"/>
              <w:jc w:val="center"/>
              <w:rPr>
                <w:rFonts w:cs="Times New Roman"/>
              </w:rPr>
            </w:pPr>
          </w:p>
        </w:tc>
        <w:tc>
          <w:tcPr>
            <w:tcW w:w="2988" w:type="dxa"/>
            <w:vMerge/>
            <w:tcBorders>
              <w:bottom w:val="single" w:sz="2" w:space="0" w:color="auto"/>
            </w:tcBorders>
            <w:vAlign w:val="center"/>
          </w:tcPr>
          <w:p w14:paraId="28B807C7" w14:textId="77777777" w:rsidR="003732E3" w:rsidRPr="003732E3" w:rsidRDefault="003732E3" w:rsidP="0016718C">
            <w:pPr>
              <w:spacing w:line="360" w:lineRule="auto"/>
              <w:jc w:val="center"/>
              <w:rPr>
                <w:rFonts w:cs="Times New Roman"/>
              </w:rPr>
            </w:pPr>
          </w:p>
        </w:tc>
        <w:tc>
          <w:tcPr>
            <w:tcW w:w="5402" w:type="dxa"/>
            <w:tcBorders>
              <w:bottom w:val="single" w:sz="2" w:space="0" w:color="auto"/>
            </w:tcBorders>
            <w:vAlign w:val="center"/>
          </w:tcPr>
          <w:p w14:paraId="370F1723" w14:textId="77777777" w:rsidR="003732E3" w:rsidRPr="003732E3" w:rsidRDefault="003732E3" w:rsidP="0016718C">
            <w:pPr>
              <w:spacing w:line="360" w:lineRule="auto"/>
              <w:rPr>
                <w:rFonts w:cs="Times New Roman"/>
              </w:rPr>
            </w:pPr>
            <w:r w:rsidRPr="003732E3">
              <w:rPr>
                <w:rFonts w:cs="Times New Roman"/>
              </w:rPr>
              <w:t>Reverse: TCACCCACCTTCAGTGTTGT</w:t>
            </w:r>
          </w:p>
        </w:tc>
      </w:tr>
      <w:tr w:rsidR="003732E3" w:rsidRPr="003732E3" w14:paraId="5B795E6E" w14:textId="77777777" w:rsidTr="0016718C">
        <w:trPr>
          <w:trHeight w:val="19"/>
        </w:trPr>
        <w:tc>
          <w:tcPr>
            <w:tcW w:w="997" w:type="dxa"/>
            <w:vMerge w:val="restart"/>
            <w:tcBorders>
              <w:top w:val="single" w:sz="2" w:space="0" w:color="auto"/>
            </w:tcBorders>
            <w:vAlign w:val="center"/>
          </w:tcPr>
          <w:p w14:paraId="29665142" w14:textId="77777777" w:rsidR="003732E3" w:rsidRPr="003732E3" w:rsidRDefault="003732E3" w:rsidP="0016718C">
            <w:pPr>
              <w:spacing w:line="360" w:lineRule="auto"/>
              <w:jc w:val="center"/>
              <w:rPr>
                <w:rFonts w:cs="Times New Roman"/>
              </w:rPr>
            </w:pPr>
            <w:r w:rsidRPr="003732E3">
              <w:rPr>
                <w:rFonts w:cs="Times New Roman"/>
              </w:rPr>
              <w:t>Early-7</w:t>
            </w:r>
          </w:p>
        </w:tc>
        <w:tc>
          <w:tcPr>
            <w:tcW w:w="2988" w:type="dxa"/>
            <w:vMerge w:val="restart"/>
            <w:tcBorders>
              <w:top w:val="single" w:sz="2" w:space="0" w:color="auto"/>
            </w:tcBorders>
            <w:vAlign w:val="center"/>
          </w:tcPr>
          <w:p w14:paraId="554818AF" w14:textId="77777777" w:rsidR="003732E3" w:rsidRPr="003732E3" w:rsidRDefault="003732E3" w:rsidP="0016718C">
            <w:pPr>
              <w:spacing w:line="360" w:lineRule="auto"/>
              <w:jc w:val="center"/>
              <w:rPr>
                <w:rFonts w:cs="Times New Roman"/>
                <w:color w:val="000000"/>
              </w:rPr>
            </w:pPr>
            <w:r w:rsidRPr="003732E3">
              <w:rPr>
                <w:rFonts w:cs="Times New Roman"/>
                <w:color w:val="000000"/>
              </w:rPr>
              <w:t>chr16:29838615-29838722</w:t>
            </w:r>
          </w:p>
        </w:tc>
        <w:tc>
          <w:tcPr>
            <w:tcW w:w="5402" w:type="dxa"/>
            <w:tcBorders>
              <w:top w:val="single" w:sz="2" w:space="0" w:color="auto"/>
            </w:tcBorders>
            <w:vAlign w:val="center"/>
          </w:tcPr>
          <w:p w14:paraId="49E7C4E5" w14:textId="77777777" w:rsidR="003732E3" w:rsidRPr="003732E3" w:rsidRDefault="003732E3" w:rsidP="0016718C">
            <w:pPr>
              <w:spacing w:line="360" w:lineRule="auto"/>
              <w:rPr>
                <w:rFonts w:cs="Times New Roman"/>
              </w:rPr>
            </w:pPr>
            <w:r w:rsidRPr="003732E3">
              <w:rPr>
                <w:rFonts w:cs="Times New Roman"/>
              </w:rPr>
              <w:t>Forward: CTGTGATGTGGAAAGTGTGCC</w:t>
            </w:r>
          </w:p>
        </w:tc>
      </w:tr>
      <w:tr w:rsidR="003732E3" w:rsidRPr="003732E3" w14:paraId="13A06148" w14:textId="77777777" w:rsidTr="0016718C">
        <w:trPr>
          <w:trHeight w:val="19"/>
        </w:trPr>
        <w:tc>
          <w:tcPr>
            <w:tcW w:w="997" w:type="dxa"/>
            <w:vMerge/>
            <w:tcBorders>
              <w:bottom w:val="single" w:sz="2" w:space="0" w:color="auto"/>
            </w:tcBorders>
            <w:vAlign w:val="center"/>
          </w:tcPr>
          <w:p w14:paraId="5A28889D" w14:textId="77777777" w:rsidR="003732E3" w:rsidRPr="003732E3" w:rsidRDefault="003732E3" w:rsidP="0016718C">
            <w:pPr>
              <w:spacing w:line="360" w:lineRule="auto"/>
              <w:jc w:val="center"/>
              <w:rPr>
                <w:rFonts w:cs="Times New Roman"/>
              </w:rPr>
            </w:pPr>
          </w:p>
        </w:tc>
        <w:tc>
          <w:tcPr>
            <w:tcW w:w="2988" w:type="dxa"/>
            <w:vMerge/>
            <w:tcBorders>
              <w:bottom w:val="single" w:sz="2" w:space="0" w:color="auto"/>
            </w:tcBorders>
            <w:vAlign w:val="center"/>
          </w:tcPr>
          <w:p w14:paraId="600DC307" w14:textId="77777777" w:rsidR="003732E3" w:rsidRPr="003732E3" w:rsidRDefault="003732E3" w:rsidP="0016718C">
            <w:pPr>
              <w:spacing w:line="360" w:lineRule="auto"/>
              <w:jc w:val="center"/>
              <w:rPr>
                <w:rFonts w:cs="Times New Roman"/>
              </w:rPr>
            </w:pPr>
          </w:p>
        </w:tc>
        <w:tc>
          <w:tcPr>
            <w:tcW w:w="5402" w:type="dxa"/>
            <w:tcBorders>
              <w:bottom w:val="single" w:sz="2" w:space="0" w:color="auto"/>
            </w:tcBorders>
            <w:vAlign w:val="center"/>
          </w:tcPr>
          <w:p w14:paraId="0AFFD523" w14:textId="77777777" w:rsidR="003732E3" w:rsidRPr="003732E3" w:rsidRDefault="003732E3" w:rsidP="0016718C">
            <w:pPr>
              <w:spacing w:line="360" w:lineRule="auto"/>
              <w:rPr>
                <w:rFonts w:cs="Times New Roman"/>
              </w:rPr>
            </w:pPr>
            <w:r w:rsidRPr="003732E3">
              <w:rPr>
                <w:rFonts w:cs="Times New Roman"/>
              </w:rPr>
              <w:t>Reverse: TCTGATCGGCTGCTTTCGTG</w:t>
            </w:r>
          </w:p>
        </w:tc>
      </w:tr>
      <w:tr w:rsidR="003732E3" w:rsidRPr="003732E3" w14:paraId="1C6F1A13" w14:textId="77777777" w:rsidTr="0016718C">
        <w:trPr>
          <w:trHeight w:val="19"/>
        </w:trPr>
        <w:tc>
          <w:tcPr>
            <w:tcW w:w="997" w:type="dxa"/>
            <w:vMerge w:val="restart"/>
            <w:tcBorders>
              <w:top w:val="single" w:sz="2" w:space="0" w:color="auto"/>
            </w:tcBorders>
            <w:vAlign w:val="center"/>
          </w:tcPr>
          <w:p w14:paraId="0AC0B82A" w14:textId="77777777" w:rsidR="003732E3" w:rsidRPr="003732E3" w:rsidRDefault="003732E3" w:rsidP="0016718C">
            <w:pPr>
              <w:spacing w:line="360" w:lineRule="auto"/>
              <w:jc w:val="center"/>
              <w:rPr>
                <w:rFonts w:cs="Times New Roman"/>
              </w:rPr>
            </w:pPr>
            <w:r w:rsidRPr="003732E3">
              <w:rPr>
                <w:rFonts w:cs="Times New Roman"/>
              </w:rPr>
              <w:t>Early-8</w:t>
            </w:r>
          </w:p>
        </w:tc>
        <w:tc>
          <w:tcPr>
            <w:tcW w:w="2988" w:type="dxa"/>
            <w:vMerge w:val="restart"/>
            <w:tcBorders>
              <w:top w:val="single" w:sz="2" w:space="0" w:color="auto"/>
            </w:tcBorders>
            <w:vAlign w:val="center"/>
          </w:tcPr>
          <w:p w14:paraId="1E65CECB" w14:textId="77777777" w:rsidR="003732E3" w:rsidRPr="003732E3" w:rsidRDefault="003732E3" w:rsidP="0016718C">
            <w:pPr>
              <w:spacing w:line="360" w:lineRule="auto"/>
              <w:jc w:val="center"/>
              <w:rPr>
                <w:rFonts w:cs="Times New Roman"/>
              </w:rPr>
            </w:pPr>
            <w:r w:rsidRPr="003732E3">
              <w:rPr>
                <w:rFonts w:cs="Times New Roman"/>
              </w:rPr>
              <w:t>chr1:49242402-49242505</w:t>
            </w:r>
          </w:p>
        </w:tc>
        <w:tc>
          <w:tcPr>
            <w:tcW w:w="5402" w:type="dxa"/>
            <w:tcBorders>
              <w:top w:val="single" w:sz="2" w:space="0" w:color="auto"/>
            </w:tcBorders>
            <w:vAlign w:val="center"/>
          </w:tcPr>
          <w:p w14:paraId="42BB09AD" w14:textId="77777777" w:rsidR="003732E3" w:rsidRPr="003732E3" w:rsidRDefault="003732E3" w:rsidP="0016718C">
            <w:pPr>
              <w:spacing w:line="360" w:lineRule="auto"/>
              <w:rPr>
                <w:rFonts w:cs="Times New Roman"/>
              </w:rPr>
            </w:pPr>
            <w:r w:rsidRPr="003732E3">
              <w:rPr>
                <w:rFonts w:cs="Times New Roman"/>
              </w:rPr>
              <w:t>Forward: GTTGTCAAAATCCAGCC</w:t>
            </w:r>
          </w:p>
        </w:tc>
      </w:tr>
      <w:tr w:rsidR="003732E3" w:rsidRPr="003732E3" w14:paraId="4B55101B" w14:textId="77777777" w:rsidTr="0016718C">
        <w:trPr>
          <w:trHeight w:val="19"/>
        </w:trPr>
        <w:tc>
          <w:tcPr>
            <w:tcW w:w="997" w:type="dxa"/>
            <w:vMerge/>
            <w:tcBorders>
              <w:bottom w:val="single" w:sz="2" w:space="0" w:color="auto"/>
            </w:tcBorders>
            <w:vAlign w:val="center"/>
          </w:tcPr>
          <w:p w14:paraId="6D4817C7" w14:textId="77777777" w:rsidR="003732E3" w:rsidRPr="003732E3" w:rsidRDefault="003732E3" w:rsidP="0016718C">
            <w:pPr>
              <w:spacing w:line="360" w:lineRule="auto"/>
              <w:jc w:val="center"/>
              <w:rPr>
                <w:rFonts w:cs="Times New Roman"/>
              </w:rPr>
            </w:pPr>
          </w:p>
        </w:tc>
        <w:tc>
          <w:tcPr>
            <w:tcW w:w="2988" w:type="dxa"/>
            <w:vMerge/>
            <w:tcBorders>
              <w:bottom w:val="single" w:sz="2" w:space="0" w:color="auto"/>
            </w:tcBorders>
            <w:vAlign w:val="center"/>
          </w:tcPr>
          <w:p w14:paraId="01C51513" w14:textId="77777777" w:rsidR="003732E3" w:rsidRPr="003732E3" w:rsidRDefault="003732E3" w:rsidP="0016718C">
            <w:pPr>
              <w:spacing w:line="360" w:lineRule="auto"/>
              <w:jc w:val="center"/>
              <w:rPr>
                <w:rFonts w:cs="Times New Roman"/>
              </w:rPr>
            </w:pPr>
          </w:p>
        </w:tc>
        <w:tc>
          <w:tcPr>
            <w:tcW w:w="5402" w:type="dxa"/>
            <w:tcBorders>
              <w:bottom w:val="single" w:sz="2" w:space="0" w:color="auto"/>
            </w:tcBorders>
            <w:vAlign w:val="center"/>
          </w:tcPr>
          <w:p w14:paraId="00C61D0C" w14:textId="77777777" w:rsidR="003732E3" w:rsidRPr="003732E3" w:rsidRDefault="003732E3" w:rsidP="0016718C">
            <w:pPr>
              <w:spacing w:line="360" w:lineRule="auto"/>
              <w:rPr>
                <w:rFonts w:cs="Times New Roman"/>
              </w:rPr>
            </w:pPr>
            <w:r w:rsidRPr="003732E3">
              <w:rPr>
                <w:rFonts w:cs="Times New Roman"/>
              </w:rPr>
              <w:t>Reverse: CCATGTACGCCTTTGTGCG</w:t>
            </w:r>
          </w:p>
        </w:tc>
      </w:tr>
      <w:tr w:rsidR="003732E3" w:rsidRPr="003732E3" w14:paraId="7F8D264F" w14:textId="77777777" w:rsidTr="0016718C">
        <w:trPr>
          <w:trHeight w:val="19"/>
        </w:trPr>
        <w:tc>
          <w:tcPr>
            <w:tcW w:w="997" w:type="dxa"/>
            <w:vMerge w:val="restart"/>
            <w:tcBorders>
              <w:top w:val="single" w:sz="2" w:space="0" w:color="auto"/>
            </w:tcBorders>
            <w:vAlign w:val="center"/>
          </w:tcPr>
          <w:p w14:paraId="1957B5DF" w14:textId="77777777" w:rsidR="003732E3" w:rsidRPr="003732E3" w:rsidRDefault="003732E3" w:rsidP="0016718C">
            <w:pPr>
              <w:spacing w:line="360" w:lineRule="auto"/>
              <w:jc w:val="center"/>
              <w:rPr>
                <w:rFonts w:cs="Times New Roman"/>
              </w:rPr>
            </w:pPr>
            <w:r w:rsidRPr="003732E3">
              <w:rPr>
                <w:rFonts w:cs="Times New Roman"/>
              </w:rPr>
              <w:t>Early-10</w:t>
            </w:r>
          </w:p>
        </w:tc>
        <w:tc>
          <w:tcPr>
            <w:tcW w:w="2988" w:type="dxa"/>
            <w:vMerge w:val="restart"/>
            <w:tcBorders>
              <w:top w:val="single" w:sz="2" w:space="0" w:color="auto"/>
            </w:tcBorders>
            <w:vAlign w:val="center"/>
          </w:tcPr>
          <w:p w14:paraId="54E8D91E" w14:textId="77777777" w:rsidR="003732E3" w:rsidRPr="003732E3" w:rsidRDefault="003732E3" w:rsidP="0016718C">
            <w:pPr>
              <w:spacing w:line="360" w:lineRule="auto"/>
              <w:jc w:val="center"/>
              <w:rPr>
                <w:rFonts w:cs="Times New Roman"/>
              </w:rPr>
            </w:pPr>
            <w:r w:rsidRPr="003732E3">
              <w:rPr>
                <w:rFonts w:cs="Times New Roman"/>
              </w:rPr>
              <w:t>chr1:241840643-241840774</w:t>
            </w:r>
          </w:p>
        </w:tc>
        <w:tc>
          <w:tcPr>
            <w:tcW w:w="5402" w:type="dxa"/>
            <w:tcBorders>
              <w:top w:val="single" w:sz="2" w:space="0" w:color="auto"/>
            </w:tcBorders>
            <w:vAlign w:val="center"/>
          </w:tcPr>
          <w:p w14:paraId="03DE3B14" w14:textId="77777777" w:rsidR="003732E3" w:rsidRPr="003732E3" w:rsidRDefault="003732E3" w:rsidP="0016718C">
            <w:pPr>
              <w:spacing w:line="360" w:lineRule="auto"/>
              <w:rPr>
                <w:rFonts w:cs="Times New Roman"/>
              </w:rPr>
            </w:pPr>
            <w:r w:rsidRPr="003732E3">
              <w:rPr>
                <w:rFonts w:cs="Times New Roman"/>
              </w:rPr>
              <w:t>Forward: TCAGTCCCGGGTTAGAAAAGC</w:t>
            </w:r>
          </w:p>
        </w:tc>
      </w:tr>
      <w:tr w:rsidR="003732E3" w:rsidRPr="003732E3" w14:paraId="747A0836" w14:textId="77777777" w:rsidTr="0016718C">
        <w:trPr>
          <w:trHeight w:val="19"/>
        </w:trPr>
        <w:tc>
          <w:tcPr>
            <w:tcW w:w="997" w:type="dxa"/>
            <w:vMerge/>
            <w:tcBorders>
              <w:bottom w:val="single" w:sz="2" w:space="0" w:color="auto"/>
            </w:tcBorders>
            <w:vAlign w:val="center"/>
          </w:tcPr>
          <w:p w14:paraId="65039FCE" w14:textId="77777777" w:rsidR="003732E3" w:rsidRPr="003732E3" w:rsidRDefault="003732E3" w:rsidP="0016718C">
            <w:pPr>
              <w:spacing w:line="360" w:lineRule="auto"/>
              <w:jc w:val="center"/>
              <w:rPr>
                <w:rFonts w:cs="Times New Roman"/>
              </w:rPr>
            </w:pPr>
          </w:p>
        </w:tc>
        <w:tc>
          <w:tcPr>
            <w:tcW w:w="2988" w:type="dxa"/>
            <w:vMerge/>
            <w:tcBorders>
              <w:bottom w:val="single" w:sz="2" w:space="0" w:color="auto"/>
            </w:tcBorders>
            <w:vAlign w:val="center"/>
          </w:tcPr>
          <w:p w14:paraId="57168C75" w14:textId="77777777" w:rsidR="003732E3" w:rsidRPr="003732E3" w:rsidRDefault="003732E3" w:rsidP="0016718C">
            <w:pPr>
              <w:spacing w:line="360" w:lineRule="auto"/>
              <w:jc w:val="center"/>
              <w:rPr>
                <w:rFonts w:cs="Times New Roman"/>
              </w:rPr>
            </w:pPr>
          </w:p>
        </w:tc>
        <w:tc>
          <w:tcPr>
            <w:tcW w:w="5402" w:type="dxa"/>
            <w:tcBorders>
              <w:bottom w:val="single" w:sz="2" w:space="0" w:color="auto"/>
            </w:tcBorders>
            <w:vAlign w:val="center"/>
          </w:tcPr>
          <w:p w14:paraId="1717508E" w14:textId="77777777" w:rsidR="003732E3" w:rsidRPr="003732E3" w:rsidRDefault="003732E3" w:rsidP="0016718C">
            <w:pPr>
              <w:spacing w:line="360" w:lineRule="auto"/>
              <w:rPr>
                <w:rFonts w:cs="Times New Roman"/>
              </w:rPr>
            </w:pPr>
            <w:r w:rsidRPr="003732E3">
              <w:rPr>
                <w:rFonts w:cs="Times New Roman"/>
              </w:rPr>
              <w:t>Reverse: CGGCCCAGAAGAAACGGAT</w:t>
            </w:r>
          </w:p>
        </w:tc>
      </w:tr>
      <w:tr w:rsidR="003732E3" w:rsidRPr="003732E3" w14:paraId="408ACEBD" w14:textId="77777777" w:rsidTr="0016718C">
        <w:trPr>
          <w:trHeight w:val="19"/>
        </w:trPr>
        <w:tc>
          <w:tcPr>
            <w:tcW w:w="997" w:type="dxa"/>
            <w:vMerge w:val="restart"/>
            <w:tcBorders>
              <w:top w:val="single" w:sz="2" w:space="0" w:color="auto"/>
            </w:tcBorders>
            <w:vAlign w:val="center"/>
          </w:tcPr>
          <w:p w14:paraId="0899FB67" w14:textId="77777777" w:rsidR="003732E3" w:rsidRPr="003732E3" w:rsidRDefault="003732E3" w:rsidP="0016718C">
            <w:pPr>
              <w:spacing w:line="360" w:lineRule="auto"/>
              <w:jc w:val="center"/>
              <w:rPr>
                <w:rFonts w:cs="Times New Roman"/>
              </w:rPr>
            </w:pPr>
            <w:r w:rsidRPr="003732E3">
              <w:rPr>
                <w:rFonts w:cs="Times New Roman"/>
              </w:rPr>
              <w:t>Late-2</w:t>
            </w:r>
          </w:p>
        </w:tc>
        <w:tc>
          <w:tcPr>
            <w:tcW w:w="2988" w:type="dxa"/>
            <w:vMerge w:val="restart"/>
            <w:tcBorders>
              <w:top w:val="single" w:sz="2" w:space="0" w:color="auto"/>
            </w:tcBorders>
            <w:vAlign w:val="center"/>
          </w:tcPr>
          <w:p w14:paraId="164E5498" w14:textId="77777777" w:rsidR="003732E3" w:rsidRPr="003732E3" w:rsidRDefault="003732E3" w:rsidP="0016718C">
            <w:pPr>
              <w:spacing w:line="360" w:lineRule="auto"/>
              <w:jc w:val="center"/>
              <w:rPr>
                <w:rFonts w:cs="Times New Roman"/>
              </w:rPr>
            </w:pPr>
            <w:r w:rsidRPr="003732E3">
              <w:rPr>
                <w:rFonts w:cs="Times New Roman"/>
              </w:rPr>
              <w:t>chr20:24089774-24089885</w:t>
            </w:r>
          </w:p>
        </w:tc>
        <w:tc>
          <w:tcPr>
            <w:tcW w:w="5402" w:type="dxa"/>
            <w:tcBorders>
              <w:top w:val="single" w:sz="2" w:space="0" w:color="auto"/>
            </w:tcBorders>
            <w:vAlign w:val="center"/>
          </w:tcPr>
          <w:p w14:paraId="56100B35" w14:textId="77777777" w:rsidR="003732E3" w:rsidRPr="003732E3" w:rsidRDefault="003732E3" w:rsidP="0016718C">
            <w:pPr>
              <w:spacing w:line="360" w:lineRule="auto"/>
              <w:rPr>
                <w:rFonts w:cs="Times New Roman"/>
              </w:rPr>
            </w:pPr>
            <w:r w:rsidRPr="003732E3">
              <w:rPr>
                <w:rFonts w:cs="Times New Roman"/>
              </w:rPr>
              <w:t>Forward: CCAGCCTAGTGCAGGAGAAAG</w:t>
            </w:r>
          </w:p>
        </w:tc>
      </w:tr>
      <w:tr w:rsidR="003732E3" w:rsidRPr="003732E3" w14:paraId="52E71D2B" w14:textId="77777777" w:rsidTr="0016718C">
        <w:trPr>
          <w:trHeight w:val="19"/>
        </w:trPr>
        <w:tc>
          <w:tcPr>
            <w:tcW w:w="997" w:type="dxa"/>
            <w:vMerge/>
            <w:tcBorders>
              <w:bottom w:val="single" w:sz="2" w:space="0" w:color="auto"/>
            </w:tcBorders>
            <w:vAlign w:val="center"/>
          </w:tcPr>
          <w:p w14:paraId="282A0460" w14:textId="77777777" w:rsidR="003732E3" w:rsidRPr="003732E3" w:rsidRDefault="003732E3" w:rsidP="0016718C">
            <w:pPr>
              <w:spacing w:line="360" w:lineRule="auto"/>
              <w:jc w:val="center"/>
              <w:rPr>
                <w:rFonts w:cs="Times New Roman"/>
              </w:rPr>
            </w:pPr>
          </w:p>
        </w:tc>
        <w:tc>
          <w:tcPr>
            <w:tcW w:w="2988" w:type="dxa"/>
            <w:vMerge/>
            <w:tcBorders>
              <w:bottom w:val="single" w:sz="2" w:space="0" w:color="auto"/>
            </w:tcBorders>
            <w:vAlign w:val="center"/>
          </w:tcPr>
          <w:p w14:paraId="6EF696F0" w14:textId="77777777" w:rsidR="003732E3" w:rsidRPr="003732E3" w:rsidRDefault="003732E3" w:rsidP="0016718C">
            <w:pPr>
              <w:spacing w:line="360" w:lineRule="auto"/>
              <w:jc w:val="center"/>
              <w:rPr>
                <w:rFonts w:cs="Times New Roman"/>
              </w:rPr>
            </w:pPr>
          </w:p>
        </w:tc>
        <w:tc>
          <w:tcPr>
            <w:tcW w:w="5402" w:type="dxa"/>
            <w:tcBorders>
              <w:bottom w:val="single" w:sz="2" w:space="0" w:color="auto"/>
            </w:tcBorders>
            <w:vAlign w:val="center"/>
          </w:tcPr>
          <w:p w14:paraId="05095AA5" w14:textId="77777777" w:rsidR="003732E3" w:rsidRPr="003732E3" w:rsidRDefault="003732E3" w:rsidP="0016718C">
            <w:pPr>
              <w:spacing w:line="360" w:lineRule="auto"/>
              <w:rPr>
                <w:rFonts w:cs="Times New Roman"/>
              </w:rPr>
            </w:pPr>
            <w:r w:rsidRPr="003732E3">
              <w:rPr>
                <w:rFonts w:cs="Times New Roman"/>
              </w:rPr>
              <w:t>Reverse: CAAGGTTCTGGTTGGCTCAC</w:t>
            </w:r>
          </w:p>
        </w:tc>
      </w:tr>
      <w:tr w:rsidR="003732E3" w:rsidRPr="003732E3" w14:paraId="30AFC4FC" w14:textId="77777777" w:rsidTr="0016718C">
        <w:trPr>
          <w:trHeight w:val="19"/>
        </w:trPr>
        <w:tc>
          <w:tcPr>
            <w:tcW w:w="997" w:type="dxa"/>
            <w:vMerge w:val="restart"/>
            <w:tcBorders>
              <w:top w:val="single" w:sz="2" w:space="0" w:color="auto"/>
              <w:bottom w:val="single" w:sz="2" w:space="0" w:color="auto"/>
            </w:tcBorders>
            <w:vAlign w:val="center"/>
          </w:tcPr>
          <w:p w14:paraId="0756E16D" w14:textId="77777777" w:rsidR="003732E3" w:rsidRPr="003732E3" w:rsidRDefault="003732E3" w:rsidP="0016718C">
            <w:pPr>
              <w:spacing w:line="360" w:lineRule="auto"/>
              <w:jc w:val="center"/>
              <w:rPr>
                <w:rFonts w:cs="Times New Roman"/>
              </w:rPr>
            </w:pPr>
            <w:r w:rsidRPr="003732E3">
              <w:rPr>
                <w:rFonts w:cs="Times New Roman"/>
              </w:rPr>
              <w:t>Late-6</w:t>
            </w:r>
          </w:p>
        </w:tc>
        <w:tc>
          <w:tcPr>
            <w:tcW w:w="2988" w:type="dxa"/>
            <w:vMerge w:val="restart"/>
            <w:tcBorders>
              <w:top w:val="single" w:sz="2" w:space="0" w:color="auto"/>
              <w:bottom w:val="single" w:sz="2" w:space="0" w:color="auto"/>
            </w:tcBorders>
            <w:vAlign w:val="center"/>
          </w:tcPr>
          <w:p w14:paraId="2B12CE2B" w14:textId="77777777" w:rsidR="003732E3" w:rsidRPr="003732E3" w:rsidRDefault="003732E3" w:rsidP="0016718C">
            <w:pPr>
              <w:spacing w:line="360" w:lineRule="auto"/>
              <w:jc w:val="center"/>
              <w:rPr>
                <w:rFonts w:cs="Times New Roman"/>
              </w:rPr>
            </w:pPr>
            <w:r w:rsidRPr="003732E3">
              <w:rPr>
                <w:rFonts w:cs="Times New Roman"/>
              </w:rPr>
              <w:t>chr1:158948646-158948779</w:t>
            </w:r>
          </w:p>
        </w:tc>
        <w:tc>
          <w:tcPr>
            <w:tcW w:w="5402" w:type="dxa"/>
            <w:tcBorders>
              <w:top w:val="single" w:sz="2" w:space="0" w:color="auto"/>
              <w:bottom w:val="single" w:sz="2" w:space="0" w:color="auto"/>
            </w:tcBorders>
            <w:vAlign w:val="center"/>
          </w:tcPr>
          <w:p w14:paraId="0B7C0A9C" w14:textId="77777777" w:rsidR="003732E3" w:rsidRPr="003732E3" w:rsidRDefault="003732E3" w:rsidP="0016718C">
            <w:pPr>
              <w:spacing w:line="360" w:lineRule="auto"/>
              <w:rPr>
                <w:rFonts w:cs="Times New Roman"/>
              </w:rPr>
            </w:pPr>
            <w:r w:rsidRPr="003732E3">
              <w:rPr>
                <w:rFonts w:cs="Times New Roman"/>
              </w:rPr>
              <w:t>Forward: ACACATCAGAGCTCCTACTTG</w:t>
            </w:r>
          </w:p>
        </w:tc>
      </w:tr>
      <w:tr w:rsidR="003732E3" w:rsidRPr="003732E3" w14:paraId="1A37E0C9" w14:textId="77777777" w:rsidTr="0016718C">
        <w:trPr>
          <w:trHeight w:val="19"/>
        </w:trPr>
        <w:tc>
          <w:tcPr>
            <w:tcW w:w="997" w:type="dxa"/>
            <w:vMerge/>
            <w:tcBorders>
              <w:top w:val="single" w:sz="2" w:space="0" w:color="auto"/>
              <w:bottom w:val="single" w:sz="2" w:space="0" w:color="auto"/>
            </w:tcBorders>
            <w:vAlign w:val="center"/>
          </w:tcPr>
          <w:p w14:paraId="6224C7DE" w14:textId="77777777" w:rsidR="003732E3" w:rsidRPr="003732E3" w:rsidRDefault="003732E3" w:rsidP="0016718C">
            <w:pPr>
              <w:spacing w:line="360" w:lineRule="auto"/>
              <w:jc w:val="center"/>
              <w:rPr>
                <w:rFonts w:cs="Times New Roman"/>
              </w:rPr>
            </w:pPr>
          </w:p>
        </w:tc>
        <w:tc>
          <w:tcPr>
            <w:tcW w:w="2988" w:type="dxa"/>
            <w:vMerge/>
            <w:tcBorders>
              <w:top w:val="single" w:sz="2" w:space="0" w:color="auto"/>
              <w:bottom w:val="single" w:sz="2" w:space="0" w:color="auto"/>
            </w:tcBorders>
            <w:vAlign w:val="center"/>
          </w:tcPr>
          <w:p w14:paraId="38148510" w14:textId="77777777" w:rsidR="003732E3" w:rsidRPr="003732E3" w:rsidRDefault="003732E3" w:rsidP="0016718C">
            <w:pPr>
              <w:spacing w:line="360" w:lineRule="auto"/>
              <w:jc w:val="center"/>
              <w:rPr>
                <w:rFonts w:cs="Times New Roman"/>
              </w:rPr>
            </w:pPr>
          </w:p>
        </w:tc>
        <w:tc>
          <w:tcPr>
            <w:tcW w:w="5402" w:type="dxa"/>
            <w:tcBorders>
              <w:top w:val="single" w:sz="2" w:space="0" w:color="auto"/>
              <w:bottom w:val="single" w:sz="2" w:space="0" w:color="auto"/>
            </w:tcBorders>
            <w:vAlign w:val="center"/>
          </w:tcPr>
          <w:p w14:paraId="0641827E" w14:textId="77777777" w:rsidR="003732E3" w:rsidRPr="003732E3" w:rsidRDefault="003732E3" w:rsidP="0016718C">
            <w:pPr>
              <w:spacing w:line="360" w:lineRule="auto"/>
              <w:rPr>
                <w:rFonts w:cs="Times New Roman"/>
              </w:rPr>
            </w:pPr>
            <w:r w:rsidRPr="003732E3">
              <w:rPr>
                <w:rFonts w:cs="Times New Roman"/>
              </w:rPr>
              <w:t>Reverse: CTCTAAGATGTCTATGAGGGTAGG</w:t>
            </w:r>
          </w:p>
        </w:tc>
      </w:tr>
      <w:tr w:rsidR="003732E3" w:rsidRPr="003732E3" w14:paraId="134EFE2B" w14:textId="77777777" w:rsidTr="0016718C">
        <w:trPr>
          <w:trHeight w:val="19"/>
        </w:trPr>
        <w:tc>
          <w:tcPr>
            <w:tcW w:w="997" w:type="dxa"/>
            <w:vMerge w:val="restart"/>
            <w:tcBorders>
              <w:top w:val="single" w:sz="2" w:space="0" w:color="auto"/>
            </w:tcBorders>
            <w:vAlign w:val="center"/>
          </w:tcPr>
          <w:p w14:paraId="6CB73DA8" w14:textId="77777777" w:rsidR="003732E3" w:rsidRPr="003732E3" w:rsidRDefault="003732E3" w:rsidP="0016718C">
            <w:pPr>
              <w:spacing w:line="360" w:lineRule="auto"/>
              <w:jc w:val="center"/>
              <w:rPr>
                <w:rFonts w:cs="Times New Roman"/>
              </w:rPr>
            </w:pPr>
            <w:r w:rsidRPr="003732E3">
              <w:rPr>
                <w:rFonts w:cs="Times New Roman"/>
              </w:rPr>
              <w:t>Late-8</w:t>
            </w:r>
          </w:p>
        </w:tc>
        <w:tc>
          <w:tcPr>
            <w:tcW w:w="2988" w:type="dxa"/>
            <w:vMerge w:val="restart"/>
            <w:tcBorders>
              <w:top w:val="single" w:sz="2" w:space="0" w:color="auto"/>
            </w:tcBorders>
            <w:vAlign w:val="center"/>
          </w:tcPr>
          <w:p w14:paraId="4CC5508A" w14:textId="77777777" w:rsidR="003732E3" w:rsidRPr="003732E3" w:rsidRDefault="003732E3" w:rsidP="0016718C">
            <w:pPr>
              <w:spacing w:line="360" w:lineRule="auto"/>
              <w:jc w:val="center"/>
              <w:rPr>
                <w:rFonts w:cs="Times New Roman"/>
              </w:rPr>
            </w:pPr>
            <w:r w:rsidRPr="003732E3">
              <w:rPr>
                <w:rFonts w:cs="Times New Roman"/>
              </w:rPr>
              <w:t>chr12:791826-791925</w:t>
            </w:r>
          </w:p>
        </w:tc>
        <w:tc>
          <w:tcPr>
            <w:tcW w:w="5402" w:type="dxa"/>
            <w:tcBorders>
              <w:top w:val="single" w:sz="2" w:space="0" w:color="auto"/>
            </w:tcBorders>
            <w:vAlign w:val="center"/>
          </w:tcPr>
          <w:p w14:paraId="48AF975F" w14:textId="77777777" w:rsidR="003732E3" w:rsidRPr="003732E3" w:rsidRDefault="003732E3" w:rsidP="0016718C">
            <w:pPr>
              <w:spacing w:line="360" w:lineRule="auto"/>
              <w:rPr>
                <w:rFonts w:cs="Times New Roman"/>
              </w:rPr>
            </w:pPr>
            <w:r w:rsidRPr="003732E3">
              <w:rPr>
                <w:rFonts w:cs="Times New Roman"/>
              </w:rPr>
              <w:t>Forward: CCGCCCTGACTATGCTTCAT</w:t>
            </w:r>
          </w:p>
        </w:tc>
      </w:tr>
      <w:tr w:rsidR="003732E3" w:rsidRPr="003732E3" w14:paraId="5C926B45" w14:textId="77777777" w:rsidTr="0016718C">
        <w:trPr>
          <w:trHeight w:val="19"/>
        </w:trPr>
        <w:tc>
          <w:tcPr>
            <w:tcW w:w="997" w:type="dxa"/>
            <w:vMerge/>
            <w:tcBorders>
              <w:bottom w:val="single" w:sz="2" w:space="0" w:color="auto"/>
            </w:tcBorders>
            <w:vAlign w:val="center"/>
          </w:tcPr>
          <w:p w14:paraId="58796540" w14:textId="77777777" w:rsidR="003732E3" w:rsidRPr="003732E3" w:rsidRDefault="003732E3" w:rsidP="0016718C">
            <w:pPr>
              <w:spacing w:line="360" w:lineRule="auto"/>
              <w:jc w:val="center"/>
              <w:rPr>
                <w:rFonts w:cs="Times New Roman"/>
              </w:rPr>
            </w:pPr>
          </w:p>
        </w:tc>
        <w:tc>
          <w:tcPr>
            <w:tcW w:w="2988" w:type="dxa"/>
            <w:vMerge/>
            <w:tcBorders>
              <w:bottom w:val="single" w:sz="2" w:space="0" w:color="auto"/>
            </w:tcBorders>
            <w:vAlign w:val="center"/>
          </w:tcPr>
          <w:p w14:paraId="442E39D7" w14:textId="77777777" w:rsidR="003732E3" w:rsidRPr="003732E3" w:rsidRDefault="003732E3" w:rsidP="0016718C">
            <w:pPr>
              <w:spacing w:line="360" w:lineRule="auto"/>
              <w:jc w:val="center"/>
              <w:rPr>
                <w:rFonts w:cs="Times New Roman"/>
              </w:rPr>
            </w:pPr>
          </w:p>
        </w:tc>
        <w:tc>
          <w:tcPr>
            <w:tcW w:w="5402" w:type="dxa"/>
            <w:tcBorders>
              <w:bottom w:val="single" w:sz="2" w:space="0" w:color="auto"/>
            </w:tcBorders>
            <w:vAlign w:val="center"/>
          </w:tcPr>
          <w:p w14:paraId="3C6DD508" w14:textId="77777777" w:rsidR="003732E3" w:rsidRPr="003732E3" w:rsidRDefault="003732E3" w:rsidP="0016718C">
            <w:pPr>
              <w:spacing w:line="360" w:lineRule="auto"/>
              <w:rPr>
                <w:rFonts w:cs="Times New Roman"/>
              </w:rPr>
            </w:pPr>
            <w:r w:rsidRPr="003732E3">
              <w:rPr>
                <w:rFonts w:cs="Times New Roman"/>
              </w:rPr>
              <w:t>Reverse: CTTTTACGTAGCGCAGTGGC</w:t>
            </w:r>
          </w:p>
        </w:tc>
      </w:tr>
      <w:tr w:rsidR="003732E3" w:rsidRPr="003732E3" w14:paraId="42ABFD74" w14:textId="77777777" w:rsidTr="0016718C">
        <w:trPr>
          <w:trHeight w:val="19"/>
        </w:trPr>
        <w:tc>
          <w:tcPr>
            <w:tcW w:w="997" w:type="dxa"/>
            <w:vMerge w:val="restart"/>
            <w:tcBorders>
              <w:top w:val="single" w:sz="2" w:space="0" w:color="auto"/>
            </w:tcBorders>
            <w:vAlign w:val="center"/>
          </w:tcPr>
          <w:p w14:paraId="782A2E53" w14:textId="77777777" w:rsidR="003732E3" w:rsidRPr="003732E3" w:rsidRDefault="003732E3" w:rsidP="0016718C">
            <w:pPr>
              <w:spacing w:line="360" w:lineRule="auto"/>
              <w:jc w:val="center"/>
              <w:rPr>
                <w:rFonts w:cs="Times New Roman"/>
              </w:rPr>
            </w:pPr>
            <w:r w:rsidRPr="003732E3">
              <w:rPr>
                <w:rFonts w:cs="Times New Roman"/>
              </w:rPr>
              <w:t>Late-9</w:t>
            </w:r>
          </w:p>
        </w:tc>
        <w:tc>
          <w:tcPr>
            <w:tcW w:w="2988" w:type="dxa"/>
            <w:vMerge w:val="restart"/>
            <w:tcBorders>
              <w:top w:val="single" w:sz="2" w:space="0" w:color="auto"/>
            </w:tcBorders>
            <w:vAlign w:val="center"/>
          </w:tcPr>
          <w:p w14:paraId="05401473" w14:textId="77777777" w:rsidR="003732E3" w:rsidRPr="003732E3" w:rsidRDefault="003732E3" w:rsidP="0016718C">
            <w:pPr>
              <w:spacing w:line="360" w:lineRule="auto"/>
              <w:jc w:val="center"/>
              <w:rPr>
                <w:rFonts w:cs="Times New Roman"/>
              </w:rPr>
            </w:pPr>
            <w:r w:rsidRPr="003732E3">
              <w:rPr>
                <w:rFonts w:cs="Times New Roman"/>
              </w:rPr>
              <w:t>chr11:19302672-19302780</w:t>
            </w:r>
          </w:p>
        </w:tc>
        <w:tc>
          <w:tcPr>
            <w:tcW w:w="5402" w:type="dxa"/>
            <w:tcBorders>
              <w:top w:val="single" w:sz="2" w:space="0" w:color="auto"/>
            </w:tcBorders>
            <w:vAlign w:val="center"/>
          </w:tcPr>
          <w:p w14:paraId="065D41A5" w14:textId="77777777" w:rsidR="003732E3" w:rsidRPr="003732E3" w:rsidRDefault="003732E3" w:rsidP="0016718C">
            <w:pPr>
              <w:spacing w:line="360" w:lineRule="auto"/>
              <w:rPr>
                <w:rFonts w:cs="Times New Roman"/>
              </w:rPr>
            </w:pPr>
            <w:r w:rsidRPr="003732E3">
              <w:rPr>
                <w:rFonts w:cs="Times New Roman"/>
              </w:rPr>
              <w:t>Forward: GGCTCCCCTTTGCAATTAACAG</w:t>
            </w:r>
          </w:p>
        </w:tc>
      </w:tr>
      <w:tr w:rsidR="003732E3" w:rsidRPr="003732E3" w14:paraId="57285237" w14:textId="77777777" w:rsidTr="0016718C">
        <w:trPr>
          <w:trHeight w:val="19"/>
        </w:trPr>
        <w:tc>
          <w:tcPr>
            <w:tcW w:w="997" w:type="dxa"/>
            <w:vMerge/>
            <w:tcBorders>
              <w:bottom w:val="single" w:sz="2" w:space="0" w:color="auto"/>
            </w:tcBorders>
            <w:vAlign w:val="center"/>
          </w:tcPr>
          <w:p w14:paraId="5B2732EA" w14:textId="77777777" w:rsidR="003732E3" w:rsidRPr="003732E3" w:rsidRDefault="003732E3" w:rsidP="0016718C">
            <w:pPr>
              <w:spacing w:line="360" w:lineRule="auto"/>
              <w:jc w:val="center"/>
              <w:rPr>
                <w:rFonts w:cs="Times New Roman"/>
              </w:rPr>
            </w:pPr>
          </w:p>
        </w:tc>
        <w:tc>
          <w:tcPr>
            <w:tcW w:w="2988" w:type="dxa"/>
            <w:vMerge/>
            <w:tcBorders>
              <w:bottom w:val="single" w:sz="2" w:space="0" w:color="auto"/>
            </w:tcBorders>
            <w:vAlign w:val="center"/>
          </w:tcPr>
          <w:p w14:paraId="09D92ACE" w14:textId="77777777" w:rsidR="003732E3" w:rsidRPr="003732E3" w:rsidRDefault="003732E3" w:rsidP="0016718C">
            <w:pPr>
              <w:spacing w:line="360" w:lineRule="auto"/>
              <w:jc w:val="center"/>
              <w:rPr>
                <w:rFonts w:cs="Times New Roman"/>
              </w:rPr>
            </w:pPr>
          </w:p>
        </w:tc>
        <w:tc>
          <w:tcPr>
            <w:tcW w:w="5402" w:type="dxa"/>
            <w:tcBorders>
              <w:bottom w:val="single" w:sz="2" w:space="0" w:color="auto"/>
            </w:tcBorders>
            <w:vAlign w:val="center"/>
          </w:tcPr>
          <w:p w14:paraId="6B4BD49C" w14:textId="77777777" w:rsidR="003732E3" w:rsidRPr="003732E3" w:rsidRDefault="003732E3" w:rsidP="0016718C">
            <w:pPr>
              <w:spacing w:line="360" w:lineRule="auto"/>
              <w:rPr>
                <w:rFonts w:cs="Times New Roman"/>
              </w:rPr>
            </w:pPr>
            <w:r w:rsidRPr="003732E3">
              <w:rPr>
                <w:rFonts w:cs="Times New Roman"/>
              </w:rPr>
              <w:t>Reverse: AGAGCCCCACATGAGCAACT</w:t>
            </w:r>
          </w:p>
        </w:tc>
      </w:tr>
    </w:tbl>
    <w:p w14:paraId="40E6F740" w14:textId="77777777" w:rsidR="003732E3" w:rsidRPr="006A4DDF" w:rsidRDefault="003732E3" w:rsidP="003732E3">
      <w:pPr>
        <w:spacing w:after="0" w:line="360" w:lineRule="auto"/>
        <w:jc w:val="both"/>
        <w:rPr>
          <w:rFonts w:cs="Times New Roman"/>
          <w:sz w:val="24"/>
          <w:szCs w:val="24"/>
        </w:rPr>
      </w:pPr>
    </w:p>
    <w:p w14:paraId="7DF8F694" w14:textId="77777777" w:rsidR="003732E3" w:rsidRDefault="003732E3">
      <w:pPr>
        <w:jc w:val="both"/>
        <w:rPr>
          <w:rFonts w:cs="Times New Roman"/>
          <w:b/>
        </w:rPr>
      </w:pPr>
      <w:r>
        <w:rPr>
          <w:rFonts w:cs="Times New Roman"/>
          <w:b/>
        </w:rPr>
        <w:br w:type="page"/>
      </w:r>
    </w:p>
    <w:p w14:paraId="36562E90" w14:textId="59B48902" w:rsidR="00AD5EC4" w:rsidRPr="003732E3" w:rsidRDefault="00AD5EC4" w:rsidP="00AD5EC4">
      <w:pPr>
        <w:spacing w:after="0" w:line="360" w:lineRule="auto"/>
        <w:rPr>
          <w:rFonts w:eastAsia="HYSinMyeongJo-Medium" w:cs="Times New Roman"/>
          <w:b/>
        </w:rPr>
      </w:pPr>
      <w:r w:rsidRPr="003732E3">
        <w:rPr>
          <w:rFonts w:cs="Times New Roman"/>
          <w:b/>
        </w:rPr>
        <w:lastRenderedPageBreak/>
        <w:t>Supplementary Table S</w:t>
      </w:r>
      <w:r w:rsidR="003732E3" w:rsidRPr="003732E3">
        <w:rPr>
          <w:rFonts w:cs="Times New Roman"/>
          <w:b/>
        </w:rPr>
        <w:t>5</w:t>
      </w:r>
      <w:r w:rsidRPr="003732E3">
        <w:rPr>
          <w:rFonts w:cs="Times New Roman"/>
          <w:b/>
        </w:rPr>
        <w:t xml:space="preserve">. </w:t>
      </w:r>
      <w:r w:rsidRPr="003732E3">
        <w:rPr>
          <w:rFonts w:eastAsia="HYSinMyeongJo-Medium" w:cs="Times New Roman"/>
          <w:b/>
        </w:rPr>
        <w:t xml:space="preserve">Baseline characteristics of the subjects. </w:t>
      </w:r>
    </w:p>
    <w:tbl>
      <w:tblPr>
        <w:tblW w:w="9112" w:type="dxa"/>
        <w:tblLook w:val="04A0" w:firstRow="1" w:lastRow="0" w:firstColumn="1" w:lastColumn="0" w:noHBand="0" w:noVBand="1"/>
      </w:tblPr>
      <w:tblGrid>
        <w:gridCol w:w="3600"/>
        <w:gridCol w:w="2430"/>
        <w:gridCol w:w="2160"/>
        <w:gridCol w:w="922"/>
      </w:tblGrid>
      <w:tr w:rsidR="00DA1306" w:rsidRPr="00DA1306" w14:paraId="57BC6076" w14:textId="77777777" w:rsidTr="00A35EF1">
        <w:trPr>
          <w:trHeight w:val="860"/>
        </w:trPr>
        <w:tc>
          <w:tcPr>
            <w:tcW w:w="3600" w:type="dxa"/>
            <w:tcBorders>
              <w:top w:val="single" w:sz="4" w:space="0" w:color="auto"/>
              <w:bottom w:val="single" w:sz="4" w:space="0" w:color="auto"/>
            </w:tcBorders>
            <w:vAlign w:val="center"/>
          </w:tcPr>
          <w:p w14:paraId="23452A86" w14:textId="77777777" w:rsidR="00AD5EC4" w:rsidRPr="00DA1306" w:rsidRDefault="00AD5EC4" w:rsidP="00A35EF1">
            <w:pPr>
              <w:spacing w:after="0" w:line="360" w:lineRule="auto"/>
              <w:contextualSpacing/>
              <w:rPr>
                <w:rFonts w:eastAsia="HYSinMyeongJo-Medium" w:cs="Times New Roman"/>
                <w:sz w:val="20"/>
                <w:szCs w:val="20"/>
              </w:rPr>
            </w:pPr>
          </w:p>
        </w:tc>
        <w:tc>
          <w:tcPr>
            <w:tcW w:w="2430" w:type="dxa"/>
            <w:tcBorders>
              <w:top w:val="single" w:sz="4" w:space="0" w:color="auto"/>
              <w:bottom w:val="single" w:sz="4" w:space="0" w:color="auto"/>
            </w:tcBorders>
            <w:vAlign w:val="center"/>
          </w:tcPr>
          <w:p w14:paraId="2F7D29DA"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Early-stage</w:t>
            </w:r>
          </w:p>
          <w:p w14:paraId="6FBB5B7F"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w:t>
            </w:r>
            <w:r w:rsidRPr="00DA1306">
              <w:rPr>
                <w:rFonts w:eastAsia="HYSinMyeongJo-Medium" w:cs="Times New Roman"/>
                <w:i/>
                <w:iCs/>
                <w:sz w:val="20"/>
                <w:szCs w:val="20"/>
              </w:rPr>
              <w:t>n</w:t>
            </w:r>
            <w:r w:rsidRPr="00DA1306">
              <w:rPr>
                <w:rFonts w:eastAsia="HYSinMyeongJo-Medium" w:cs="Times New Roman"/>
                <w:sz w:val="20"/>
                <w:szCs w:val="20"/>
              </w:rPr>
              <w:t xml:space="preserve"> = 11)</w:t>
            </w:r>
          </w:p>
        </w:tc>
        <w:tc>
          <w:tcPr>
            <w:tcW w:w="2160" w:type="dxa"/>
            <w:tcBorders>
              <w:top w:val="single" w:sz="4" w:space="0" w:color="auto"/>
              <w:bottom w:val="single" w:sz="4" w:space="0" w:color="auto"/>
            </w:tcBorders>
            <w:vAlign w:val="center"/>
          </w:tcPr>
          <w:p w14:paraId="01B20609"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Late-stage</w:t>
            </w:r>
          </w:p>
          <w:p w14:paraId="259E3427" w14:textId="77777777" w:rsidR="00AD5EC4" w:rsidRPr="00DA1306" w:rsidRDefault="00AD5EC4" w:rsidP="00A35EF1">
            <w:pPr>
              <w:spacing w:after="0" w:line="360" w:lineRule="auto"/>
              <w:contextualSpacing/>
              <w:jc w:val="center"/>
              <w:rPr>
                <w:rFonts w:eastAsia="HYSinMyeongJo-Medium" w:cs="Times New Roman"/>
                <w:i/>
                <w:iCs/>
                <w:sz w:val="20"/>
                <w:szCs w:val="20"/>
              </w:rPr>
            </w:pPr>
            <w:r w:rsidRPr="00DA1306">
              <w:rPr>
                <w:rFonts w:eastAsia="HYSinMyeongJo-Medium" w:cs="Times New Roman"/>
                <w:sz w:val="20"/>
                <w:szCs w:val="20"/>
              </w:rPr>
              <w:t>(</w:t>
            </w:r>
            <w:r w:rsidRPr="00DA1306">
              <w:rPr>
                <w:rFonts w:eastAsia="HYSinMyeongJo-Medium" w:cs="Times New Roman"/>
                <w:i/>
                <w:iCs/>
                <w:sz w:val="20"/>
                <w:szCs w:val="20"/>
              </w:rPr>
              <w:t>n</w:t>
            </w:r>
            <w:r w:rsidRPr="00DA1306">
              <w:rPr>
                <w:rFonts w:eastAsia="HYSinMyeongJo-Medium" w:cs="Times New Roman"/>
                <w:sz w:val="20"/>
                <w:szCs w:val="20"/>
              </w:rPr>
              <w:t xml:space="preserve"> = 6)</w:t>
            </w:r>
          </w:p>
        </w:tc>
        <w:tc>
          <w:tcPr>
            <w:tcW w:w="922" w:type="dxa"/>
            <w:tcBorders>
              <w:top w:val="single" w:sz="4" w:space="0" w:color="auto"/>
              <w:bottom w:val="single" w:sz="4" w:space="0" w:color="auto"/>
            </w:tcBorders>
            <w:vAlign w:val="center"/>
          </w:tcPr>
          <w:p w14:paraId="41438E71"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i/>
                <w:iCs/>
                <w:sz w:val="20"/>
                <w:szCs w:val="20"/>
              </w:rPr>
              <w:t>P</w:t>
            </w:r>
            <w:r w:rsidRPr="00DA1306">
              <w:rPr>
                <w:rFonts w:eastAsia="HYSinMyeongJo-Medium" w:cs="Times New Roman"/>
                <w:sz w:val="20"/>
                <w:szCs w:val="20"/>
              </w:rPr>
              <w:t>-value</w:t>
            </w:r>
          </w:p>
        </w:tc>
      </w:tr>
      <w:tr w:rsidR="00DA1306" w:rsidRPr="00DA1306" w14:paraId="3FCABB1E" w14:textId="77777777" w:rsidTr="00A35EF1">
        <w:trPr>
          <w:trHeight w:val="450"/>
        </w:trPr>
        <w:tc>
          <w:tcPr>
            <w:tcW w:w="3600" w:type="dxa"/>
            <w:tcBorders>
              <w:top w:val="single" w:sz="4" w:space="0" w:color="auto"/>
            </w:tcBorders>
            <w:vAlign w:val="center"/>
          </w:tcPr>
          <w:p w14:paraId="70CD7FC8"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age (</w:t>
            </w:r>
            <w:proofErr w:type="spellStart"/>
            <w:r w:rsidRPr="00DA1306">
              <w:rPr>
                <w:rFonts w:eastAsia="HYSinMyeongJo-Medium" w:cs="Times New Roman"/>
                <w:sz w:val="20"/>
                <w:szCs w:val="20"/>
              </w:rPr>
              <w:t>yr</w:t>
            </w:r>
            <w:proofErr w:type="spellEnd"/>
            <w:r w:rsidRPr="00DA1306">
              <w:rPr>
                <w:rFonts w:eastAsia="HYSinMyeongJo-Medium" w:cs="Times New Roman"/>
                <w:sz w:val="20"/>
                <w:szCs w:val="20"/>
              </w:rPr>
              <w:t>)</w:t>
            </w:r>
          </w:p>
        </w:tc>
        <w:tc>
          <w:tcPr>
            <w:tcW w:w="2430" w:type="dxa"/>
            <w:tcBorders>
              <w:top w:val="single" w:sz="4" w:space="0" w:color="auto"/>
            </w:tcBorders>
            <w:vAlign w:val="center"/>
          </w:tcPr>
          <w:p w14:paraId="16AC1199"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44.0 (37.0–47.0)</w:t>
            </w:r>
          </w:p>
        </w:tc>
        <w:tc>
          <w:tcPr>
            <w:tcW w:w="2160" w:type="dxa"/>
            <w:tcBorders>
              <w:top w:val="single" w:sz="4" w:space="0" w:color="auto"/>
            </w:tcBorders>
            <w:vAlign w:val="center"/>
          </w:tcPr>
          <w:p w14:paraId="622BCA4F"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47.5 (43.5–50.0)</w:t>
            </w:r>
          </w:p>
        </w:tc>
        <w:tc>
          <w:tcPr>
            <w:tcW w:w="922" w:type="dxa"/>
            <w:tcBorders>
              <w:top w:val="single" w:sz="4" w:space="0" w:color="auto"/>
            </w:tcBorders>
            <w:vAlign w:val="center"/>
          </w:tcPr>
          <w:p w14:paraId="44FD2D96"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0.391</w:t>
            </w:r>
          </w:p>
        </w:tc>
      </w:tr>
      <w:tr w:rsidR="00DA1306" w:rsidRPr="00DA1306" w14:paraId="318EEF7B" w14:textId="77777777" w:rsidTr="00A35EF1">
        <w:trPr>
          <w:trHeight w:val="450"/>
        </w:trPr>
        <w:tc>
          <w:tcPr>
            <w:tcW w:w="3600" w:type="dxa"/>
            <w:vAlign w:val="center"/>
          </w:tcPr>
          <w:p w14:paraId="5F794FC1"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sex (n, %)</w:t>
            </w:r>
          </w:p>
        </w:tc>
        <w:tc>
          <w:tcPr>
            <w:tcW w:w="2430" w:type="dxa"/>
            <w:vAlign w:val="center"/>
          </w:tcPr>
          <w:p w14:paraId="4BF5817E"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6 (54.6)</w:t>
            </w:r>
          </w:p>
        </w:tc>
        <w:tc>
          <w:tcPr>
            <w:tcW w:w="2160" w:type="dxa"/>
            <w:vAlign w:val="center"/>
          </w:tcPr>
          <w:p w14:paraId="2475AB92"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5 (83.3)</w:t>
            </w:r>
          </w:p>
        </w:tc>
        <w:tc>
          <w:tcPr>
            <w:tcW w:w="922" w:type="dxa"/>
            <w:vAlign w:val="center"/>
          </w:tcPr>
          <w:p w14:paraId="5143CFFD"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0.512</w:t>
            </w:r>
          </w:p>
        </w:tc>
      </w:tr>
      <w:tr w:rsidR="00DA1306" w:rsidRPr="00DA1306" w14:paraId="43AC0AD4" w14:textId="77777777" w:rsidTr="00A35EF1">
        <w:trPr>
          <w:trHeight w:val="450"/>
        </w:trPr>
        <w:tc>
          <w:tcPr>
            <w:tcW w:w="3600" w:type="dxa"/>
            <w:vAlign w:val="center"/>
          </w:tcPr>
          <w:p w14:paraId="538621F7"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duration of biopsy to blood sampling (</w:t>
            </w:r>
            <w:proofErr w:type="spellStart"/>
            <w:r w:rsidRPr="00DA1306">
              <w:rPr>
                <w:rFonts w:eastAsia="HYSinMyeongJo-Medium" w:cs="Times New Roman"/>
                <w:sz w:val="20"/>
                <w:szCs w:val="20"/>
              </w:rPr>
              <w:t>yr</w:t>
            </w:r>
            <w:proofErr w:type="spellEnd"/>
            <w:r w:rsidRPr="00DA1306">
              <w:rPr>
                <w:rFonts w:eastAsia="HYSinMyeongJo-Medium" w:cs="Times New Roman"/>
                <w:sz w:val="20"/>
                <w:szCs w:val="20"/>
              </w:rPr>
              <w:t>)</w:t>
            </w:r>
          </w:p>
        </w:tc>
        <w:tc>
          <w:tcPr>
            <w:tcW w:w="2430" w:type="dxa"/>
            <w:vAlign w:val="center"/>
          </w:tcPr>
          <w:p w14:paraId="5BD1EA3A"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2.4 (1.1–9.6)</w:t>
            </w:r>
          </w:p>
        </w:tc>
        <w:tc>
          <w:tcPr>
            <w:tcW w:w="2160" w:type="dxa"/>
            <w:vAlign w:val="center"/>
          </w:tcPr>
          <w:p w14:paraId="1F13A9AF"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8.1 (3.7–10.4)</w:t>
            </w:r>
          </w:p>
        </w:tc>
        <w:tc>
          <w:tcPr>
            <w:tcW w:w="922" w:type="dxa"/>
            <w:vAlign w:val="center"/>
          </w:tcPr>
          <w:p w14:paraId="506166A8"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0.301</w:t>
            </w:r>
          </w:p>
        </w:tc>
      </w:tr>
      <w:tr w:rsidR="00DA1306" w:rsidRPr="00DA1306" w14:paraId="4C0A05FE" w14:textId="77777777" w:rsidTr="00A35EF1">
        <w:trPr>
          <w:trHeight w:val="450"/>
        </w:trPr>
        <w:tc>
          <w:tcPr>
            <w:tcW w:w="3600" w:type="dxa"/>
            <w:vAlign w:val="center"/>
          </w:tcPr>
          <w:p w14:paraId="3A285204"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eGFR at sample (</w:t>
            </w:r>
            <w:r w:rsidRPr="00DA1306">
              <w:rPr>
                <w:rFonts w:cs="Times New Roman"/>
                <w:sz w:val="20"/>
                <w:szCs w:val="20"/>
              </w:rPr>
              <w:t>mL/min/1.73m²)</w:t>
            </w:r>
          </w:p>
        </w:tc>
        <w:tc>
          <w:tcPr>
            <w:tcW w:w="2430" w:type="dxa"/>
            <w:vAlign w:val="center"/>
          </w:tcPr>
          <w:p w14:paraId="37DF259E"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51.3 (36.9–66.4)</w:t>
            </w:r>
          </w:p>
        </w:tc>
        <w:tc>
          <w:tcPr>
            <w:tcW w:w="2160" w:type="dxa"/>
            <w:vAlign w:val="center"/>
          </w:tcPr>
          <w:p w14:paraId="06B2E0CA"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12.7 (7.9–21.4)</w:t>
            </w:r>
          </w:p>
        </w:tc>
        <w:tc>
          <w:tcPr>
            <w:tcW w:w="922" w:type="dxa"/>
            <w:vAlign w:val="center"/>
          </w:tcPr>
          <w:p w14:paraId="17665650"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0.003</w:t>
            </w:r>
          </w:p>
        </w:tc>
      </w:tr>
      <w:tr w:rsidR="00DA1306" w:rsidRPr="00DA1306" w14:paraId="3E8EF07B" w14:textId="77777777" w:rsidTr="00A35EF1">
        <w:trPr>
          <w:trHeight w:val="450"/>
        </w:trPr>
        <w:tc>
          <w:tcPr>
            <w:tcW w:w="3600" w:type="dxa"/>
            <w:vAlign w:val="center"/>
          </w:tcPr>
          <w:p w14:paraId="3794AD54"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eGFR Decline (</w:t>
            </w:r>
            <w:r w:rsidRPr="00DA1306">
              <w:rPr>
                <w:rFonts w:cs="Times New Roman"/>
                <w:sz w:val="20"/>
                <w:szCs w:val="20"/>
              </w:rPr>
              <w:t>mL/min/1.73m² per year)</w:t>
            </w:r>
          </w:p>
        </w:tc>
        <w:tc>
          <w:tcPr>
            <w:tcW w:w="2430" w:type="dxa"/>
            <w:vAlign w:val="center"/>
          </w:tcPr>
          <w:p w14:paraId="5DCA3100"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-4.8 (-6.8–-1.0)</w:t>
            </w:r>
          </w:p>
        </w:tc>
        <w:tc>
          <w:tcPr>
            <w:tcW w:w="2160" w:type="dxa"/>
            <w:vAlign w:val="center"/>
          </w:tcPr>
          <w:p w14:paraId="30C6C3C3"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-5.4 (-6.5–-3.9)</w:t>
            </w:r>
          </w:p>
        </w:tc>
        <w:tc>
          <w:tcPr>
            <w:tcW w:w="922" w:type="dxa"/>
            <w:vAlign w:val="center"/>
          </w:tcPr>
          <w:p w14:paraId="5450E5DB"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0.350</w:t>
            </w:r>
          </w:p>
        </w:tc>
      </w:tr>
      <w:tr w:rsidR="00DA1306" w:rsidRPr="00DA1306" w14:paraId="2FDAF25D" w14:textId="77777777" w:rsidTr="00A35EF1">
        <w:trPr>
          <w:trHeight w:val="450"/>
        </w:trPr>
        <w:tc>
          <w:tcPr>
            <w:tcW w:w="3600" w:type="dxa"/>
            <w:vAlign w:val="center"/>
          </w:tcPr>
          <w:p w14:paraId="0CAC6412"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UPCR at sample (g/g)</w:t>
            </w:r>
          </w:p>
        </w:tc>
        <w:tc>
          <w:tcPr>
            <w:tcW w:w="2430" w:type="dxa"/>
            <w:vAlign w:val="center"/>
          </w:tcPr>
          <w:p w14:paraId="4C87C1A8"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1.41 (0.8–2.2)</w:t>
            </w:r>
          </w:p>
        </w:tc>
        <w:tc>
          <w:tcPr>
            <w:tcW w:w="2160" w:type="dxa"/>
            <w:vAlign w:val="center"/>
          </w:tcPr>
          <w:p w14:paraId="0F1D2FF0"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2.3 (1.1–3.2)</w:t>
            </w:r>
          </w:p>
        </w:tc>
        <w:tc>
          <w:tcPr>
            <w:tcW w:w="922" w:type="dxa"/>
            <w:vAlign w:val="center"/>
          </w:tcPr>
          <w:p w14:paraId="6DC4BEDC"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1.000</w:t>
            </w:r>
          </w:p>
        </w:tc>
      </w:tr>
      <w:tr w:rsidR="00DA1306" w:rsidRPr="00DA1306" w14:paraId="70C1B051" w14:textId="77777777" w:rsidTr="00A35EF1">
        <w:trPr>
          <w:trHeight w:val="450"/>
        </w:trPr>
        <w:tc>
          <w:tcPr>
            <w:tcW w:w="3600" w:type="dxa"/>
            <w:vAlign w:val="center"/>
          </w:tcPr>
          <w:p w14:paraId="7D909799"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Average UPCR (g/g)</w:t>
            </w:r>
          </w:p>
        </w:tc>
        <w:tc>
          <w:tcPr>
            <w:tcW w:w="2430" w:type="dxa"/>
            <w:vAlign w:val="center"/>
          </w:tcPr>
          <w:p w14:paraId="2F14C32B"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1.5 (1.0–2.5)</w:t>
            </w:r>
          </w:p>
        </w:tc>
        <w:tc>
          <w:tcPr>
            <w:tcW w:w="2160" w:type="dxa"/>
            <w:vAlign w:val="center"/>
          </w:tcPr>
          <w:p w14:paraId="4A900264"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2.1 (1.2–3.7)</w:t>
            </w:r>
          </w:p>
        </w:tc>
        <w:tc>
          <w:tcPr>
            <w:tcW w:w="922" w:type="dxa"/>
            <w:vAlign w:val="center"/>
          </w:tcPr>
          <w:p w14:paraId="11B891E5"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0.462</w:t>
            </w:r>
          </w:p>
        </w:tc>
      </w:tr>
      <w:tr w:rsidR="00DA1306" w:rsidRPr="00DA1306" w14:paraId="15306701" w14:textId="77777777" w:rsidTr="00A35EF1">
        <w:trPr>
          <w:trHeight w:val="450"/>
        </w:trPr>
        <w:tc>
          <w:tcPr>
            <w:tcW w:w="3600" w:type="dxa"/>
            <w:vAlign w:val="center"/>
          </w:tcPr>
          <w:p w14:paraId="5196011F"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percentage of global sclerosis (percent)</w:t>
            </w:r>
          </w:p>
        </w:tc>
        <w:tc>
          <w:tcPr>
            <w:tcW w:w="2430" w:type="dxa"/>
            <w:vAlign w:val="center"/>
          </w:tcPr>
          <w:p w14:paraId="02B5D91C"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30.3 (16.7–47.8)</w:t>
            </w:r>
          </w:p>
        </w:tc>
        <w:tc>
          <w:tcPr>
            <w:tcW w:w="2160" w:type="dxa"/>
            <w:vAlign w:val="center"/>
          </w:tcPr>
          <w:p w14:paraId="1556A84B"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43.5 (28.1–72.4)</w:t>
            </w:r>
          </w:p>
        </w:tc>
        <w:tc>
          <w:tcPr>
            <w:tcW w:w="922" w:type="dxa"/>
            <w:vAlign w:val="center"/>
          </w:tcPr>
          <w:p w14:paraId="388303AA"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0.208</w:t>
            </w:r>
          </w:p>
        </w:tc>
      </w:tr>
      <w:tr w:rsidR="00DA1306" w:rsidRPr="00DA1306" w14:paraId="318EDF08" w14:textId="77777777" w:rsidTr="00A35EF1">
        <w:trPr>
          <w:trHeight w:val="450"/>
        </w:trPr>
        <w:tc>
          <w:tcPr>
            <w:tcW w:w="3600" w:type="dxa"/>
            <w:vAlign w:val="center"/>
          </w:tcPr>
          <w:p w14:paraId="7CEC4775"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Oxford classification (MEST-C Score)</w:t>
            </w:r>
          </w:p>
        </w:tc>
        <w:tc>
          <w:tcPr>
            <w:tcW w:w="2430" w:type="dxa"/>
            <w:vAlign w:val="center"/>
          </w:tcPr>
          <w:p w14:paraId="0F7E5941"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2.0 (1.5–2.5)</w:t>
            </w:r>
          </w:p>
        </w:tc>
        <w:tc>
          <w:tcPr>
            <w:tcW w:w="2160" w:type="dxa"/>
            <w:vAlign w:val="center"/>
          </w:tcPr>
          <w:p w14:paraId="7D32CEED"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1.8 (1.2–2.0)</w:t>
            </w:r>
          </w:p>
        </w:tc>
        <w:tc>
          <w:tcPr>
            <w:tcW w:w="922" w:type="dxa"/>
            <w:vAlign w:val="center"/>
          </w:tcPr>
          <w:p w14:paraId="213962C5"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0.326</w:t>
            </w:r>
          </w:p>
        </w:tc>
      </w:tr>
      <w:tr w:rsidR="00DA1306" w:rsidRPr="00DA1306" w14:paraId="1DF53B39" w14:textId="77777777" w:rsidTr="00A35EF1">
        <w:trPr>
          <w:trHeight w:val="450"/>
        </w:trPr>
        <w:tc>
          <w:tcPr>
            <w:tcW w:w="3600" w:type="dxa"/>
            <w:vAlign w:val="center"/>
          </w:tcPr>
          <w:p w14:paraId="510F09FA"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serum IgA (mg/dL)</w:t>
            </w:r>
          </w:p>
        </w:tc>
        <w:tc>
          <w:tcPr>
            <w:tcW w:w="2430" w:type="dxa"/>
            <w:vAlign w:val="center"/>
          </w:tcPr>
          <w:p w14:paraId="48FE8E04"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311.0 (253.0–322.5)</w:t>
            </w:r>
          </w:p>
        </w:tc>
        <w:tc>
          <w:tcPr>
            <w:tcW w:w="2160" w:type="dxa"/>
            <w:vAlign w:val="center"/>
          </w:tcPr>
          <w:p w14:paraId="689B1341"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364.5 (341.1–423.3)</w:t>
            </w:r>
          </w:p>
        </w:tc>
        <w:tc>
          <w:tcPr>
            <w:tcW w:w="922" w:type="dxa"/>
            <w:vAlign w:val="center"/>
          </w:tcPr>
          <w:p w14:paraId="203EA2B8"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0.006</w:t>
            </w:r>
          </w:p>
        </w:tc>
      </w:tr>
      <w:tr w:rsidR="00DA1306" w:rsidRPr="00DA1306" w14:paraId="6E2AEC54" w14:textId="77777777" w:rsidTr="00A35EF1">
        <w:trPr>
          <w:trHeight w:val="450"/>
        </w:trPr>
        <w:tc>
          <w:tcPr>
            <w:tcW w:w="3600" w:type="dxa"/>
            <w:vAlign w:val="center"/>
          </w:tcPr>
          <w:p w14:paraId="63EDAD08"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WBC (10</w:t>
            </w:r>
            <w:r w:rsidRPr="00DA1306">
              <w:rPr>
                <w:rFonts w:eastAsia="HYSinMyeongJo-Medium" w:cs="Times New Roman"/>
                <w:sz w:val="20"/>
                <w:szCs w:val="20"/>
                <w:vertAlign w:val="superscript"/>
              </w:rPr>
              <w:t>3</w:t>
            </w:r>
            <w:r w:rsidRPr="00DA1306">
              <w:rPr>
                <w:rFonts w:eastAsia="HYSinMyeongJo-Medium" w:cs="Times New Roman"/>
                <w:sz w:val="20"/>
                <w:szCs w:val="20"/>
              </w:rPr>
              <w:t>/</w:t>
            </w:r>
            <w:r w:rsidRPr="00DA1306">
              <w:rPr>
                <w:rFonts w:eastAsia="HYSinMyeongJo-Medium" w:cs="Times New Roman"/>
                <w:sz w:val="20"/>
                <w:szCs w:val="20"/>
              </w:rPr>
              <w:sym w:font="Symbol" w:char="F06D"/>
            </w:r>
            <w:r w:rsidRPr="00DA1306">
              <w:rPr>
                <w:rFonts w:eastAsia="HYSinMyeongJo-Medium" w:cs="Times New Roman"/>
                <w:sz w:val="20"/>
                <w:szCs w:val="20"/>
              </w:rPr>
              <w:t xml:space="preserve">L) </w:t>
            </w:r>
          </w:p>
        </w:tc>
        <w:tc>
          <w:tcPr>
            <w:tcW w:w="2430" w:type="dxa"/>
            <w:vAlign w:val="center"/>
          </w:tcPr>
          <w:p w14:paraId="3013F602"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6.2 (5.8–7.5)</w:t>
            </w:r>
          </w:p>
        </w:tc>
        <w:tc>
          <w:tcPr>
            <w:tcW w:w="2160" w:type="dxa"/>
            <w:vAlign w:val="center"/>
          </w:tcPr>
          <w:p w14:paraId="08D16600"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6.7 (5.5–8.5)</w:t>
            </w:r>
          </w:p>
        </w:tc>
        <w:tc>
          <w:tcPr>
            <w:tcW w:w="922" w:type="dxa"/>
            <w:vAlign w:val="center"/>
          </w:tcPr>
          <w:p w14:paraId="6442B51C"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1.000</w:t>
            </w:r>
          </w:p>
        </w:tc>
      </w:tr>
      <w:tr w:rsidR="00DA1306" w:rsidRPr="00DA1306" w14:paraId="09D3B47F" w14:textId="77777777" w:rsidTr="00A35EF1">
        <w:trPr>
          <w:trHeight w:val="450"/>
        </w:trPr>
        <w:tc>
          <w:tcPr>
            <w:tcW w:w="3600" w:type="dxa"/>
            <w:vAlign w:val="center"/>
          </w:tcPr>
          <w:p w14:paraId="7FB947B3"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 xml:space="preserve">hemoglobin (g/dL) </w:t>
            </w:r>
          </w:p>
        </w:tc>
        <w:tc>
          <w:tcPr>
            <w:tcW w:w="2430" w:type="dxa"/>
            <w:vAlign w:val="center"/>
          </w:tcPr>
          <w:p w14:paraId="0200A188"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12.3 (11.8–13.3)</w:t>
            </w:r>
          </w:p>
        </w:tc>
        <w:tc>
          <w:tcPr>
            <w:tcW w:w="2160" w:type="dxa"/>
            <w:vAlign w:val="center"/>
          </w:tcPr>
          <w:p w14:paraId="6D41897D"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10.9 (10.3–11.6)</w:t>
            </w:r>
          </w:p>
        </w:tc>
        <w:tc>
          <w:tcPr>
            <w:tcW w:w="922" w:type="dxa"/>
            <w:vAlign w:val="center"/>
          </w:tcPr>
          <w:p w14:paraId="06446B44"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0.044</w:t>
            </w:r>
          </w:p>
        </w:tc>
      </w:tr>
      <w:tr w:rsidR="00DA1306" w:rsidRPr="00DA1306" w14:paraId="62B63500" w14:textId="77777777" w:rsidTr="00A35EF1">
        <w:trPr>
          <w:trHeight w:val="450"/>
        </w:trPr>
        <w:tc>
          <w:tcPr>
            <w:tcW w:w="3600" w:type="dxa"/>
            <w:vAlign w:val="center"/>
          </w:tcPr>
          <w:p w14:paraId="19C026BC"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total protein (g/dL)</w:t>
            </w:r>
          </w:p>
        </w:tc>
        <w:tc>
          <w:tcPr>
            <w:tcW w:w="2430" w:type="dxa"/>
            <w:vAlign w:val="center"/>
          </w:tcPr>
          <w:p w14:paraId="7B9AAF6B"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6.7 (6.7–7.1)</w:t>
            </w:r>
          </w:p>
        </w:tc>
        <w:tc>
          <w:tcPr>
            <w:tcW w:w="2160" w:type="dxa"/>
            <w:vAlign w:val="center"/>
          </w:tcPr>
          <w:p w14:paraId="784893C1"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6.9 (6.7–7.2)</w:t>
            </w:r>
          </w:p>
        </w:tc>
        <w:tc>
          <w:tcPr>
            <w:tcW w:w="922" w:type="dxa"/>
            <w:vAlign w:val="center"/>
          </w:tcPr>
          <w:p w14:paraId="135944EF"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0.960</w:t>
            </w:r>
          </w:p>
        </w:tc>
      </w:tr>
      <w:tr w:rsidR="00DA1306" w:rsidRPr="00DA1306" w14:paraId="7498B8D4" w14:textId="77777777" w:rsidTr="00A35EF1">
        <w:trPr>
          <w:trHeight w:val="450"/>
        </w:trPr>
        <w:tc>
          <w:tcPr>
            <w:tcW w:w="3600" w:type="dxa"/>
            <w:vAlign w:val="center"/>
          </w:tcPr>
          <w:p w14:paraId="031C3957"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albumin (g/dL)</w:t>
            </w:r>
          </w:p>
        </w:tc>
        <w:tc>
          <w:tcPr>
            <w:tcW w:w="2430" w:type="dxa"/>
            <w:vAlign w:val="center"/>
          </w:tcPr>
          <w:p w14:paraId="6CD06724"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4.2 (4.1–4.3)</w:t>
            </w:r>
          </w:p>
        </w:tc>
        <w:tc>
          <w:tcPr>
            <w:tcW w:w="2160" w:type="dxa"/>
            <w:vAlign w:val="center"/>
          </w:tcPr>
          <w:p w14:paraId="1211B430"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4.0 (3.9–4.3)</w:t>
            </w:r>
          </w:p>
        </w:tc>
        <w:tc>
          <w:tcPr>
            <w:tcW w:w="922" w:type="dxa"/>
            <w:vAlign w:val="center"/>
          </w:tcPr>
          <w:p w14:paraId="4C3A5341"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0.389</w:t>
            </w:r>
          </w:p>
        </w:tc>
      </w:tr>
      <w:tr w:rsidR="00DA1306" w:rsidRPr="00DA1306" w14:paraId="2ED02C9E" w14:textId="77777777" w:rsidTr="00A35EF1">
        <w:trPr>
          <w:trHeight w:val="450"/>
        </w:trPr>
        <w:tc>
          <w:tcPr>
            <w:tcW w:w="3600" w:type="dxa"/>
            <w:vAlign w:val="center"/>
          </w:tcPr>
          <w:p w14:paraId="21F7A384"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calcium (mg/dL)</w:t>
            </w:r>
          </w:p>
        </w:tc>
        <w:tc>
          <w:tcPr>
            <w:tcW w:w="2430" w:type="dxa"/>
            <w:vAlign w:val="center"/>
          </w:tcPr>
          <w:p w14:paraId="3448B43A"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9.2 (9.0–9.4)</w:t>
            </w:r>
          </w:p>
        </w:tc>
        <w:tc>
          <w:tcPr>
            <w:tcW w:w="2160" w:type="dxa"/>
            <w:vAlign w:val="center"/>
          </w:tcPr>
          <w:p w14:paraId="6436F487"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8.9 (8.6–9.1)</w:t>
            </w:r>
          </w:p>
        </w:tc>
        <w:tc>
          <w:tcPr>
            <w:tcW w:w="922" w:type="dxa"/>
            <w:vAlign w:val="center"/>
          </w:tcPr>
          <w:p w14:paraId="2B4FC89E"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0.096</w:t>
            </w:r>
          </w:p>
        </w:tc>
      </w:tr>
      <w:tr w:rsidR="00DA1306" w:rsidRPr="00DA1306" w14:paraId="4CB5CF0C" w14:textId="77777777" w:rsidTr="00A35EF1">
        <w:trPr>
          <w:trHeight w:val="450"/>
        </w:trPr>
        <w:tc>
          <w:tcPr>
            <w:tcW w:w="3600" w:type="dxa"/>
            <w:vAlign w:val="center"/>
          </w:tcPr>
          <w:p w14:paraId="034C6D5D"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phosphorus (mg/dL)</w:t>
            </w:r>
          </w:p>
        </w:tc>
        <w:tc>
          <w:tcPr>
            <w:tcW w:w="2430" w:type="dxa"/>
            <w:vAlign w:val="center"/>
          </w:tcPr>
          <w:p w14:paraId="260C3299"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3.5 (3.2–3.7)</w:t>
            </w:r>
          </w:p>
        </w:tc>
        <w:tc>
          <w:tcPr>
            <w:tcW w:w="2160" w:type="dxa"/>
            <w:vAlign w:val="center"/>
          </w:tcPr>
          <w:p w14:paraId="3CFDD8B3"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4.7 (4.0-5.2)</w:t>
            </w:r>
          </w:p>
        </w:tc>
        <w:tc>
          <w:tcPr>
            <w:tcW w:w="922" w:type="dxa"/>
            <w:vAlign w:val="center"/>
          </w:tcPr>
          <w:p w14:paraId="716F0F96"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0.011</w:t>
            </w:r>
          </w:p>
        </w:tc>
      </w:tr>
      <w:tr w:rsidR="00DA1306" w:rsidRPr="00DA1306" w14:paraId="11F2D610" w14:textId="77777777" w:rsidTr="00A35EF1">
        <w:trPr>
          <w:trHeight w:val="475"/>
        </w:trPr>
        <w:tc>
          <w:tcPr>
            <w:tcW w:w="3600" w:type="dxa"/>
            <w:vAlign w:val="center"/>
          </w:tcPr>
          <w:p w14:paraId="75D4EC3A"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sodium (mmol/dL)</w:t>
            </w:r>
          </w:p>
        </w:tc>
        <w:tc>
          <w:tcPr>
            <w:tcW w:w="2430" w:type="dxa"/>
            <w:vAlign w:val="center"/>
          </w:tcPr>
          <w:p w14:paraId="04776A5B"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139.0 (188.0–141.5)</w:t>
            </w:r>
          </w:p>
        </w:tc>
        <w:tc>
          <w:tcPr>
            <w:tcW w:w="2160" w:type="dxa"/>
            <w:vAlign w:val="center"/>
          </w:tcPr>
          <w:p w14:paraId="7437CD24"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139.5 (139.0–140.8)</w:t>
            </w:r>
          </w:p>
        </w:tc>
        <w:tc>
          <w:tcPr>
            <w:tcW w:w="922" w:type="dxa"/>
            <w:vAlign w:val="center"/>
          </w:tcPr>
          <w:p w14:paraId="1BC5E51A"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0.721</w:t>
            </w:r>
          </w:p>
        </w:tc>
      </w:tr>
      <w:tr w:rsidR="00DA1306" w:rsidRPr="00DA1306" w14:paraId="42888B68" w14:textId="77777777" w:rsidTr="00A35EF1">
        <w:trPr>
          <w:trHeight w:val="112"/>
        </w:trPr>
        <w:tc>
          <w:tcPr>
            <w:tcW w:w="3600" w:type="dxa"/>
            <w:vAlign w:val="center"/>
          </w:tcPr>
          <w:p w14:paraId="2C0ADF75"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potassium (mmol/dL)</w:t>
            </w:r>
          </w:p>
        </w:tc>
        <w:tc>
          <w:tcPr>
            <w:tcW w:w="2430" w:type="dxa"/>
            <w:vAlign w:val="center"/>
          </w:tcPr>
          <w:p w14:paraId="382B5575"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4.6 (4.2–4.9)</w:t>
            </w:r>
          </w:p>
        </w:tc>
        <w:tc>
          <w:tcPr>
            <w:tcW w:w="2160" w:type="dxa"/>
            <w:vAlign w:val="center"/>
          </w:tcPr>
          <w:p w14:paraId="717A4E0E"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5.6 (5.2–6.1)</w:t>
            </w:r>
          </w:p>
        </w:tc>
        <w:tc>
          <w:tcPr>
            <w:tcW w:w="922" w:type="dxa"/>
            <w:vAlign w:val="center"/>
          </w:tcPr>
          <w:p w14:paraId="7C116625"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0.018</w:t>
            </w:r>
          </w:p>
        </w:tc>
      </w:tr>
      <w:tr w:rsidR="00AD5EC4" w:rsidRPr="00DA1306" w14:paraId="648B6DC6" w14:textId="77777777" w:rsidTr="00A35EF1">
        <w:trPr>
          <w:trHeight w:val="532"/>
        </w:trPr>
        <w:tc>
          <w:tcPr>
            <w:tcW w:w="3600" w:type="dxa"/>
            <w:tcBorders>
              <w:bottom w:val="single" w:sz="4" w:space="0" w:color="auto"/>
            </w:tcBorders>
            <w:vAlign w:val="center"/>
          </w:tcPr>
          <w:p w14:paraId="0B58F943" w14:textId="77777777" w:rsidR="00AD5EC4" w:rsidRPr="00DA1306" w:rsidRDefault="00AD5EC4" w:rsidP="00A35EF1">
            <w:pPr>
              <w:spacing w:after="0" w:line="360" w:lineRule="auto"/>
              <w:contextualSpacing/>
              <w:rPr>
                <w:rFonts w:eastAsia="HYSinMyeongJo-Medium" w:cs="Times New Roman"/>
                <w:sz w:val="20"/>
                <w:szCs w:val="20"/>
              </w:rPr>
            </w:pPr>
            <w:r w:rsidRPr="00DA1306">
              <w:rPr>
                <w:rFonts w:eastAsia="HYSinMyeongJo-Medium" w:cs="Times New Roman"/>
                <w:sz w:val="20"/>
                <w:szCs w:val="20"/>
              </w:rPr>
              <w:t>total CO</w:t>
            </w:r>
            <w:r w:rsidRPr="00DA1306">
              <w:rPr>
                <w:rFonts w:eastAsia="HYSinMyeongJo-Medium" w:cs="Times New Roman"/>
                <w:sz w:val="20"/>
                <w:szCs w:val="20"/>
                <w:vertAlign w:val="subscript"/>
              </w:rPr>
              <w:t>2</w:t>
            </w:r>
            <w:r w:rsidRPr="00DA1306">
              <w:rPr>
                <w:rFonts w:eastAsia="HYSinMyeongJo-Medium" w:cs="Times New Roman"/>
                <w:sz w:val="20"/>
                <w:szCs w:val="20"/>
              </w:rPr>
              <w:t xml:space="preserve"> (mg/dL)</w:t>
            </w:r>
          </w:p>
        </w:tc>
        <w:tc>
          <w:tcPr>
            <w:tcW w:w="2430" w:type="dxa"/>
            <w:tcBorders>
              <w:bottom w:val="single" w:sz="4" w:space="0" w:color="auto"/>
            </w:tcBorders>
            <w:vAlign w:val="center"/>
          </w:tcPr>
          <w:p w14:paraId="6F5F4911"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27.0 (24.8–28.8)</w:t>
            </w:r>
          </w:p>
        </w:tc>
        <w:tc>
          <w:tcPr>
            <w:tcW w:w="2160" w:type="dxa"/>
            <w:tcBorders>
              <w:bottom w:val="single" w:sz="4" w:space="0" w:color="auto"/>
            </w:tcBorders>
            <w:vAlign w:val="center"/>
          </w:tcPr>
          <w:p w14:paraId="35830730"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21.0 (20.0–22.0)</w:t>
            </w:r>
          </w:p>
        </w:tc>
        <w:tc>
          <w:tcPr>
            <w:tcW w:w="922" w:type="dxa"/>
            <w:tcBorders>
              <w:bottom w:val="single" w:sz="4" w:space="0" w:color="auto"/>
            </w:tcBorders>
            <w:vAlign w:val="center"/>
          </w:tcPr>
          <w:p w14:paraId="7EB79992" w14:textId="77777777" w:rsidR="00AD5EC4" w:rsidRPr="00DA1306" w:rsidRDefault="00AD5EC4" w:rsidP="00A35EF1">
            <w:pPr>
              <w:spacing w:after="0" w:line="360" w:lineRule="auto"/>
              <w:contextualSpacing/>
              <w:jc w:val="center"/>
              <w:rPr>
                <w:rFonts w:eastAsia="HYSinMyeongJo-Medium" w:cs="Times New Roman"/>
                <w:sz w:val="20"/>
                <w:szCs w:val="20"/>
              </w:rPr>
            </w:pPr>
            <w:r w:rsidRPr="00DA1306">
              <w:rPr>
                <w:rFonts w:eastAsia="HYSinMyeongJo-Medium" w:cs="Times New Roman"/>
                <w:sz w:val="20"/>
                <w:szCs w:val="20"/>
              </w:rPr>
              <w:t>0.154</w:t>
            </w:r>
          </w:p>
        </w:tc>
      </w:tr>
    </w:tbl>
    <w:p w14:paraId="53FF28CF" w14:textId="77777777" w:rsidR="00AD5EC4" w:rsidRPr="00DA1306" w:rsidRDefault="00AD5EC4" w:rsidP="00AD5EC4">
      <w:pPr>
        <w:spacing w:after="0" w:line="360" w:lineRule="auto"/>
        <w:jc w:val="both"/>
        <w:rPr>
          <w:rFonts w:eastAsia="HYSinMyeongJo-Medium" w:cs="Times New Roman"/>
        </w:rPr>
      </w:pPr>
    </w:p>
    <w:p w14:paraId="7ECD6BE8" w14:textId="77777777" w:rsidR="00AD5EC4" w:rsidRPr="00DA1306" w:rsidRDefault="00AD5EC4" w:rsidP="00AD5EC4">
      <w:pPr>
        <w:spacing w:after="0" w:line="360" w:lineRule="auto"/>
        <w:jc w:val="both"/>
        <w:rPr>
          <w:rFonts w:eastAsia="HYSinMyeongJo-Medium" w:cs="Times New Roman"/>
        </w:rPr>
      </w:pPr>
      <w:r w:rsidRPr="00DA1306">
        <w:rPr>
          <w:rFonts w:eastAsia="HYSinMyeongJo-Medium" w:cs="Times New Roman"/>
        </w:rPr>
        <w:t xml:space="preserve">The data are presented as </w:t>
      </w:r>
      <w:r w:rsidRPr="00DA1306">
        <w:rPr>
          <w:rFonts w:eastAsia="HYSinMyeongJo-Medium" w:cs="Times New Roman"/>
          <w:i/>
          <w:iCs/>
        </w:rPr>
        <w:t>n</w:t>
      </w:r>
      <w:r w:rsidRPr="00DA1306">
        <w:rPr>
          <w:rFonts w:eastAsia="HYSinMyeongJo-Medium" w:cs="Times New Roman"/>
        </w:rPr>
        <w:t xml:space="preserve"> (%) or median (interquartile ranges).</w:t>
      </w:r>
    </w:p>
    <w:p w14:paraId="29B193E6" w14:textId="77777777" w:rsidR="00AD5EC4" w:rsidRPr="00DA1306" w:rsidRDefault="00AD5EC4" w:rsidP="00AD5EC4">
      <w:pPr>
        <w:spacing w:after="0" w:line="360" w:lineRule="auto"/>
        <w:jc w:val="both"/>
        <w:rPr>
          <w:rFonts w:eastAsia="HYSinMyeongJo-Medium" w:cs="Times New Roman"/>
        </w:rPr>
      </w:pPr>
      <w:r w:rsidRPr="00DA1306">
        <w:rPr>
          <w:rFonts w:eastAsia="HYSinMyeongJo-Medium" w:cs="Times New Roman"/>
        </w:rPr>
        <w:t>eGFR = estimated glomerular filtration rate, UPCR = urine protein to creatinine ratio, WBC = white blood cell</w:t>
      </w:r>
    </w:p>
    <w:p w14:paraId="1C83B8B2" w14:textId="77777777" w:rsidR="00AD5EC4" w:rsidRPr="00DA1306" w:rsidRDefault="00AD5EC4" w:rsidP="00AD5EC4">
      <w:pPr>
        <w:spacing w:after="0" w:line="360" w:lineRule="auto"/>
        <w:rPr>
          <w:rFonts w:cs="Times New Roman"/>
        </w:rPr>
      </w:pPr>
      <w:r w:rsidRPr="00DA1306">
        <w:rPr>
          <w:rFonts w:cs="Times New Roman"/>
        </w:rPr>
        <w:t>eGFR decline was calculated by subtracting the final eGFR from the GFR measured at the time of blood sampling, and the difference was divided by the total number of years of follow-up</w:t>
      </w:r>
    </w:p>
    <w:p w14:paraId="04514BDA" w14:textId="77777777" w:rsidR="00F81042" w:rsidRPr="00DA1306" w:rsidRDefault="00F81042" w:rsidP="00F81042">
      <w:pPr>
        <w:spacing w:after="0" w:line="360" w:lineRule="auto"/>
        <w:jc w:val="both"/>
        <w:rPr>
          <w:rFonts w:cs="Times New Roman"/>
          <w:b/>
          <w:sz w:val="24"/>
          <w:szCs w:val="24"/>
        </w:rPr>
      </w:pPr>
    </w:p>
    <w:sectPr w:rsidR="00F81042" w:rsidRPr="00DA1306" w:rsidSect="009B53EF">
      <w:footerReference w:type="default" r:id="rId12"/>
      <w:pgSz w:w="12240" w:h="15840" w:code="1"/>
      <w:pgMar w:top="1440" w:right="1440" w:bottom="1699"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12335" w14:textId="77777777" w:rsidR="00465AA0" w:rsidRDefault="00465AA0">
      <w:pPr>
        <w:spacing w:after="0" w:line="240" w:lineRule="auto"/>
      </w:pPr>
      <w:r>
        <w:separator/>
      </w:r>
    </w:p>
  </w:endnote>
  <w:endnote w:type="continuationSeparator" w:id="0">
    <w:p w14:paraId="2E8E1870" w14:textId="77777777" w:rsidR="00465AA0" w:rsidRDefault="00465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YSinMyeongJo-Medium">
    <w:altName w:val="Batang"/>
    <w:charset w:val="81"/>
    <w:family w:val="roman"/>
    <w:pitch w:val="variable"/>
    <w:sig w:usb0="900002A7" w:usb1="29D77CF9" w:usb2="00000010" w:usb3="00000000" w:csb0="0008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5875135"/>
      <w:docPartObj>
        <w:docPartGallery w:val="Page Numbers (Bottom of Page)"/>
        <w:docPartUnique/>
      </w:docPartObj>
    </w:sdtPr>
    <w:sdtEndPr/>
    <w:sdtContent>
      <w:p w14:paraId="707F913B" w14:textId="77777777" w:rsidR="00AC420B" w:rsidRDefault="00590347">
        <w:pPr>
          <w:pStyle w:val="Footer"/>
          <w:jc w:val="center"/>
        </w:pPr>
        <w:r>
          <w:fldChar w:fldCharType="begin"/>
        </w:r>
        <w:r>
          <w:instrText>PAGE   \* MERGEFORMAT</w:instrText>
        </w:r>
        <w:r>
          <w:fldChar w:fldCharType="separate"/>
        </w:r>
        <w:r w:rsidR="00590398" w:rsidRPr="00590398">
          <w:rPr>
            <w:noProof/>
            <w:lang w:val="ko-KR"/>
          </w:rPr>
          <w:t>4</w:t>
        </w:r>
        <w:r>
          <w:fldChar w:fldCharType="end"/>
        </w:r>
      </w:p>
    </w:sdtContent>
  </w:sdt>
  <w:p w14:paraId="68F36996" w14:textId="77777777" w:rsidR="00AC420B" w:rsidRDefault="00AC42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45BDA" w14:textId="77777777" w:rsidR="00465AA0" w:rsidRDefault="00465AA0">
      <w:pPr>
        <w:spacing w:after="0" w:line="240" w:lineRule="auto"/>
      </w:pPr>
      <w:r>
        <w:separator/>
      </w:r>
    </w:p>
  </w:footnote>
  <w:footnote w:type="continuationSeparator" w:id="0">
    <w:p w14:paraId="1C1B6A2D" w14:textId="77777777" w:rsidR="00465AA0" w:rsidRDefault="00465A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A 11th&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E74281"/>
    <w:rsid w:val="000005DA"/>
    <w:rsid w:val="00027C00"/>
    <w:rsid w:val="000A6D39"/>
    <w:rsid w:val="000E4E73"/>
    <w:rsid w:val="0011736E"/>
    <w:rsid w:val="001341B9"/>
    <w:rsid w:val="00143E2D"/>
    <w:rsid w:val="00144933"/>
    <w:rsid w:val="00170767"/>
    <w:rsid w:val="00182370"/>
    <w:rsid w:val="001A206D"/>
    <w:rsid w:val="00231E18"/>
    <w:rsid w:val="00262A5B"/>
    <w:rsid w:val="002C4CAF"/>
    <w:rsid w:val="002D0CE1"/>
    <w:rsid w:val="002E10F0"/>
    <w:rsid w:val="002E4400"/>
    <w:rsid w:val="00302CB1"/>
    <w:rsid w:val="00324327"/>
    <w:rsid w:val="00365B3D"/>
    <w:rsid w:val="003732E3"/>
    <w:rsid w:val="003A608B"/>
    <w:rsid w:val="003B4CC5"/>
    <w:rsid w:val="003C7C9E"/>
    <w:rsid w:val="003E1CBA"/>
    <w:rsid w:val="004152F3"/>
    <w:rsid w:val="00430C72"/>
    <w:rsid w:val="00465AA0"/>
    <w:rsid w:val="00465D2D"/>
    <w:rsid w:val="0046795C"/>
    <w:rsid w:val="004807A4"/>
    <w:rsid w:val="004D0BDC"/>
    <w:rsid w:val="00500AE4"/>
    <w:rsid w:val="00556EC6"/>
    <w:rsid w:val="00571C11"/>
    <w:rsid w:val="00590347"/>
    <w:rsid w:val="00590398"/>
    <w:rsid w:val="005925C6"/>
    <w:rsid w:val="005D0E87"/>
    <w:rsid w:val="005F17DF"/>
    <w:rsid w:val="00626939"/>
    <w:rsid w:val="00643067"/>
    <w:rsid w:val="0066239F"/>
    <w:rsid w:val="00667631"/>
    <w:rsid w:val="006D1DE7"/>
    <w:rsid w:val="006D6120"/>
    <w:rsid w:val="006E2F47"/>
    <w:rsid w:val="006E3928"/>
    <w:rsid w:val="006F4E0E"/>
    <w:rsid w:val="006F4E54"/>
    <w:rsid w:val="0079495C"/>
    <w:rsid w:val="00810244"/>
    <w:rsid w:val="0085629D"/>
    <w:rsid w:val="008F16EE"/>
    <w:rsid w:val="00911267"/>
    <w:rsid w:val="00962187"/>
    <w:rsid w:val="00991A71"/>
    <w:rsid w:val="009A567E"/>
    <w:rsid w:val="009B53EF"/>
    <w:rsid w:val="00A92920"/>
    <w:rsid w:val="00AA4EB1"/>
    <w:rsid w:val="00AC420B"/>
    <w:rsid w:val="00AD5EC4"/>
    <w:rsid w:val="00AF74E2"/>
    <w:rsid w:val="00B343D3"/>
    <w:rsid w:val="00B5243C"/>
    <w:rsid w:val="00BA2766"/>
    <w:rsid w:val="00BA2EC1"/>
    <w:rsid w:val="00BC5E9B"/>
    <w:rsid w:val="00C11965"/>
    <w:rsid w:val="00C11F69"/>
    <w:rsid w:val="00C62E9A"/>
    <w:rsid w:val="00C81E0A"/>
    <w:rsid w:val="00C9369A"/>
    <w:rsid w:val="00D21673"/>
    <w:rsid w:val="00D24A66"/>
    <w:rsid w:val="00D24ECD"/>
    <w:rsid w:val="00D40263"/>
    <w:rsid w:val="00D81337"/>
    <w:rsid w:val="00DA1306"/>
    <w:rsid w:val="00DA1EA1"/>
    <w:rsid w:val="00DF1CED"/>
    <w:rsid w:val="00DF58E9"/>
    <w:rsid w:val="00E20C51"/>
    <w:rsid w:val="00E74281"/>
    <w:rsid w:val="00E81CC4"/>
    <w:rsid w:val="00EA3A22"/>
    <w:rsid w:val="00ED4CFB"/>
    <w:rsid w:val="00ED6112"/>
    <w:rsid w:val="00F2077F"/>
    <w:rsid w:val="00F81042"/>
    <w:rsid w:val="00FA119E"/>
    <w:rsid w:val="00FA67BC"/>
    <w:rsid w:val="00FF4CC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917891"/>
  <w15:chartTrackingRefBased/>
  <w15:docId w15:val="{54479CBE-9924-497F-900B-CA332E13B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C51"/>
    <w:pPr>
      <w:jc w:val="left"/>
    </w:pPr>
    <w:rPr>
      <w:rFonts w:ascii="Times New Roman" w:hAnsi="Times New Roman"/>
      <w:kern w:val="0"/>
      <w:sz w:val="22"/>
    </w:rPr>
  </w:style>
  <w:style w:type="paragraph" w:styleId="Heading1">
    <w:name w:val="heading 1"/>
    <w:basedOn w:val="Normal"/>
    <w:next w:val="Normal"/>
    <w:link w:val="Heading1Char"/>
    <w:uiPriority w:val="9"/>
    <w:qFormat/>
    <w:rsid w:val="001A206D"/>
    <w:pPr>
      <w:keepNext/>
      <w:outlineLvl w:val="0"/>
    </w:pPr>
    <w:rPr>
      <w:rFonts w:asciiTheme="majorHAnsi" w:eastAsiaTheme="majorEastAsia" w:hAnsiTheme="majorHAnsi" w:cstheme="majorBid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E0E"/>
    <w:rPr>
      <w:rFonts w:ascii="Times New Roman" w:hAnsi="Times New Roman"/>
      <w:kern w:val="0"/>
      <w:sz w:val="22"/>
    </w:rPr>
  </w:style>
  <w:style w:type="character" w:styleId="LineNumber">
    <w:name w:val="line number"/>
    <w:basedOn w:val="DefaultParagraphFont"/>
    <w:uiPriority w:val="99"/>
    <w:semiHidden/>
    <w:unhideWhenUsed/>
    <w:rsid w:val="006F4E0E"/>
  </w:style>
  <w:style w:type="paragraph" w:customStyle="1" w:styleId="EndNoteBibliographyTitle">
    <w:name w:val="EndNote Bibliography Title"/>
    <w:basedOn w:val="Normal"/>
    <w:link w:val="EndNoteBibliographyTitleChar"/>
    <w:rsid w:val="00500AE4"/>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500AE4"/>
    <w:rPr>
      <w:rFonts w:ascii="Times New Roman" w:hAnsi="Times New Roman" w:cs="Times New Roman"/>
      <w:noProof/>
      <w:kern w:val="0"/>
      <w:sz w:val="22"/>
    </w:rPr>
  </w:style>
  <w:style w:type="paragraph" w:customStyle="1" w:styleId="EndNoteBibliography">
    <w:name w:val="EndNote Bibliography"/>
    <w:basedOn w:val="Normal"/>
    <w:link w:val="EndNoteBibliographyChar"/>
    <w:rsid w:val="00500AE4"/>
    <w:pPr>
      <w:spacing w:line="240" w:lineRule="auto"/>
    </w:pPr>
    <w:rPr>
      <w:rFonts w:cs="Times New Roman"/>
      <w:noProof/>
    </w:rPr>
  </w:style>
  <w:style w:type="character" w:customStyle="1" w:styleId="EndNoteBibliographyChar">
    <w:name w:val="EndNote Bibliography Char"/>
    <w:basedOn w:val="DefaultParagraphFont"/>
    <w:link w:val="EndNoteBibliography"/>
    <w:rsid w:val="00500AE4"/>
    <w:rPr>
      <w:rFonts w:ascii="Times New Roman" w:hAnsi="Times New Roman" w:cs="Times New Roman"/>
      <w:noProof/>
      <w:kern w:val="0"/>
      <w:sz w:val="22"/>
    </w:rPr>
  </w:style>
  <w:style w:type="paragraph" w:styleId="TOC1">
    <w:name w:val="toc 1"/>
    <w:basedOn w:val="Normal"/>
    <w:next w:val="Normal"/>
    <w:autoRedefine/>
    <w:uiPriority w:val="39"/>
    <w:unhideWhenUsed/>
    <w:qFormat/>
    <w:rsid w:val="00262A5B"/>
    <w:pPr>
      <w:widowControl w:val="0"/>
      <w:tabs>
        <w:tab w:val="right" w:leader="dot" w:pos="7200"/>
      </w:tabs>
      <w:wordWrap w:val="0"/>
      <w:autoSpaceDE w:val="0"/>
      <w:autoSpaceDN w:val="0"/>
      <w:spacing w:after="0" w:line="240" w:lineRule="auto"/>
      <w:jc w:val="both"/>
    </w:pPr>
    <w:rPr>
      <w:rFonts w:ascii="Cambria Math" w:eastAsia="Cambria Math" w:hAnsi="Batang" w:cs="Batang"/>
      <w:b/>
      <w:noProof/>
      <w:kern w:val="2"/>
      <w:sz w:val="24"/>
      <w:szCs w:val="24"/>
    </w:rPr>
  </w:style>
  <w:style w:type="character" w:customStyle="1" w:styleId="Heading1Char">
    <w:name w:val="Heading 1 Char"/>
    <w:basedOn w:val="DefaultParagraphFont"/>
    <w:link w:val="Heading1"/>
    <w:uiPriority w:val="9"/>
    <w:rsid w:val="001A206D"/>
    <w:rPr>
      <w:rFonts w:asciiTheme="majorHAnsi" w:eastAsiaTheme="majorEastAsia" w:hAnsiTheme="majorHAnsi" w:cstheme="majorBidi"/>
      <w:kern w:val="0"/>
      <w:sz w:val="28"/>
      <w:szCs w:val="28"/>
    </w:rPr>
  </w:style>
  <w:style w:type="paragraph" w:styleId="TOCHeading">
    <w:name w:val="TOC Heading"/>
    <w:basedOn w:val="Heading1"/>
    <w:next w:val="Normal"/>
    <w:uiPriority w:val="39"/>
    <w:unhideWhenUsed/>
    <w:qFormat/>
    <w:rsid w:val="001A206D"/>
    <w:pPr>
      <w:keepLines/>
      <w:spacing w:before="240" w:after="0"/>
      <w:outlineLvl w:val="9"/>
    </w:pPr>
    <w:rPr>
      <w:color w:val="2F5496" w:themeColor="accent1" w:themeShade="BF"/>
      <w:sz w:val="32"/>
      <w:szCs w:val="32"/>
    </w:rPr>
  </w:style>
  <w:style w:type="paragraph" w:styleId="TOC2">
    <w:name w:val="toc 2"/>
    <w:basedOn w:val="Normal"/>
    <w:next w:val="Normal"/>
    <w:autoRedefine/>
    <w:uiPriority w:val="39"/>
    <w:unhideWhenUsed/>
    <w:rsid w:val="001A206D"/>
    <w:pPr>
      <w:spacing w:after="100"/>
      <w:ind w:left="220"/>
    </w:pPr>
    <w:rPr>
      <w:rFonts w:asciiTheme="minorHAnsi" w:hAnsiTheme="minorHAnsi" w:cs="Times New Roman"/>
    </w:rPr>
  </w:style>
  <w:style w:type="paragraph" w:styleId="TOC3">
    <w:name w:val="toc 3"/>
    <w:basedOn w:val="Normal"/>
    <w:next w:val="Normal"/>
    <w:autoRedefine/>
    <w:uiPriority w:val="39"/>
    <w:unhideWhenUsed/>
    <w:rsid w:val="001A206D"/>
    <w:pPr>
      <w:spacing w:after="100"/>
      <w:ind w:left="440"/>
    </w:pPr>
    <w:rPr>
      <w:rFonts w:asciiTheme="minorHAnsi" w:hAnsiTheme="minorHAnsi" w:cs="Times New Roman"/>
    </w:rPr>
  </w:style>
  <w:style w:type="table" w:styleId="TableGrid">
    <w:name w:val="Table Grid"/>
    <w:basedOn w:val="TableNormal"/>
    <w:uiPriority w:val="39"/>
    <w:rsid w:val="00F81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lative">
    <w:name w:val="relative"/>
    <w:basedOn w:val="DefaultParagraphFont"/>
    <w:rsid w:val="00F81042"/>
  </w:style>
  <w:style w:type="paragraph" w:styleId="BalloonText">
    <w:name w:val="Balloon Text"/>
    <w:basedOn w:val="Normal"/>
    <w:link w:val="BalloonTextChar"/>
    <w:uiPriority w:val="99"/>
    <w:semiHidden/>
    <w:unhideWhenUsed/>
    <w:rsid w:val="00365B3D"/>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365B3D"/>
    <w:rPr>
      <w:rFonts w:asciiTheme="majorHAnsi" w:eastAsiaTheme="majorEastAsia" w:hAnsiTheme="majorHAnsi" w:cstheme="majorBidi"/>
      <w:kern w:val="0"/>
      <w:sz w:val="18"/>
      <w:szCs w:val="18"/>
    </w:rPr>
  </w:style>
  <w:style w:type="paragraph" w:styleId="Revision">
    <w:name w:val="Revision"/>
    <w:hidden/>
    <w:uiPriority w:val="99"/>
    <w:semiHidden/>
    <w:rsid w:val="00365B3D"/>
    <w:pPr>
      <w:spacing w:after="0" w:line="240" w:lineRule="auto"/>
      <w:jc w:val="left"/>
    </w:pPr>
    <w:rPr>
      <w:rFonts w:ascii="Times New Roman" w:hAnsi="Times New Roma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819E8-DA62-4604-96D9-F717A09F5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1282</Words>
  <Characters>7310</Characters>
  <Application>Microsoft Office Word</Application>
  <DocSecurity>0</DocSecurity>
  <Lines>60</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계정</dc:creator>
  <cp:keywords/>
  <dc:description/>
  <cp:lastModifiedBy>Navaneethakrishnan M Mookan A</cp:lastModifiedBy>
  <cp:revision>3</cp:revision>
  <dcterms:created xsi:type="dcterms:W3CDTF">2025-11-24T23:38:00Z</dcterms:created>
  <dcterms:modified xsi:type="dcterms:W3CDTF">2025-12-19T14:26:00Z</dcterms:modified>
</cp:coreProperties>
</file>