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48FD" w14:textId="77777777" w:rsidR="00306309" w:rsidRDefault="00306309" w:rsidP="00306309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Supplementary data:</w:t>
      </w:r>
    </w:p>
    <w:p w14:paraId="1755F9FD" w14:textId="77777777" w:rsidR="00306309" w:rsidRDefault="00306309" w:rsidP="00306309">
      <w:pPr>
        <w:rPr>
          <w:b/>
          <w:bCs/>
        </w:rPr>
      </w:pPr>
    </w:p>
    <w:p w14:paraId="58641DD9" w14:textId="77777777" w:rsidR="00306309" w:rsidRDefault="00306309" w:rsidP="003063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</w:t>
      </w:r>
      <w:r w:rsidRPr="00BB1688">
        <w:rPr>
          <w:rFonts w:ascii="Times New Roman" w:hAnsi="Times New Roman" w:cs="Times New Roman"/>
          <w:b/>
          <w:bCs/>
        </w:rPr>
        <w:t>igure 1.</w:t>
      </w:r>
    </w:p>
    <w:p w14:paraId="13D9FDDA" w14:textId="77777777" w:rsidR="00306309" w:rsidRDefault="00306309" w:rsidP="00306309">
      <w:pPr>
        <w:rPr>
          <w:rFonts w:ascii="Times New Roman" w:hAnsi="Times New Roman" w:cs="Times New Roman"/>
          <w:b/>
          <w:bCs/>
        </w:rPr>
      </w:pPr>
    </w:p>
    <w:tbl>
      <w:tblPr>
        <w:tblW w:w="13719" w:type="dxa"/>
        <w:tblLook w:val="04A0" w:firstRow="1" w:lastRow="0" w:firstColumn="1" w:lastColumn="0" w:noHBand="0" w:noVBand="1"/>
      </w:tblPr>
      <w:tblGrid>
        <w:gridCol w:w="1975"/>
        <w:gridCol w:w="3330"/>
        <w:gridCol w:w="1650"/>
        <w:gridCol w:w="1352"/>
        <w:gridCol w:w="1351"/>
        <w:gridCol w:w="1351"/>
        <w:gridCol w:w="1349"/>
        <w:gridCol w:w="1361"/>
      </w:tblGrid>
      <w:tr w:rsidR="00306309" w:rsidRPr="00A83D03" w14:paraId="1D5F328D" w14:textId="77777777" w:rsidTr="00F2312D">
        <w:trPr>
          <w:trHeight w:val="32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C5CE1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Protein Target(s)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3DE90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Sequence (heavy isotope in bold)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DDDF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Precursor m/z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9AB5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Product m/z (Collision Energy)</w:t>
            </w:r>
          </w:p>
        </w:tc>
      </w:tr>
      <w:tr w:rsidR="00306309" w:rsidRPr="00A83D03" w14:paraId="309EDFF7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30E0E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MT1 &amp; MT2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F3030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AQG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87A01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498.7066++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D46A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836.4+ (20)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CBA7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765.3+ (17)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AC88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637.3+ (17)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C376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580.3+ (17)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5D5F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306309" w:rsidRPr="00A83D03" w14:paraId="37B60A00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2E22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MT1 &amp; MT2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A6FF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AQG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7593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502.7137++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642B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844.4+ (20)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A0EA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773.4+ (17)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0913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645.3+ (17)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F59B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588.3+ (17)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2D6C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306309" w:rsidRPr="00A83D03" w14:paraId="049FAB9B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A71F2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MT3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249D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GGEAAEAEAEK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7EA1D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531.2409++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D441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818.4+ (18)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ABD7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747.4+ (18)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3492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676.3+ (18)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A75F2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347.2+ (27)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BACC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306309" w:rsidRPr="00A83D03" w14:paraId="1B375F4D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708F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MT3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FB34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GGEAAEAEAE</w:t>
            </w:r>
            <w:r w:rsidRPr="00A83D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DE35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535.248++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7690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826.4+ (18)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61FD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755.4+ (18)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16310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684.3+ (18)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2275D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355.2+ (27)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D10B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306309" w:rsidRPr="00A83D03" w14:paraId="7ED54BA7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FDB80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Park7 (DJ-1)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47EC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DVVI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PDASLEDAK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FE0B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766.3691++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BEF0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1105.5+ (25)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E65C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945.5+ (25)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3ECB2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215.1+ (25)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C3B4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314.2+ (25)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C2CF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427.3+ (25)</w:t>
            </w:r>
          </w:p>
        </w:tc>
      </w:tr>
      <w:tr w:rsidR="00306309" w:rsidRPr="00A83D03" w14:paraId="52537489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43CA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GPX1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7BD98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</w:t>
            </w: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EVNGAGAHPLFAFLR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12B6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586.9629++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B480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863.5+ (16)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6985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653.4+ (16)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042F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685.9++ (16)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5B80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628.8++ (16)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1A428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432.3++ (16)</w:t>
            </w:r>
          </w:p>
        </w:tc>
      </w:tr>
      <w:tr w:rsidR="00306309" w:rsidRPr="00A83D03" w14:paraId="441DB6E2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A9C1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GFAP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2DC8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DNLAQDLATVR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3B78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608.3200++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5B47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873.5+ (20)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989C1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802.4+ (20)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69E5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674.4+ (20)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602D1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230.1+ (20)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6EC2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343.2+ (20)</w:t>
            </w:r>
          </w:p>
        </w:tc>
      </w:tr>
      <w:tr w:rsidR="00306309" w:rsidRPr="00A83D03" w14:paraId="597D21BF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DD07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GAPDH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379A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GALQNIIPASTGAAK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F421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706.3988++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6D282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1042.6+ (23)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6858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815.5+ (23)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CECF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702.4+ (23)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AF182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242.1+ (23)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FC9CA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597.3+ (23)</w:t>
            </w:r>
          </w:p>
        </w:tc>
      </w:tr>
      <w:tr w:rsidR="00306309" w:rsidRPr="00A83D03" w14:paraId="789B60B0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494A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CCS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76C3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SLIIDEGEDDLGR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02205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716.3517++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60D0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1118.5+ (23)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FB9D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1005.4+ (23)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A1CB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890.44+ (23)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C729E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761.3+ (23)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60505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345.2+ (23)</w:t>
            </w:r>
          </w:p>
        </w:tc>
      </w:tr>
      <w:tr w:rsidR="00306309" w:rsidRPr="00A83D03" w14:paraId="79805A8D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931E6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SOD1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C4F65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TLVVHEK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EC5DC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275.8325+++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95F8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512.3+ (5)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30A13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413.2+ (5)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645A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362.7++ (5)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C08B1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306.2++ (5)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6380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306309" w:rsidRPr="00A83D03" w14:paraId="7EBDE000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ED6B9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ATOX1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048A7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YDIDLPNK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01984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489.2506++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FB78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699.4+ (16)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1A20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586.3+ (16)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4142B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471.3+ (16)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68798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358.2+ (16)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CA11F" w14:textId="77777777" w:rsidR="00306309" w:rsidRPr="00A83D03" w:rsidRDefault="00306309" w:rsidP="00F2312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83D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279.1+ (16)</w:t>
            </w:r>
          </w:p>
        </w:tc>
      </w:tr>
      <w:tr w:rsidR="00306309" w:rsidRPr="00A83D03" w14:paraId="55470417" w14:textId="77777777" w:rsidTr="00F2312D">
        <w:trPr>
          <w:trHeight w:val="326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539D" w14:textId="77777777" w:rsidR="00306309" w:rsidRPr="00A83D03" w:rsidRDefault="00306309" w:rsidP="00F2312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925E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DBF0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88471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BF5D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243B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D647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62C0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06309" w:rsidRPr="00A83D03" w14:paraId="629B9E96" w14:textId="77777777" w:rsidTr="00F2312D">
        <w:trPr>
          <w:trHeight w:val="326"/>
        </w:trPr>
        <w:tc>
          <w:tcPr>
            <w:tcW w:w="6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C3DE" w14:textId="77777777" w:rsidR="00306309" w:rsidRPr="00A83D03" w:rsidRDefault="00306309" w:rsidP="00F2312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E980" w14:textId="77777777" w:rsidR="00306309" w:rsidRPr="00A83D03" w:rsidRDefault="00306309" w:rsidP="00F2312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A2C5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6684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28EAD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4994" w14:textId="77777777" w:rsidR="00306309" w:rsidRPr="00A83D03" w:rsidRDefault="00306309" w:rsidP="00F23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71FC8F2" w14:textId="77777777" w:rsidR="00306309" w:rsidRPr="00181A1E" w:rsidRDefault="00306309" w:rsidP="00306309">
      <w:pPr>
        <w:jc w:val="both"/>
        <w:rPr>
          <w:rFonts w:ascii="Times New Roman" w:hAnsi="Times New Roman" w:cs="Times New Roman"/>
          <w:i/>
          <w:iCs/>
        </w:rPr>
      </w:pPr>
      <w:r w:rsidRPr="00181A1E">
        <w:rPr>
          <w:rFonts w:ascii="Times New Roman" w:hAnsi="Times New Roman" w:cs="Times New Roman"/>
          <w:b/>
          <w:bCs/>
          <w:i/>
          <w:iCs/>
        </w:rPr>
        <w:t xml:space="preserve">Supplementary figure 1. </w:t>
      </w:r>
      <w:r w:rsidRPr="00181A1E">
        <w:rPr>
          <w:rFonts w:ascii="Times New Roman" w:hAnsi="Times New Roman" w:cs="Times New Roman"/>
          <w:i/>
          <w:iCs/>
        </w:rPr>
        <w:t>Overview of peptides used for LC-MS/MS identification of target proteins with their associated precursor/product ion masses (Da) and charge states (indicated by number of ‘+’ symbols). Energies (eV) used to generate product ions by collision-induced dissociation (CID) are detailed in parentheses.</w:t>
      </w:r>
      <w:r w:rsidRPr="00181A1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181A1E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C</w:t>
      </w:r>
      <w:r w:rsidRPr="00181A1E">
        <w:rPr>
          <w:rFonts w:ascii="Times New Roman" w:hAnsi="Times New Roman" w:cs="Times New Roman"/>
          <w:i/>
          <w:iCs/>
        </w:rPr>
        <w:t>ysteine residues (</w:t>
      </w:r>
      <w:r w:rsidRPr="00181A1E">
        <w:rPr>
          <w:rFonts w:ascii="Times New Roman" w:hAnsi="Times New Roman" w:cs="Times New Roman"/>
          <w:i/>
          <w:iCs/>
          <w:u w:val="single"/>
        </w:rPr>
        <w:t>C)</w:t>
      </w:r>
      <w:r w:rsidRPr="00181A1E">
        <w:rPr>
          <w:rFonts w:ascii="Times New Roman" w:hAnsi="Times New Roman" w:cs="Times New Roman"/>
          <w:i/>
          <w:iCs/>
        </w:rPr>
        <w:t xml:space="preserve"> were monitored as the carbamidomethyl form (+57.021464 Da). Heavy isotope labelled lysine residues (</w:t>
      </w:r>
      <w:r w:rsidRPr="00181A1E">
        <w:rPr>
          <w:rFonts w:ascii="Times New Roman" w:hAnsi="Times New Roman" w:cs="Times New Roman"/>
          <w:i/>
          <w:iCs/>
          <w:vertAlign w:val="superscript"/>
        </w:rPr>
        <w:t>13</w:t>
      </w:r>
      <w:r w:rsidRPr="00181A1E">
        <w:rPr>
          <w:rFonts w:ascii="Times New Roman" w:hAnsi="Times New Roman" w:cs="Times New Roman"/>
          <w:i/>
          <w:iCs/>
        </w:rPr>
        <w:t>C-lysine, +8 Da) are indicated with ‘K’ in boldface.</w:t>
      </w:r>
    </w:p>
    <w:p w14:paraId="085C434C" w14:textId="77777777" w:rsidR="00306309" w:rsidRPr="00C871FC" w:rsidRDefault="00306309" w:rsidP="00306309">
      <w:pPr>
        <w:rPr>
          <w:rFonts w:ascii="Times New Roman" w:hAnsi="Times New Roman" w:cs="Times New Roman"/>
        </w:rPr>
        <w:sectPr w:rsidR="00306309" w:rsidRPr="00C871FC" w:rsidSect="0030630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048A8AA" w14:textId="39FDE6E3" w:rsidR="00306309" w:rsidRDefault="00306309" w:rsidP="003063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BB1688">
        <w:rPr>
          <w:rFonts w:ascii="Times New Roman" w:hAnsi="Times New Roman" w:cs="Times New Roman"/>
          <w:b/>
          <w:bCs/>
        </w:rPr>
        <w:t xml:space="preserve">Figure </w:t>
      </w:r>
      <w:r w:rsidR="0032276E">
        <w:rPr>
          <w:rFonts w:ascii="Times New Roman" w:hAnsi="Times New Roman" w:cs="Times New Roman"/>
          <w:b/>
          <w:bCs/>
        </w:rPr>
        <w:t>2</w:t>
      </w:r>
      <w:r w:rsidRPr="00BB1688">
        <w:rPr>
          <w:rFonts w:ascii="Times New Roman" w:hAnsi="Times New Roman" w:cs="Times New Roman"/>
          <w:b/>
          <w:bCs/>
        </w:rPr>
        <w:t>.</w:t>
      </w:r>
    </w:p>
    <w:p w14:paraId="2B6EB73D" w14:textId="77777777" w:rsidR="00886940" w:rsidRDefault="00886940" w:rsidP="00306309">
      <w:pPr>
        <w:rPr>
          <w:rFonts w:ascii="Times New Roman" w:hAnsi="Times New Roman" w:cs="Times New Roman"/>
          <w:b/>
          <w:bCs/>
        </w:rPr>
      </w:pPr>
    </w:p>
    <w:p w14:paraId="0E0EAFC5" w14:textId="66A36F8C" w:rsidR="00033642" w:rsidRDefault="00663E0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A31C575" wp14:editId="2B245453">
            <wp:extent cx="1638300" cy="2451100"/>
            <wp:effectExtent l="0" t="0" r="0" b="0"/>
            <wp:docPr id="662727425" name="Picture 5" descr="A graph showing the amount of protein in the prote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27425" name="Picture 5" descr="A graph showing the amount of protein in the protei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0AA35" w14:textId="01277D1D" w:rsidR="000C3A85" w:rsidRDefault="00033642" w:rsidP="00A218E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Supplementary figure 2.</w:t>
      </w:r>
      <w:r>
        <w:rPr>
          <w:rFonts w:ascii="Times New Roman" w:hAnsi="Times New Roman" w:cs="Times New Roman"/>
          <w:i/>
          <w:iCs/>
        </w:rPr>
        <w:t xml:space="preserve"> MT1/2 protein levels in the ALS and MS spinal cord</w:t>
      </w:r>
      <w:r w:rsidR="004F50BA">
        <w:rPr>
          <w:rFonts w:ascii="Times New Roman" w:hAnsi="Times New Roman" w:cs="Times New Roman"/>
          <w:i/>
          <w:iCs/>
        </w:rPr>
        <w:t xml:space="preserve"> TBS-soluble fraction</w:t>
      </w:r>
      <w:r>
        <w:rPr>
          <w:rFonts w:ascii="Times New Roman" w:hAnsi="Times New Roman" w:cs="Times New Roman"/>
          <w:i/>
          <w:iCs/>
        </w:rPr>
        <w:t xml:space="preserve"> quantified using LC-MS/MS and compared to control cases. </w:t>
      </w:r>
      <w:r w:rsidR="00282C64">
        <w:rPr>
          <w:rFonts w:ascii="Times New Roman" w:hAnsi="Times New Roman" w:cs="Times New Roman"/>
          <w:i/>
          <w:iCs/>
        </w:rPr>
        <w:t>Circles correspond to individual cases (control n=10, ALS n =17, MS n=2</w:t>
      </w:r>
      <w:r w:rsidR="00BC6FDE">
        <w:rPr>
          <w:rFonts w:ascii="Times New Roman" w:hAnsi="Times New Roman" w:cs="Times New Roman"/>
          <w:i/>
          <w:iCs/>
        </w:rPr>
        <w:t>3</w:t>
      </w:r>
      <w:r w:rsidR="00282C64">
        <w:rPr>
          <w:rFonts w:ascii="Times New Roman" w:hAnsi="Times New Roman" w:cs="Times New Roman"/>
          <w:i/>
          <w:iCs/>
        </w:rPr>
        <w:t>) and graph presented as mean ± S.E.M.</w:t>
      </w:r>
      <w:r w:rsidR="000C3A85">
        <w:rPr>
          <w:rFonts w:ascii="Times New Roman" w:hAnsi="Times New Roman" w:cs="Times New Roman"/>
          <w:b/>
          <w:bCs/>
        </w:rPr>
        <w:br w:type="page"/>
      </w:r>
    </w:p>
    <w:p w14:paraId="05B8FD93" w14:textId="2A6EB0A8" w:rsidR="000C3A85" w:rsidRPr="0032276E" w:rsidRDefault="000C3A85" w:rsidP="0030630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lastRenderedPageBreak/>
        <w:t>Supplementary Figure 3.</w:t>
      </w:r>
    </w:p>
    <w:p w14:paraId="2E7B6963" w14:textId="13A5B9EC" w:rsidR="00306309" w:rsidRDefault="00663E04" w:rsidP="0030630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51C1DEC" wp14:editId="6BCCCEBF">
            <wp:extent cx="5731510" cy="6956425"/>
            <wp:effectExtent l="0" t="0" r="0" b="3175"/>
            <wp:docPr id="126485039" name="Picture 6" descr="A collage of different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5039" name="Picture 6" descr="A collage of different graph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5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568C1" w14:textId="1AC9DC64" w:rsidR="00306309" w:rsidRDefault="00306309" w:rsidP="00A218E6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Supplementary figure </w:t>
      </w:r>
      <w:r w:rsidR="00A1264F">
        <w:rPr>
          <w:rFonts w:ascii="Times New Roman" w:hAnsi="Times New Roman" w:cs="Times New Roman"/>
          <w:b/>
          <w:bCs/>
          <w:i/>
          <w:iCs/>
        </w:rPr>
        <w:t>3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Pr="001A56AC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Elution profiles of selected housekeeping proteins (a-c) and endogenous CNS tissue cuproproteins (d-</w:t>
      </w:r>
      <w:proofErr w:type="spellStart"/>
      <w:r>
        <w:rPr>
          <w:rFonts w:ascii="Times New Roman" w:hAnsi="Times New Roman" w:cs="Times New Roman"/>
          <w:i/>
          <w:iCs/>
        </w:rPr>
        <w:t>i</w:t>
      </w:r>
      <w:proofErr w:type="spellEnd"/>
      <w:r>
        <w:rPr>
          <w:rFonts w:ascii="Times New Roman" w:hAnsi="Times New Roman" w:cs="Times New Roman"/>
          <w:i/>
          <w:iCs/>
        </w:rPr>
        <w:t>) observed during size-exclusion chromatography (SEC). Analytical SEC was performed using conditions identical to the online SEC-ICP-MS workflow (see methods), with the modification of directing the column outflow to a fraction collector to sample fractions at 15 second intervals. The resulting fractions were processed for LC-MS/MS analysis by digesting overnight with trypsin, then desalting and concentrating by solid-phase extraction. Proteins were identified using selected reaction monitoring LC-MS/MS. Signals shown here (sum of peak areas) were plotted for each target against their representative elution times from the SEC column.</w:t>
      </w:r>
    </w:p>
    <w:p w14:paraId="16609CCA" w14:textId="4D1895A9" w:rsidR="00306309" w:rsidRPr="009D4A50" w:rsidRDefault="00306309" w:rsidP="003063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  <w:r w:rsidR="00A1264F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.</w:t>
      </w:r>
    </w:p>
    <w:p w14:paraId="01EB555C" w14:textId="07B407D0" w:rsidR="0066651D" w:rsidRDefault="00663E04" w:rsidP="00A218E6">
      <w:pPr>
        <w:rPr>
          <w:rFonts w:ascii="Times New Roman" w:hAnsi="Times New Roman" w:cs="Times New Roman"/>
          <w:b/>
          <w:bCs/>
          <w:i/>
          <w:iCs/>
        </w:rPr>
      </w:pPr>
      <w:r>
        <w:rPr>
          <w:b/>
          <w:bCs/>
          <w:noProof/>
        </w:rPr>
        <w:drawing>
          <wp:inline distT="0" distB="0" distL="0" distR="0" wp14:anchorId="73A666C2" wp14:editId="46093F43">
            <wp:extent cx="5731510" cy="3773805"/>
            <wp:effectExtent l="0" t="0" r="0" b="0"/>
            <wp:docPr id="1990672800" name="Picture 7" descr="A group of different types of normalized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72800" name="Picture 7" descr="A group of different types of normalized chromatograph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5EBAD" w14:textId="15E478DB" w:rsidR="00306309" w:rsidRPr="009D4A50" w:rsidRDefault="00306309" w:rsidP="00306309">
      <w:pPr>
        <w:jc w:val="both"/>
        <w:rPr>
          <w:rFonts w:ascii="Times New Roman" w:hAnsi="Times New Roman" w:cs="Times New Roman"/>
          <w:b/>
          <w:bCs/>
        </w:rPr>
      </w:pPr>
      <w:r w:rsidRPr="009D4A50">
        <w:rPr>
          <w:rFonts w:ascii="Times New Roman" w:hAnsi="Times New Roman" w:cs="Times New Roman"/>
          <w:b/>
          <w:bCs/>
          <w:i/>
          <w:iCs/>
        </w:rPr>
        <w:t>Supplementary</w:t>
      </w:r>
      <w:r>
        <w:rPr>
          <w:rFonts w:ascii="Times New Roman" w:hAnsi="Times New Roman" w:cs="Times New Roman"/>
          <w:b/>
          <w:bCs/>
          <w:i/>
          <w:iCs/>
        </w:rPr>
        <w:t xml:space="preserve"> figure </w:t>
      </w:r>
      <w:r w:rsidR="00A1264F">
        <w:rPr>
          <w:rFonts w:ascii="Times New Roman" w:hAnsi="Times New Roman" w:cs="Times New Roman"/>
          <w:b/>
          <w:bCs/>
          <w:i/>
          <w:iCs/>
        </w:rPr>
        <w:t>4</w:t>
      </w:r>
      <w:r>
        <w:rPr>
          <w:rFonts w:ascii="Times New Roman" w:hAnsi="Times New Roman" w:cs="Times New Roman"/>
          <w:b/>
          <w:bCs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>SEC-ICP-MS traces for SOD1</w:t>
      </w:r>
      <w:r w:rsidR="004716A2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ferritin</w:t>
      </w:r>
      <w:r w:rsidR="004716A2">
        <w:rPr>
          <w:rFonts w:ascii="Times New Roman" w:hAnsi="Times New Roman" w:cs="Times New Roman"/>
          <w:i/>
          <w:iCs/>
        </w:rPr>
        <w:t xml:space="preserve"> and MT2</w:t>
      </w:r>
      <w:r>
        <w:rPr>
          <w:rFonts w:ascii="Times New Roman" w:hAnsi="Times New Roman" w:cs="Times New Roman"/>
          <w:i/>
          <w:iCs/>
        </w:rPr>
        <w:t xml:space="preserve"> standards. (</w:t>
      </w:r>
      <w:proofErr w:type="spellStart"/>
      <w:r>
        <w:rPr>
          <w:rFonts w:ascii="Times New Roman" w:hAnsi="Times New Roman" w:cs="Times New Roman"/>
          <w:i/>
          <w:iCs/>
        </w:rPr>
        <w:t>a,b</w:t>
      </w:r>
      <w:proofErr w:type="spellEnd"/>
      <w:r>
        <w:rPr>
          <w:rFonts w:ascii="Times New Roman" w:hAnsi="Times New Roman" w:cs="Times New Roman"/>
          <w:i/>
          <w:iCs/>
        </w:rPr>
        <w:t>) Cu/Zn binding SOD1 (holo-SOD1) showed peaks at ~385 seconds for copper (a) and zinc (b) while the iron storage protein ferritin showed a peak at ~300 seconds for iron (c). Dashed lines indicate 300 seconds and 385 seconds for each trace</w:t>
      </w:r>
      <w:r w:rsidR="00144274">
        <w:rPr>
          <w:rFonts w:ascii="Times New Roman" w:hAnsi="Times New Roman" w:cs="Times New Roman"/>
          <w:i/>
          <w:iCs/>
        </w:rPr>
        <w:t xml:space="preserve">. </w:t>
      </w:r>
      <w:r w:rsidR="004716A2">
        <w:rPr>
          <w:rFonts w:ascii="Times New Roman" w:hAnsi="Times New Roman" w:cs="Times New Roman"/>
          <w:i/>
          <w:iCs/>
        </w:rPr>
        <w:t>(</w:t>
      </w:r>
      <w:proofErr w:type="spellStart"/>
      <w:r w:rsidR="00FE2C16">
        <w:rPr>
          <w:rFonts w:ascii="Times New Roman" w:hAnsi="Times New Roman" w:cs="Times New Roman"/>
          <w:i/>
          <w:iCs/>
        </w:rPr>
        <w:t>d</w:t>
      </w:r>
      <w:r w:rsidR="004716A2">
        <w:rPr>
          <w:rFonts w:ascii="Times New Roman" w:hAnsi="Times New Roman" w:cs="Times New Roman"/>
          <w:i/>
          <w:iCs/>
        </w:rPr>
        <w:t>,</w:t>
      </w:r>
      <w:r w:rsidR="00FE2C16">
        <w:rPr>
          <w:rFonts w:ascii="Times New Roman" w:hAnsi="Times New Roman" w:cs="Times New Roman"/>
          <w:i/>
          <w:iCs/>
        </w:rPr>
        <w:t>e</w:t>
      </w:r>
      <w:proofErr w:type="spellEnd"/>
      <w:r w:rsidR="004716A2">
        <w:rPr>
          <w:rFonts w:ascii="Times New Roman" w:hAnsi="Times New Roman" w:cs="Times New Roman"/>
          <w:i/>
          <w:iCs/>
        </w:rPr>
        <w:t>) MT2 showed a broader signal profile with the main peaks at ~450 seconds for copper (</w:t>
      </w:r>
      <w:r w:rsidR="00FE2C16">
        <w:rPr>
          <w:rFonts w:ascii="Times New Roman" w:hAnsi="Times New Roman" w:cs="Times New Roman"/>
          <w:i/>
          <w:iCs/>
        </w:rPr>
        <w:t>d</w:t>
      </w:r>
      <w:r w:rsidR="004716A2">
        <w:rPr>
          <w:rFonts w:ascii="Times New Roman" w:hAnsi="Times New Roman" w:cs="Times New Roman"/>
          <w:i/>
          <w:iCs/>
        </w:rPr>
        <w:t>) and zinc (</w:t>
      </w:r>
      <w:r w:rsidR="00FE2C16">
        <w:rPr>
          <w:rFonts w:ascii="Times New Roman" w:hAnsi="Times New Roman" w:cs="Times New Roman"/>
          <w:i/>
          <w:iCs/>
        </w:rPr>
        <w:t>e</w:t>
      </w:r>
      <w:r w:rsidR="004716A2">
        <w:rPr>
          <w:rFonts w:ascii="Times New Roman" w:hAnsi="Times New Roman" w:cs="Times New Roman"/>
          <w:i/>
          <w:iCs/>
        </w:rPr>
        <w:t>). Dashed lines indicate 450 seconds for each trace.</w:t>
      </w:r>
      <w:r w:rsidR="0047474B">
        <w:rPr>
          <w:rFonts w:ascii="Times New Roman" w:hAnsi="Times New Roman" w:cs="Times New Roman"/>
          <w:i/>
          <w:iCs/>
        </w:rPr>
        <w:t xml:space="preserve"> </w:t>
      </w:r>
      <w:r w:rsidR="00130F66">
        <w:rPr>
          <w:rFonts w:ascii="Times New Roman" w:hAnsi="Times New Roman" w:cs="Times New Roman"/>
          <w:i/>
          <w:iCs/>
        </w:rPr>
        <w:t>Traces presented as percentages of the maximum signal measured in counts per second (CPS)</w:t>
      </w:r>
      <w:r w:rsidR="009437AD">
        <w:rPr>
          <w:rFonts w:ascii="Times New Roman" w:hAnsi="Times New Roman" w:cs="Times New Roman"/>
          <w:i/>
          <w:iCs/>
        </w:rPr>
        <w:t>.</w:t>
      </w:r>
      <w:r w:rsidRPr="009D4A50">
        <w:rPr>
          <w:rFonts w:ascii="Times New Roman" w:hAnsi="Times New Roman" w:cs="Times New Roman"/>
          <w:b/>
          <w:bCs/>
        </w:rPr>
        <w:br w:type="page"/>
      </w:r>
    </w:p>
    <w:p w14:paraId="205F1368" w14:textId="78FD293F" w:rsidR="00306309" w:rsidRPr="00BB1688" w:rsidRDefault="00306309" w:rsidP="003063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BB1688">
        <w:rPr>
          <w:rFonts w:ascii="Times New Roman" w:hAnsi="Times New Roman" w:cs="Times New Roman"/>
          <w:b/>
          <w:bCs/>
        </w:rPr>
        <w:t xml:space="preserve">Figure </w:t>
      </w:r>
      <w:r w:rsidR="00A1264F">
        <w:rPr>
          <w:rFonts w:ascii="Times New Roman" w:hAnsi="Times New Roman" w:cs="Times New Roman"/>
          <w:b/>
          <w:bCs/>
        </w:rPr>
        <w:t>5</w:t>
      </w:r>
      <w:r w:rsidRPr="00BB1688">
        <w:rPr>
          <w:rFonts w:ascii="Times New Roman" w:hAnsi="Times New Roman" w:cs="Times New Roman"/>
          <w:b/>
          <w:bCs/>
        </w:rPr>
        <w:t>.</w:t>
      </w:r>
    </w:p>
    <w:p w14:paraId="728F26BD" w14:textId="70CD1A18" w:rsidR="00306309" w:rsidRDefault="00663E04" w:rsidP="00A218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D5A0807" wp14:editId="076EF066">
            <wp:extent cx="5731510" cy="5386705"/>
            <wp:effectExtent l="0" t="0" r="0" b="0"/>
            <wp:docPr id="1870414651" name="Picture 8" descr="A group of numbers and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14651" name="Picture 8" descr="A group of numbers and graph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E06A2" w14:textId="3114B19E" w:rsidR="00306309" w:rsidRDefault="00306309" w:rsidP="00306309">
      <w:pPr>
        <w:jc w:val="both"/>
      </w:pPr>
      <w:r>
        <w:rPr>
          <w:rFonts w:ascii="Times New Roman" w:hAnsi="Times New Roman" w:cs="Times New Roman"/>
          <w:b/>
          <w:bCs/>
          <w:i/>
          <w:iCs/>
        </w:rPr>
        <w:t xml:space="preserve">Supplementary figure </w:t>
      </w:r>
      <w:r w:rsidR="00A1264F">
        <w:rPr>
          <w:rFonts w:ascii="Times New Roman" w:hAnsi="Times New Roman" w:cs="Times New Roman"/>
          <w:b/>
          <w:bCs/>
          <w:i/>
          <w:iCs/>
        </w:rPr>
        <w:t>5</w:t>
      </w:r>
      <w:r>
        <w:rPr>
          <w:rFonts w:ascii="Times New Roman" w:hAnsi="Times New Roman" w:cs="Times New Roman"/>
          <w:b/>
          <w:bCs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Correlation analyses for MT3, copper and MT3-copper peak against the age of ALS, MS and control cases used. (a-c) Correlation between copper levels and age for controls (a), ALS (b) and MS (c) cases.</w:t>
      </w:r>
      <w:r w:rsidRPr="00F0623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(d-f) Correlation between MT3 levels and age for controls (d), ALS (e) and MS (f) cases. (g-</w:t>
      </w:r>
      <w:proofErr w:type="spellStart"/>
      <w:r>
        <w:rPr>
          <w:rFonts w:ascii="Times New Roman" w:hAnsi="Times New Roman" w:cs="Times New Roman"/>
          <w:i/>
          <w:iCs/>
        </w:rPr>
        <w:t>i</w:t>
      </w:r>
      <w:proofErr w:type="spellEnd"/>
      <w:r>
        <w:rPr>
          <w:rFonts w:ascii="Times New Roman" w:hAnsi="Times New Roman" w:cs="Times New Roman"/>
          <w:i/>
          <w:iCs/>
        </w:rPr>
        <w:t>) Correlation between MT3-copper peak height and age for controls (g), ALS (h) and MS (</w:t>
      </w:r>
      <w:proofErr w:type="spellStart"/>
      <w:r>
        <w:rPr>
          <w:rFonts w:ascii="Times New Roman" w:hAnsi="Times New Roman" w:cs="Times New Roman"/>
          <w:i/>
          <w:iCs/>
        </w:rPr>
        <w:t>i</w:t>
      </w:r>
      <w:proofErr w:type="spellEnd"/>
      <w:r>
        <w:rPr>
          <w:rFonts w:ascii="Times New Roman" w:hAnsi="Times New Roman" w:cs="Times New Roman"/>
          <w:i/>
          <w:iCs/>
        </w:rPr>
        <w:t>) cases. Strength of relationship assessed using the Pearson correlation coefficient (r) and coefficient of determination (r</w:t>
      </w:r>
      <w:r w:rsidRPr="00B24901">
        <w:rPr>
          <w:rFonts w:ascii="Times New Roman" w:hAnsi="Times New Roman" w:cs="Times New Roman"/>
          <w:i/>
          <w:iCs/>
          <w:vertAlign w:val="superscript"/>
        </w:rPr>
        <w:t>2</w:t>
      </w:r>
      <w:r>
        <w:rPr>
          <w:rFonts w:ascii="Times New Roman" w:hAnsi="Times New Roman" w:cs="Times New Roman"/>
          <w:i/>
          <w:iCs/>
        </w:rPr>
        <w:t>). Cases without values for both variables were excluded from analyses.</w:t>
      </w:r>
      <w:r w:rsidRPr="00CD5C3C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Circles correspond to individual cases (control n=10, ALS n=16-20, MS n=24-26) with statistical significance determined as </w:t>
      </w:r>
      <w:r w:rsidR="000E5689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</w:rPr>
        <w:t>&lt;0.05.</w:t>
      </w:r>
    </w:p>
    <w:p w14:paraId="2EDB217A" w14:textId="77777777" w:rsidR="00F016CB" w:rsidRDefault="00F016CB"/>
    <w:sectPr w:rsidR="00F01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09"/>
    <w:rsid w:val="00027774"/>
    <w:rsid w:val="00033642"/>
    <w:rsid w:val="00042CC4"/>
    <w:rsid w:val="00053935"/>
    <w:rsid w:val="00073652"/>
    <w:rsid w:val="000A4D1D"/>
    <w:rsid w:val="000C3A85"/>
    <w:rsid w:val="000E5689"/>
    <w:rsid w:val="000E5C5C"/>
    <w:rsid w:val="000F15A7"/>
    <w:rsid w:val="001304AE"/>
    <w:rsid w:val="00130F66"/>
    <w:rsid w:val="00144274"/>
    <w:rsid w:val="00164456"/>
    <w:rsid w:val="00193C1D"/>
    <w:rsid w:val="001A3650"/>
    <w:rsid w:val="001B26A3"/>
    <w:rsid w:val="00207BD8"/>
    <w:rsid w:val="00211F97"/>
    <w:rsid w:val="00215704"/>
    <w:rsid w:val="00221689"/>
    <w:rsid w:val="00236429"/>
    <w:rsid w:val="0024707B"/>
    <w:rsid w:val="002641D0"/>
    <w:rsid w:val="00270C57"/>
    <w:rsid w:val="00282C64"/>
    <w:rsid w:val="002D5E6B"/>
    <w:rsid w:val="00304A27"/>
    <w:rsid w:val="00306309"/>
    <w:rsid w:val="003074D7"/>
    <w:rsid w:val="003075CB"/>
    <w:rsid w:val="0032276E"/>
    <w:rsid w:val="00342479"/>
    <w:rsid w:val="003500ED"/>
    <w:rsid w:val="00362076"/>
    <w:rsid w:val="00364671"/>
    <w:rsid w:val="0036663B"/>
    <w:rsid w:val="0038645F"/>
    <w:rsid w:val="00387D31"/>
    <w:rsid w:val="003941F4"/>
    <w:rsid w:val="003B3CA3"/>
    <w:rsid w:val="003B465D"/>
    <w:rsid w:val="00416F29"/>
    <w:rsid w:val="00450F35"/>
    <w:rsid w:val="0046496B"/>
    <w:rsid w:val="004716A2"/>
    <w:rsid w:val="0047474B"/>
    <w:rsid w:val="004A5967"/>
    <w:rsid w:val="004B7CCE"/>
    <w:rsid w:val="004D3711"/>
    <w:rsid w:val="004E5595"/>
    <w:rsid w:val="004F3841"/>
    <w:rsid w:val="004F50BA"/>
    <w:rsid w:val="004F534B"/>
    <w:rsid w:val="005C5007"/>
    <w:rsid w:val="005F1EFD"/>
    <w:rsid w:val="006104F6"/>
    <w:rsid w:val="00663E04"/>
    <w:rsid w:val="0066651D"/>
    <w:rsid w:val="00682DFA"/>
    <w:rsid w:val="0068570D"/>
    <w:rsid w:val="0068658F"/>
    <w:rsid w:val="00696A4E"/>
    <w:rsid w:val="006B5436"/>
    <w:rsid w:val="006C3723"/>
    <w:rsid w:val="006F05B2"/>
    <w:rsid w:val="007403CC"/>
    <w:rsid w:val="00764A76"/>
    <w:rsid w:val="00764D71"/>
    <w:rsid w:val="007930D3"/>
    <w:rsid w:val="007A78B1"/>
    <w:rsid w:val="007C2584"/>
    <w:rsid w:val="007D78B1"/>
    <w:rsid w:val="008252A4"/>
    <w:rsid w:val="008641D4"/>
    <w:rsid w:val="00886940"/>
    <w:rsid w:val="00892077"/>
    <w:rsid w:val="008D7258"/>
    <w:rsid w:val="008D757A"/>
    <w:rsid w:val="008F3859"/>
    <w:rsid w:val="009003AA"/>
    <w:rsid w:val="00903C1D"/>
    <w:rsid w:val="00904CBA"/>
    <w:rsid w:val="009077C1"/>
    <w:rsid w:val="00916D30"/>
    <w:rsid w:val="0092780C"/>
    <w:rsid w:val="009437AD"/>
    <w:rsid w:val="0099095F"/>
    <w:rsid w:val="009B6EAE"/>
    <w:rsid w:val="009D20F4"/>
    <w:rsid w:val="009D280A"/>
    <w:rsid w:val="00A1264F"/>
    <w:rsid w:val="00A1623F"/>
    <w:rsid w:val="00A218E6"/>
    <w:rsid w:val="00A22B1D"/>
    <w:rsid w:val="00A470DD"/>
    <w:rsid w:val="00AE55C5"/>
    <w:rsid w:val="00AE6C70"/>
    <w:rsid w:val="00AF7841"/>
    <w:rsid w:val="00B16E56"/>
    <w:rsid w:val="00B63A75"/>
    <w:rsid w:val="00B72554"/>
    <w:rsid w:val="00B7305B"/>
    <w:rsid w:val="00B77588"/>
    <w:rsid w:val="00B85BE2"/>
    <w:rsid w:val="00BC6FDE"/>
    <w:rsid w:val="00BD401C"/>
    <w:rsid w:val="00BF05EC"/>
    <w:rsid w:val="00BF6DC2"/>
    <w:rsid w:val="00C34BF6"/>
    <w:rsid w:val="00C44A37"/>
    <w:rsid w:val="00C564E4"/>
    <w:rsid w:val="00C63960"/>
    <w:rsid w:val="00C7516C"/>
    <w:rsid w:val="00C90576"/>
    <w:rsid w:val="00CA288E"/>
    <w:rsid w:val="00CD43AB"/>
    <w:rsid w:val="00CD7915"/>
    <w:rsid w:val="00D019F2"/>
    <w:rsid w:val="00D141BD"/>
    <w:rsid w:val="00D37CA3"/>
    <w:rsid w:val="00D50353"/>
    <w:rsid w:val="00D61C43"/>
    <w:rsid w:val="00D841A8"/>
    <w:rsid w:val="00DA43D4"/>
    <w:rsid w:val="00DB02DD"/>
    <w:rsid w:val="00DC4B2A"/>
    <w:rsid w:val="00DE3D53"/>
    <w:rsid w:val="00E2444A"/>
    <w:rsid w:val="00E661E6"/>
    <w:rsid w:val="00E86FBF"/>
    <w:rsid w:val="00EA37A1"/>
    <w:rsid w:val="00ED3D3F"/>
    <w:rsid w:val="00EE0986"/>
    <w:rsid w:val="00F016CB"/>
    <w:rsid w:val="00F52C1C"/>
    <w:rsid w:val="00F73A87"/>
    <w:rsid w:val="00F80899"/>
    <w:rsid w:val="00F80D1B"/>
    <w:rsid w:val="00F934C8"/>
    <w:rsid w:val="00FB0DFD"/>
    <w:rsid w:val="00FD4718"/>
    <w:rsid w:val="00FD6559"/>
    <w:rsid w:val="00FE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7D01E"/>
  <w15:chartTrackingRefBased/>
  <w15:docId w15:val="{76B62AC0-04BF-C841-9ECA-481323A2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09"/>
  </w:style>
  <w:style w:type="paragraph" w:styleId="Heading1">
    <w:name w:val="heading 1"/>
    <w:basedOn w:val="Normal"/>
    <w:next w:val="Normal"/>
    <w:link w:val="Heading1Char"/>
    <w:uiPriority w:val="9"/>
    <w:qFormat/>
    <w:rsid w:val="00306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3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3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3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3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3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3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3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3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25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52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52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2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7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Hilton</dc:creator>
  <cp:keywords/>
  <dc:description/>
  <cp:lastModifiedBy>James Hilton</cp:lastModifiedBy>
  <cp:revision>5</cp:revision>
  <cp:lastPrinted>2025-11-06T06:18:00Z</cp:lastPrinted>
  <dcterms:created xsi:type="dcterms:W3CDTF">2025-12-07T22:16:00Z</dcterms:created>
  <dcterms:modified xsi:type="dcterms:W3CDTF">2025-12-07T22:28:00Z</dcterms:modified>
</cp:coreProperties>
</file>