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60"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  <w:lang w:val="de-DE"/>
        </w:rPr>
        <w:t xml:space="preserve">Supplementary </w:t>
      </w:r>
      <w:r>
        <w:rPr>
          <w:sz w:val="24"/>
          <w:szCs w:val="24"/>
          <w:u w:val="single"/>
          <w:rtl w:val="0"/>
          <w:lang w:val="en-US"/>
        </w:rPr>
        <w:t>Tables a</w:t>
      </w:r>
      <w:r>
        <w:rPr>
          <w:sz w:val="24"/>
          <w:szCs w:val="24"/>
          <w:u w:val="single"/>
          <w:rtl w:val="0"/>
          <w:lang w:val="en-US"/>
        </w:rPr>
        <w:t>nd Figures in order of appearance: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60"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Supplementary Table I: Characteristics of the control group and a subgroup of 25 pediatric patients with T1D duration of less than 2 years, classified according to HbA1c as specified in the methods section. 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60" w:line="48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Supplementary Figure I: CSA (in mm</w:t>
      </w:r>
      <w:r>
        <w:rPr>
          <w:sz w:val="24"/>
          <w:szCs w:val="24"/>
          <w:vertAlign w:val="superscript"/>
          <w:rtl w:val="0"/>
          <w:lang w:val="en-US"/>
        </w:rPr>
        <w:t>2</w:t>
      </w:r>
      <w:r>
        <w:rPr>
          <w:sz w:val="24"/>
          <w:szCs w:val="24"/>
          <w:rtl w:val="0"/>
          <w:lang w:val="en-US"/>
        </w:rPr>
        <w:t>, Panel A: at wrist (A, Location 1) and B: at mid-forearm (Location 2)) in patients with T1D duration of less than 2 years according to glycemic management (refer to methods section) compared to healthy controls.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60" w:line="48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  <w:lang w:val="en-US"/>
        </w:rPr>
        <w:t>Supplementary Figure II: Correlation between HbA1c (in %) and BSA-adjusted CSA (CSA/BSA in mm</w:t>
      </w:r>
      <w:r>
        <w:rPr>
          <w:sz w:val="24"/>
          <w:szCs w:val="24"/>
          <w:vertAlign w:val="superscript"/>
          <w:rtl w:val="0"/>
          <w:lang w:val="en-US"/>
        </w:rPr>
        <w:t>2</w:t>
      </w:r>
      <w:r>
        <w:rPr>
          <w:sz w:val="24"/>
          <w:szCs w:val="24"/>
          <w:rtl w:val="0"/>
          <w:lang w:val="en-US"/>
        </w:rPr>
        <w:t>/m</w:t>
      </w:r>
      <w:r>
        <w:rPr>
          <w:sz w:val="24"/>
          <w:szCs w:val="24"/>
          <w:vertAlign w:val="superscript"/>
          <w:rtl w:val="0"/>
          <w:lang w:val="en-US"/>
        </w:rPr>
        <w:t>2</w:t>
      </w:r>
      <w:r>
        <w:rPr>
          <w:sz w:val="24"/>
          <w:szCs w:val="24"/>
          <w:rtl w:val="0"/>
          <w:lang w:val="en-US"/>
        </w:rPr>
        <w:t xml:space="preserve"> at mid-forearm (Location 2)) in patients with T1D duration of less than 2 years.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Supplementary Table I: Characteristics of the control group and a subgroup of 25 pediatric patients with T1D duration of less than 2 years, classified according to HbA1c as specified in the methods section.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</w:pPr>
      <w:r>
        <w:rPr>
          <w:rFonts w:ascii="Times New Roman" w:cs="Times New Roman" w:hAnsi="Times New Roman" w:eastAsia="Times New Roman"/>
          <w:b w:val="1"/>
          <w:bCs w:val="1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826918</wp:posOffset>
            </wp:positionH>
            <wp:positionV relativeFrom="line">
              <wp:posOffset>441639</wp:posOffset>
            </wp:positionV>
            <wp:extent cx="5892683" cy="360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4"/>
                <wp:lineTo x="0" y="21614"/>
                <wp:lineTo x="0" y="0"/>
              </wp:wrapPolygon>
            </wp:wrapThrough>
            <wp:docPr id="1073741825" name="officeArt object" descr="Bildschirmfoto 2025-09-23 um 20.48.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schirmfoto 2025-09-23 um 20.48.10.png" descr="Bildschirmfoto 2025-09-23 um 20.48.10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683" cy="360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14:textOutline w14:w="12700" w14:cap="flat">
            <w14:noFill/>
            <w14:miter w14:lim="400000"/>
          </w14:textOutline>
        </w:rPr>
        <w:br w:type="page"/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Supplementary Figure I: CSA (in mm</w:t>
      </w:r>
      <w:r>
        <w:rPr>
          <w:b w:val="1"/>
          <w:bCs w:val="1"/>
          <w:u w:color="000000"/>
          <w:vertAlign w:val="superscript"/>
          <w:rtl w:val="0"/>
          <w:lang w:val="en-US"/>
          <w14:textOutline w14:w="12700" w14:cap="flat">
            <w14:noFill/>
            <w14:miter w14:lim="400000"/>
          </w14:textOutline>
        </w:rPr>
        <w:t>2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Panel A: at wrist (A, Location 1) and B: at mid-forearm (Location 2)) in patients with T1D duration of less than 2 years according to glycemic management (refer to methods section) compared to healthy controls.</w:t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</w:pPr>
      <w:r>
        <w:rPr>
          <w:rFonts w:ascii="Times New Roman" w:cs="Times New Roman" w:hAnsi="Times New Roman" w:eastAsia="Times New Roman"/>
          <w:b w:val="1"/>
          <w:bCs w:val="1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1751701</wp:posOffset>
            </wp:positionH>
            <wp:positionV relativeFrom="line">
              <wp:posOffset>638873</wp:posOffset>
            </wp:positionV>
            <wp:extent cx="4044134" cy="6120057"/>
            <wp:effectExtent l="0" t="0" r="0" b="0"/>
            <wp:wrapThrough wrapText="bothSides" distL="152400" distR="152400">
              <wp:wrapPolygon edited="1">
                <wp:start x="0" y="0"/>
                <wp:lineTo x="21611" y="0"/>
                <wp:lineTo x="21611" y="21600"/>
                <wp:lineTo x="0" y="21600"/>
                <wp:lineTo x="0" y="0"/>
              </wp:wrapPolygon>
            </wp:wrapThrough>
            <wp:docPr id="1073741826" name="officeArt object" descr="Bildschirmfoto 2025-09-23 um 20.33.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ildschirmfoto 2025-09-23 um 20.33.50.png" descr="Bildschirmfoto 2025-09-23 um 20.33.50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134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br w:type="page"/>
      </w: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  <w:rPr>
          <w:rFonts w:ascii="Arial Unicode MS" w:cs="Arial Unicode MS" w:hAnsi="Arial Unicode MS" w:eastAsia="Arial Unicode MS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Tex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60"/>
      </w:pP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Supplementary Figure II: Correlation between HbA1c (in %) and BSA-adjusted CSA in (CSA/BSA in mm</w:t>
      </w:r>
      <w:r>
        <w:rPr>
          <w:b w:val="1"/>
          <w:bCs w:val="1"/>
          <w:u w:color="000000"/>
          <w:vertAlign w:val="superscript"/>
          <w:rtl w:val="0"/>
          <w:lang w:val="en-US"/>
          <w14:textOutline w14:w="12700" w14:cap="flat">
            <w14:noFill/>
            <w14:miter w14:lim="400000"/>
          </w14:textOutline>
        </w:rPr>
        <w:t>2</w:t>
      </w: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/m</w:t>
      </w:r>
      <w:r>
        <w:rPr>
          <w:b w:val="1"/>
          <w:bCs w:val="1"/>
          <w:u w:color="000000"/>
          <w:vertAlign w:val="superscript"/>
          <w:rtl w:val="0"/>
          <w:lang w:val="en-US"/>
          <w14:textOutline w14:w="12700" w14:cap="flat">
            <w14:noFill/>
            <w14:miter w14:lim="400000"/>
          </w14:textOutline>
        </w:rPr>
        <w:t>2</w:t>
      </w: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at mid-forearm (Location 2)) patients with T1D duration of less than 2 years.</w:t>
      </w:r>
      <w:r>
        <w:rPr>
          <w:rFonts w:ascii="Times New Roman" w:cs="Times New Roman" w:hAnsi="Times New Roman" w:eastAsia="Times New Roman"/>
          <w:b w:val="1"/>
          <w:bCs w:val="1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1741946</wp:posOffset>
            </wp:positionH>
            <wp:positionV relativeFrom="line">
              <wp:posOffset>863724</wp:posOffset>
            </wp:positionV>
            <wp:extent cx="4063640" cy="6120058"/>
            <wp:effectExtent l="0" t="0" r="0" b="0"/>
            <wp:wrapThrough wrapText="bothSides" distL="152400" distR="152400">
              <wp:wrapPolygon edited="1">
                <wp:start x="0" y="0"/>
                <wp:lineTo x="21602" y="0"/>
                <wp:lineTo x="21602" y="21600"/>
                <wp:lineTo x="0" y="21600"/>
                <wp:lineTo x="0" y="0"/>
              </wp:wrapPolygon>
            </wp:wrapThrough>
            <wp:docPr id="1073741827" name="officeArt object" descr="Bildschirmfoto 2025-09-23 um 20.36.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ldschirmfoto 2025-09-23 um 20.36.42.png" descr="Bildschirmfoto 2025-09-23 um 20.36.42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3640" cy="61200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7"/>
      <w:footerReference w:type="default" r:id="rId8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 A"/>
      <w:tabs>
        <w:tab w:val="center" w:pos="4819"/>
        <w:tab w:val="right" w:pos="9612"/>
        <w:tab w:val="clear" w:pos="9020"/>
      </w:tabs>
    </w:pPr>
    <w:r>
      <w:rPr>
        <w:lang w:val="en-US"/>
      </w:rPr>
      <w:tab/>
    </w:r>
    <w:r>
      <w:rPr>
        <w:rtl w:val="0"/>
        <w:lang w:val="de-DE"/>
      </w:rPr>
      <w:t>Supplementary Material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 A">
    <w:name w:val="Kopf- und Fußzeilen A"/>
    <w:next w:val="Kopf- und Fußzeilen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