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AB" w:rsidRPr="002D42AB" w:rsidRDefault="002D42AB" w:rsidP="002D42AB">
      <w:pPr>
        <w:pStyle w:val="u-mb-24"/>
        <w:spacing w:after="360" w:afterAutospacing="0"/>
        <w:jc w:val="both"/>
        <w:rPr>
          <w:b/>
          <w:color w:val="000000" w:themeColor="text1"/>
          <w:spacing w:val="2"/>
          <w:sz w:val="22"/>
          <w:szCs w:val="22"/>
          <w:lang w:val="en-US"/>
        </w:rPr>
      </w:pPr>
      <w:r w:rsidRPr="002D42AB">
        <w:rPr>
          <w:b/>
          <w:color w:val="000000" w:themeColor="text1"/>
          <w:spacing w:val="2"/>
          <w:sz w:val="22"/>
          <w:szCs w:val="22"/>
          <w:lang w:val="en-US"/>
        </w:rPr>
        <w:t>SUPPLEMENTAL DATA</w:t>
      </w:r>
    </w:p>
    <w:p w:rsidR="002D42AB" w:rsidRPr="002D42AB" w:rsidRDefault="002D42AB" w:rsidP="002D42AB">
      <w:pPr>
        <w:pStyle w:val="u-mb-24"/>
        <w:spacing w:after="360" w:afterAutospacing="0"/>
        <w:jc w:val="both"/>
        <w:rPr>
          <w:color w:val="000000" w:themeColor="text1"/>
          <w:spacing w:val="2"/>
          <w:sz w:val="22"/>
          <w:szCs w:val="22"/>
          <w:lang w:val="en-US"/>
        </w:rPr>
      </w:pPr>
    </w:p>
    <w:p w:rsidR="002D42AB" w:rsidRPr="002D42AB" w:rsidRDefault="002D42AB" w:rsidP="002D42AB">
      <w:pPr>
        <w:pStyle w:val="u-mb-24"/>
        <w:spacing w:after="360" w:afterAutospacing="0"/>
        <w:jc w:val="both"/>
        <w:rPr>
          <w:color w:val="000000" w:themeColor="text1"/>
          <w:spacing w:val="2"/>
          <w:sz w:val="22"/>
          <w:szCs w:val="22"/>
          <w:lang w:val="en-US"/>
        </w:rPr>
      </w:pPr>
      <w:r w:rsidRPr="002D42AB">
        <w:rPr>
          <w:b/>
          <w:color w:val="000000" w:themeColor="text1"/>
          <w:spacing w:val="2"/>
          <w:sz w:val="22"/>
          <w:szCs w:val="22"/>
          <w:lang w:val="en-US"/>
        </w:rPr>
        <w:t>Table S1</w:t>
      </w:r>
      <w:r w:rsidRPr="002D42AB">
        <w:rPr>
          <w:color w:val="000000" w:themeColor="text1"/>
          <w:spacing w:val="2"/>
          <w:sz w:val="22"/>
          <w:szCs w:val="22"/>
          <w:lang w:val="en-US"/>
        </w:rPr>
        <w:t xml:space="preserve">: Pseudo-total concentrations of 3 TE (Cd, Pb, and Zn) in the soil of the experimental </w:t>
      </w:r>
      <w:proofErr w:type="spellStart"/>
      <w:r w:rsidRPr="002D42AB">
        <w:rPr>
          <w:color w:val="000000" w:themeColor="text1"/>
          <w:spacing w:val="2"/>
          <w:sz w:val="22"/>
          <w:szCs w:val="22"/>
          <w:lang w:val="en-US"/>
        </w:rPr>
        <w:t>site.Values</w:t>
      </w:r>
      <w:proofErr w:type="spellEnd"/>
      <w:r w:rsidRPr="002D42AB">
        <w:rPr>
          <w:color w:val="000000" w:themeColor="text1"/>
          <w:spacing w:val="2"/>
          <w:sz w:val="22"/>
          <w:szCs w:val="22"/>
          <w:lang w:val="en-US"/>
        </w:rPr>
        <w:t xml:space="preserve"> are means ± SD.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3"/>
        <w:gridCol w:w="3688"/>
      </w:tblGrid>
      <w:tr w:rsidR="002D42AB" w:rsidRPr="002D42AB" w:rsidTr="004E618F">
        <w:trPr>
          <w:trHeight w:val="464"/>
        </w:trPr>
        <w:tc>
          <w:tcPr>
            <w:tcW w:w="1313" w:type="dxa"/>
          </w:tcPr>
          <w:p w:rsidR="002D42AB" w:rsidRPr="002D42AB" w:rsidRDefault="002D42AB" w:rsidP="004E618F">
            <w:pPr>
              <w:pStyle w:val="u-mb-24"/>
              <w:spacing w:after="360" w:afterAutospacing="0"/>
              <w:jc w:val="both"/>
              <w:rPr>
                <w:color w:val="000000" w:themeColor="text1"/>
                <w:spacing w:val="2"/>
                <w:sz w:val="22"/>
                <w:szCs w:val="22"/>
                <w:lang w:val="en-US"/>
              </w:rPr>
            </w:pPr>
          </w:p>
        </w:tc>
        <w:tc>
          <w:tcPr>
            <w:tcW w:w="3688" w:type="dxa"/>
          </w:tcPr>
          <w:p w:rsidR="002D42AB" w:rsidRPr="002D42AB" w:rsidRDefault="002D42AB" w:rsidP="004E618F">
            <w:pPr>
              <w:pStyle w:val="u-mb-24"/>
              <w:spacing w:after="360" w:afterAutospacing="0"/>
              <w:jc w:val="both"/>
              <w:rPr>
                <w:color w:val="000000" w:themeColor="text1"/>
                <w:spacing w:val="2"/>
                <w:sz w:val="22"/>
                <w:szCs w:val="22"/>
              </w:rPr>
            </w:pPr>
            <w:r w:rsidRPr="002D42AB">
              <w:rPr>
                <w:color w:val="000000" w:themeColor="text1"/>
                <w:spacing w:val="2"/>
                <w:sz w:val="22"/>
                <w:szCs w:val="22"/>
              </w:rPr>
              <w:t>Total TE concentrations (mg. Kg</w:t>
            </w:r>
            <w:r w:rsidRPr="002D42AB">
              <w:rPr>
                <w:color w:val="000000" w:themeColor="text1"/>
                <w:spacing w:val="2"/>
                <w:sz w:val="22"/>
                <w:szCs w:val="22"/>
                <w:vertAlign w:val="superscript"/>
              </w:rPr>
              <w:t>-1</w:t>
            </w:r>
            <w:r w:rsidRPr="002D42AB">
              <w:rPr>
                <w:color w:val="000000" w:themeColor="text1"/>
                <w:spacing w:val="2"/>
                <w:sz w:val="22"/>
                <w:szCs w:val="22"/>
              </w:rPr>
              <w:t>)</w:t>
            </w:r>
          </w:p>
        </w:tc>
      </w:tr>
      <w:tr w:rsidR="002D42AB" w:rsidRPr="002D42AB" w:rsidTr="004E618F">
        <w:trPr>
          <w:trHeight w:val="464"/>
        </w:trPr>
        <w:tc>
          <w:tcPr>
            <w:tcW w:w="1313" w:type="dxa"/>
          </w:tcPr>
          <w:p w:rsidR="002D42AB" w:rsidRPr="002D42AB" w:rsidRDefault="002D42AB" w:rsidP="004E618F">
            <w:pPr>
              <w:pStyle w:val="u-mb-24"/>
              <w:spacing w:after="360" w:afterAutospacing="0"/>
              <w:jc w:val="both"/>
              <w:rPr>
                <w:color w:val="000000" w:themeColor="text1"/>
                <w:spacing w:val="2"/>
                <w:sz w:val="22"/>
                <w:szCs w:val="22"/>
                <w:lang w:val="en-US"/>
              </w:rPr>
            </w:pPr>
            <w:r w:rsidRPr="002D42AB">
              <w:rPr>
                <w:color w:val="000000" w:themeColor="text1"/>
                <w:sz w:val="22"/>
                <w:szCs w:val="22"/>
              </w:rPr>
              <w:t>Cd</w:t>
            </w:r>
          </w:p>
        </w:tc>
        <w:tc>
          <w:tcPr>
            <w:tcW w:w="3688" w:type="dxa"/>
          </w:tcPr>
          <w:p w:rsidR="002D42AB" w:rsidRPr="002D42AB" w:rsidRDefault="002D42AB" w:rsidP="004E618F">
            <w:pPr>
              <w:pStyle w:val="u-mb-24"/>
              <w:spacing w:after="360" w:afterAutospacing="0"/>
              <w:jc w:val="both"/>
              <w:rPr>
                <w:color w:val="000000" w:themeColor="text1"/>
                <w:spacing w:val="2"/>
                <w:sz w:val="22"/>
                <w:szCs w:val="22"/>
                <w:lang w:val="en-US"/>
              </w:rPr>
            </w:pPr>
            <w:r w:rsidRPr="002D42AB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6.6±0,4</w:t>
            </w:r>
          </w:p>
        </w:tc>
      </w:tr>
      <w:tr w:rsidR="002D42AB" w:rsidRPr="002D42AB" w:rsidTr="004E618F">
        <w:trPr>
          <w:trHeight w:val="464"/>
        </w:trPr>
        <w:tc>
          <w:tcPr>
            <w:tcW w:w="1313" w:type="dxa"/>
          </w:tcPr>
          <w:p w:rsidR="002D42AB" w:rsidRPr="002D42AB" w:rsidRDefault="002D42AB" w:rsidP="004E618F">
            <w:pPr>
              <w:pStyle w:val="u-mb-24"/>
              <w:spacing w:after="360" w:afterAutospacing="0"/>
              <w:jc w:val="both"/>
              <w:rPr>
                <w:color w:val="000000" w:themeColor="text1"/>
                <w:spacing w:val="2"/>
                <w:sz w:val="22"/>
                <w:szCs w:val="22"/>
                <w:lang w:val="en-US"/>
              </w:rPr>
            </w:pPr>
            <w:r w:rsidRPr="002D42AB">
              <w:rPr>
                <w:color w:val="000000" w:themeColor="text1"/>
                <w:sz w:val="22"/>
                <w:szCs w:val="22"/>
              </w:rPr>
              <w:t>Pb</w:t>
            </w:r>
          </w:p>
        </w:tc>
        <w:tc>
          <w:tcPr>
            <w:tcW w:w="3688" w:type="dxa"/>
          </w:tcPr>
          <w:p w:rsidR="002D42AB" w:rsidRPr="002D42AB" w:rsidRDefault="002D42AB" w:rsidP="004E618F">
            <w:pPr>
              <w:pStyle w:val="u-mb-24"/>
              <w:spacing w:after="360" w:afterAutospacing="0"/>
              <w:jc w:val="both"/>
              <w:rPr>
                <w:color w:val="000000" w:themeColor="text1"/>
                <w:spacing w:val="2"/>
                <w:sz w:val="22"/>
                <w:szCs w:val="22"/>
                <w:lang w:val="en-US"/>
              </w:rPr>
            </w:pPr>
            <w:r w:rsidRPr="002D42AB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394.7±21,8</w:t>
            </w:r>
          </w:p>
        </w:tc>
      </w:tr>
      <w:tr w:rsidR="002D42AB" w:rsidRPr="002D42AB" w:rsidTr="004E618F">
        <w:trPr>
          <w:trHeight w:val="466"/>
        </w:trPr>
        <w:tc>
          <w:tcPr>
            <w:tcW w:w="1313" w:type="dxa"/>
          </w:tcPr>
          <w:p w:rsidR="002D42AB" w:rsidRPr="002D42AB" w:rsidRDefault="002D42AB" w:rsidP="004E618F">
            <w:pPr>
              <w:pStyle w:val="u-mb-24"/>
              <w:spacing w:after="360" w:afterAutospacing="0"/>
              <w:jc w:val="both"/>
              <w:rPr>
                <w:color w:val="000000" w:themeColor="text1"/>
                <w:spacing w:val="2"/>
                <w:sz w:val="22"/>
                <w:szCs w:val="22"/>
                <w:lang w:val="en-US"/>
              </w:rPr>
            </w:pPr>
            <w:r w:rsidRPr="002D42AB">
              <w:rPr>
                <w:color w:val="000000" w:themeColor="text1"/>
                <w:sz w:val="22"/>
                <w:szCs w:val="22"/>
              </w:rPr>
              <w:t>Zn</w:t>
            </w:r>
          </w:p>
        </w:tc>
        <w:tc>
          <w:tcPr>
            <w:tcW w:w="3688" w:type="dxa"/>
          </w:tcPr>
          <w:p w:rsidR="002D42AB" w:rsidRPr="002D42AB" w:rsidRDefault="002D42AB" w:rsidP="004E618F">
            <w:pPr>
              <w:pStyle w:val="u-mb-24"/>
              <w:spacing w:after="360" w:afterAutospacing="0"/>
              <w:jc w:val="both"/>
              <w:rPr>
                <w:color w:val="000000" w:themeColor="text1"/>
                <w:spacing w:val="2"/>
                <w:sz w:val="22"/>
                <w:szCs w:val="22"/>
                <w:lang w:val="en-US"/>
              </w:rPr>
            </w:pPr>
            <w:r w:rsidRPr="002D42AB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427.5±4.7</w:t>
            </w:r>
          </w:p>
        </w:tc>
      </w:tr>
    </w:tbl>
    <w:p w:rsidR="002D42AB" w:rsidRDefault="002D42AB" w:rsidP="002D42AB">
      <w:pPr>
        <w:pStyle w:val="u-mb-24"/>
        <w:spacing w:after="360" w:afterAutospacing="0"/>
        <w:jc w:val="both"/>
        <w:rPr>
          <w:color w:val="000000" w:themeColor="text1"/>
          <w:spacing w:val="2"/>
          <w:sz w:val="22"/>
          <w:szCs w:val="22"/>
          <w:lang w:val="en-US"/>
        </w:rPr>
      </w:pPr>
      <w:r w:rsidRPr="002D42AB">
        <w:rPr>
          <w:color w:val="000000" w:themeColor="text1"/>
          <w:spacing w:val="2"/>
          <w:sz w:val="22"/>
          <w:szCs w:val="22"/>
          <w:lang w:val="en-US"/>
        </w:rPr>
        <w:t>For the determination of total TE, soil samples were digested using a microwave system (</w:t>
      </w:r>
      <w:proofErr w:type="spellStart"/>
      <w:r w:rsidRPr="002D42AB">
        <w:rPr>
          <w:color w:val="000000" w:themeColor="text1"/>
          <w:spacing w:val="2"/>
          <w:sz w:val="22"/>
          <w:szCs w:val="22"/>
          <w:lang w:val="en-US"/>
        </w:rPr>
        <w:t>Multiwave</w:t>
      </w:r>
      <w:proofErr w:type="spellEnd"/>
      <w:r w:rsidRPr="002D42AB">
        <w:rPr>
          <w:color w:val="000000" w:themeColor="text1"/>
          <w:spacing w:val="2"/>
          <w:sz w:val="22"/>
          <w:szCs w:val="22"/>
          <w:lang w:val="en-US"/>
        </w:rPr>
        <w:t xml:space="preserve"> 3000, Anton </w:t>
      </w:r>
      <w:proofErr w:type="spellStart"/>
      <w:r w:rsidRPr="002D42AB">
        <w:rPr>
          <w:color w:val="000000" w:themeColor="text1"/>
          <w:spacing w:val="2"/>
          <w:sz w:val="22"/>
          <w:szCs w:val="22"/>
          <w:lang w:val="en-US"/>
        </w:rPr>
        <w:t>Paar</w:t>
      </w:r>
      <w:proofErr w:type="spellEnd"/>
      <w:r w:rsidRPr="002D42AB">
        <w:rPr>
          <w:color w:val="000000" w:themeColor="text1"/>
          <w:spacing w:val="2"/>
          <w:sz w:val="22"/>
          <w:szCs w:val="22"/>
          <w:lang w:val="en-US"/>
        </w:rPr>
        <w:t xml:space="preserve">, St Albans, UK) in accordance with NF-EN-13656. Briefly, 0.5 g of soil was digested at 180 °C for 20 min in a mixture of 2 mL nitric acid (67%), 6 mL hydrochloric acid (36%), and 2 mL hydrofluoric acid (48%). The resulting extract was filtered through Whatman® filter paper (0.45 µm) and stored prior to analysis. Total concentrations of Cd, Pb, and Zn were determined either by inductively coupled plasma–optical emission spectrometry (ICP-OES, ICAP 6300 DUO, </w:t>
      </w:r>
      <w:proofErr w:type="spellStart"/>
      <w:r w:rsidRPr="002D42AB">
        <w:rPr>
          <w:color w:val="000000" w:themeColor="text1"/>
          <w:spacing w:val="2"/>
          <w:sz w:val="22"/>
          <w:szCs w:val="22"/>
          <w:lang w:val="en-US"/>
        </w:rPr>
        <w:t>ThermoFisher</w:t>
      </w:r>
      <w:proofErr w:type="spellEnd"/>
      <w:r w:rsidRPr="002D42AB">
        <w:rPr>
          <w:color w:val="000000" w:themeColor="text1"/>
          <w:spacing w:val="2"/>
          <w:sz w:val="22"/>
          <w:szCs w:val="22"/>
          <w:lang w:val="en-US"/>
        </w:rPr>
        <w:t xml:space="preserve"> Scientific, Loughborough, UK) or by inductively coupled plasma–mass spectrometry (ICP-MS, Varian 820 MS, Varian, Palo Alto, CA, USA), depending on the concentration levels. A certified reference material (ERM-CC141, loam soil, Sigma Aldrich, St Louis, MO, USA) was included for analytical quality control.</w:t>
      </w:r>
    </w:p>
    <w:p w:rsidR="00E03284" w:rsidRDefault="00E03284" w:rsidP="002D42AB">
      <w:pPr>
        <w:pStyle w:val="u-mb-24"/>
        <w:spacing w:after="360" w:afterAutospacing="0"/>
        <w:jc w:val="both"/>
        <w:rPr>
          <w:color w:val="000000" w:themeColor="text1"/>
          <w:spacing w:val="2"/>
          <w:sz w:val="22"/>
          <w:szCs w:val="22"/>
          <w:lang w:val="en-US"/>
        </w:rPr>
      </w:pPr>
    </w:p>
    <w:p w:rsidR="00E03284" w:rsidRDefault="00351240" w:rsidP="002D42AB">
      <w:pPr>
        <w:pStyle w:val="u-mb-24"/>
        <w:spacing w:after="360" w:afterAutospacing="0"/>
        <w:jc w:val="both"/>
        <w:rPr>
          <w:color w:val="000000" w:themeColor="text1"/>
          <w:spacing w:val="2"/>
          <w:sz w:val="22"/>
          <w:szCs w:val="22"/>
          <w:lang w:val="en-US"/>
        </w:rPr>
      </w:pPr>
      <w:r w:rsidRPr="00351240">
        <w:rPr>
          <w:noProof/>
          <w:color w:val="000000" w:themeColor="text1"/>
          <w:spacing w:val="2"/>
          <w:sz w:val="22"/>
          <w:szCs w:val="22"/>
        </w:rPr>
        <w:lastRenderedPageBreak/>
        <w:drawing>
          <wp:inline distT="0" distB="0" distL="0" distR="0">
            <wp:extent cx="5760720" cy="4225290"/>
            <wp:effectExtent l="19050" t="0" r="0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A8B" w:rsidRPr="00D42FA1" w:rsidRDefault="009B576C" w:rsidP="009B576C">
      <w:pPr>
        <w:pStyle w:val="u-mb-24"/>
        <w:spacing w:after="360" w:afterAutospacing="0"/>
        <w:jc w:val="both"/>
        <w:rPr>
          <w:color w:val="000000" w:themeColor="text1"/>
          <w:spacing w:val="2"/>
          <w:lang w:val="en-US"/>
        </w:rPr>
      </w:pPr>
      <w:r>
        <w:rPr>
          <w:color w:val="000000" w:themeColor="text1"/>
          <w:spacing w:val="2"/>
          <w:sz w:val="22"/>
          <w:szCs w:val="22"/>
          <w:lang w:val="en-US"/>
        </w:rPr>
        <w:t xml:space="preserve">Fig. S1: </w:t>
      </w:r>
      <w:r w:rsidR="00D42FA1" w:rsidRPr="00D42FA1">
        <w:rPr>
          <w:color w:val="000000" w:themeColor="text1"/>
          <w:spacing w:val="2"/>
          <w:lang w:val="en-US"/>
        </w:rPr>
        <w:t xml:space="preserve">Principal components of the </w:t>
      </w:r>
      <w:r w:rsidR="00D42FA1">
        <w:rPr>
          <w:color w:val="000000" w:themeColor="text1"/>
          <w:spacing w:val="2"/>
          <w:lang w:val="en-US"/>
        </w:rPr>
        <w:t>composition</w:t>
      </w:r>
      <w:r w:rsidR="00D42FA1" w:rsidRPr="00D42FA1">
        <w:rPr>
          <w:color w:val="000000" w:themeColor="text1"/>
          <w:spacing w:val="2"/>
          <w:lang w:val="en-US"/>
        </w:rPr>
        <w:t xml:space="preserve"> of the </w:t>
      </w:r>
      <w:r w:rsidR="00D42FA1">
        <w:rPr>
          <w:color w:val="000000" w:themeColor="text1"/>
          <w:spacing w:val="2"/>
          <w:lang w:val="en-US"/>
        </w:rPr>
        <w:t>th</w:t>
      </w:r>
      <w:r w:rsidR="00D42FA1" w:rsidRPr="00D42FA1">
        <w:rPr>
          <w:color w:val="000000" w:themeColor="text1"/>
          <w:spacing w:val="2"/>
          <w:lang w:val="en-US"/>
        </w:rPr>
        <w:t>ree</w:t>
      </w:r>
      <w:r w:rsidR="00D42FA1">
        <w:rPr>
          <w:color w:val="000000" w:themeColor="text1"/>
          <w:spacing w:val="2"/>
          <w:lang w:val="en-US"/>
        </w:rPr>
        <w:t xml:space="preserve"> essential oils under study (i.e. </w:t>
      </w:r>
      <w:r w:rsidR="00353C47">
        <w:rPr>
          <w:color w:val="000000" w:themeColor="text1"/>
          <w:spacing w:val="2"/>
          <w:lang w:val="en-US"/>
        </w:rPr>
        <w:t>in</w:t>
      </w:r>
      <w:r w:rsidR="00D42FA1">
        <w:rPr>
          <w:color w:val="000000" w:themeColor="text1"/>
          <w:spacing w:val="2"/>
          <w:lang w:val="en-US"/>
        </w:rPr>
        <w:t xml:space="preserve">oculated I, </w:t>
      </w:r>
      <w:r w:rsidR="00353C47">
        <w:rPr>
          <w:color w:val="000000" w:themeColor="text1"/>
          <w:spacing w:val="2"/>
          <w:lang w:val="en-US"/>
        </w:rPr>
        <w:t>n</w:t>
      </w:r>
      <w:r w:rsidR="00D42FA1">
        <w:rPr>
          <w:color w:val="000000" w:themeColor="text1"/>
          <w:spacing w:val="2"/>
          <w:lang w:val="en-US"/>
        </w:rPr>
        <w:t>on-</w:t>
      </w:r>
      <w:r w:rsidR="00353C47">
        <w:rPr>
          <w:color w:val="000000" w:themeColor="text1"/>
          <w:spacing w:val="2"/>
          <w:lang w:val="en-US"/>
        </w:rPr>
        <w:t>i</w:t>
      </w:r>
      <w:r w:rsidR="00D42FA1">
        <w:rPr>
          <w:color w:val="000000" w:themeColor="text1"/>
          <w:spacing w:val="2"/>
          <w:lang w:val="en-US"/>
        </w:rPr>
        <w:t>noculated NI and Commercial</w:t>
      </w:r>
      <w:r w:rsidR="00B14566">
        <w:rPr>
          <w:color w:val="000000" w:themeColor="text1"/>
          <w:spacing w:val="2"/>
          <w:lang w:val="en-US"/>
        </w:rPr>
        <w:t xml:space="preserve"> C</w:t>
      </w:r>
      <w:bookmarkStart w:id="0" w:name="_GoBack"/>
      <w:bookmarkEnd w:id="0"/>
      <w:r w:rsidR="00D42FA1">
        <w:rPr>
          <w:color w:val="000000" w:themeColor="text1"/>
          <w:spacing w:val="2"/>
          <w:lang w:val="en-US"/>
        </w:rPr>
        <w:t>)</w:t>
      </w:r>
      <w:r>
        <w:rPr>
          <w:color w:val="000000" w:themeColor="text1"/>
          <w:spacing w:val="2"/>
          <w:lang w:val="en-US"/>
        </w:rPr>
        <w:t xml:space="preserve"> showed that I and NI EOs were similar but different comparing to the commercial one.</w:t>
      </w:r>
    </w:p>
    <w:sectPr w:rsidR="00402A8B" w:rsidRPr="00D42FA1" w:rsidSect="00375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AB"/>
    <w:rsid w:val="00223FD9"/>
    <w:rsid w:val="002D42AB"/>
    <w:rsid w:val="00351240"/>
    <w:rsid w:val="00353C47"/>
    <w:rsid w:val="0035653A"/>
    <w:rsid w:val="003751B5"/>
    <w:rsid w:val="004D7177"/>
    <w:rsid w:val="00617049"/>
    <w:rsid w:val="00994980"/>
    <w:rsid w:val="009B576C"/>
    <w:rsid w:val="00B14566"/>
    <w:rsid w:val="00D42FA1"/>
    <w:rsid w:val="00E03284"/>
    <w:rsid w:val="00EF7616"/>
    <w:rsid w:val="00FC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B545"/>
  <w15:docId w15:val="{87F29053-4269-4E08-A3C6-0633EBAC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42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u-mb-24">
    <w:name w:val="u-mb-24"/>
    <w:basedOn w:val="Normal"/>
    <w:rsid w:val="002D4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2D4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0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Anissa Hadj Sahraoui</dc:creator>
  <cp:lastModifiedBy>Anissa Hadj Sahraoui</cp:lastModifiedBy>
  <cp:revision>2</cp:revision>
  <dcterms:created xsi:type="dcterms:W3CDTF">2025-11-27T08:55:00Z</dcterms:created>
  <dcterms:modified xsi:type="dcterms:W3CDTF">2025-11-27T08:55:00Z</dcterms:modified>
</cp:coreProperties>
</file>