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BBC3" w14:textId="5B791784" w:rsidR="00BB4A68" w:rsidRDefault="00521C22" w:rsidP="00521C22">
      <w:pPr>
        <w:widowControl/>
        <w:spacing w:before="120" w:after="240" w:line="360" w:lineRule="auto"/>
        <w:rPr>
          <w:rFonts w:ascii="Times New Roman" w:eastAsiaTheme="minorHAnsi" w:hAnsi="Times New Roman"/>
          <w:kern w:val="0"/>
          <w:szCs w:val="21"/>
        </w:rPr>
      </w:pPr>
      <w:r>
        <w:rPr>
          <w:noProof/>
        </w:rPr>
        <w:drawing>
          <wp:inline distT="0" distB="0" distL="0" distR="0" wp14:anchorId="314DF066" wp14:editId="5C21C78F">
            <wp:extent cx="5274310" cy="62261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6226175"/>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1. Functional enrichment of core genes</w:t>
      </w:r>
      <w:r w:rsidR="00456015">
        <w:rPr>
          <w:rFonts w:ascii="宋体" w:eastAsia="宋体" w:hAnsi="宋体" w:cs="宋体" w:hint="eastAsia"/>
          <w:b/>
          <w:bCs/>
          <w:kern w:val="0"/>
          <w:szCs w:val="21"/>
        </w:rPr>
        <w:t>.</w:t>
      </w:r>
      <w:r w:rsidR="00456015">
        <w:rPr>
          <w:rFonts w:ascii="宋体" w:eastAsia="宋体" w:hAnsi="宋体" w:cs="宋体"/>
          <w:b/>
          <w:bCs/>
          <w:kern w:val="0"/>
          <w:szCs w:val="21"/>
        </w:rPr>
        <w:t xml:space="preserve"> </w:t>
      </w:r>
      <w:r w:rsidR="00456015">
        <w:rPr>
          <w:rFonts w:ascii="Times New Roman Bold" w:hAnsi="Times New Roman Bold" w:cs="Times New Roman Bold" w:hint="eastAsia"/>
          <w:b/>
          <w:bCs/>
          <w:kern w:val="0"/>
          <w:szCs w:val="21"/>
        </w:rPr>
        <w:t>(</w:t>
      </w:r>
      <w:r w:rsidR="00456015">
        <w:rPr>
          <w:rFonts w:ascii="Times New Roman Bold" w:hAnsi="Times New Roman Bold" w:cs="Times New Roman Bold"/>
          <w:b/>
          <w:bCs/>
          <w:kern w:val="0"/>
          <w:szCs w:val="21"/>
        </w:rPr>
        <w:t>A)</w:t>
      </w:r>
      <w:r w:rsidR="00456015" w:rsidRPr="001C453A">
        <w:rPr>
          <w:rFonts w:ascii="Times New Roman Bold" w:hAnsi="Times New Roman Bold" w:cs="Times New Roman Bold"/>
          <w:kern w:val="0"/>
          <w:szCs w:val="21"/>
        </w:rPr>
        <w:t xml:space="preserve"> </w:t>
      </w:r>
      <w:r w:rsidR="001C453A" w:rsidRPr="001C453A">
        <w:rPr>
          <w:rFonts w:ascii="Times New Roman" w:eastAsiaTheme="minorHAnsi" w:hAnsi="Times New Roman"/>
          <w:kern w:val="0"/>
          <w:szCs w:val="21"/>
        </w:rPr>
        <w:t xml:space="preserve">Expression distribution of genes in samples </w:t>
      </w:r>
      <w:r w:rsidR="001C453A" w:rsidRPr="001C453A">
        <w:rPr>
          <w:rFonts w:ascii="Times New Roman" w:eastAsiaTheme="minorHAnsi" w:hAnsi="Times New Roman"/>
          <w:kern w:val="0"/>
          <w:szCs w:val="21"/>
        </w:rPr>
        <w:t xml:space="preserve">at </w:t>
      </w:r>
      <w:r w:rsidR="001C453A" w:rsidRPr="001C453A">
        <w:rPr>
          <w:rFonts w:ascii="Times New Roman" w:eastAsiaTheme="minorHAnsi" w:hAnsi="Times New Roman"/>
          <w:kern w:val="0"/>
          <w:szCs w:val="21"/>
        </w:rPr>
        <w:t>different TNM stages</w:t>
      </w:r>
      <w:r w:rsidR="001C453A" w:rsidRPr="001C453A">
        <w:rPr>
          <w:rFonts w:ascii="Times New Roman" w:eastAsiaTheme="minorHAnsi" w:hAnsi="Times New Roman"/>
          <w:kern w:val="0"/>
          <w:szCs w:val="21"/>
        </w:rPr>
        <w:t>.</w:t>
      </w:r>
      <w:r w:rsidR="001C453A">
        <w:rPr>
          <w:rFonts w:ascii="Times New Roman Bold" w:hAnsi="Times New Roman Bold" w:cs="Times New Roman Bold"/>
          <w:b/>
          <w:bCs/>
          <w:kern w:val="0"/>
          <w:szCs w:val="21"/>
        </w:rPr>
        <w:t xml:space="preserve"> (B)</w:t>
      </w:r>
      <w:r w:rsidR="001C453A" w:rsidRPr="001C453A">
        <w:rPr>
          <w:rFonts w:ascii="Times New Roman Bold" w:hAnsi="Times New Roman Bold" w:cs="Times New Roman Bold"/>
          <w:b/>
          <w:bCs/>
          <w:kern w:val="0"/>
          <w:szCs w:val="21"/>
        </w:rPr>
        <w:t xml:space="preserve"> </w:t>
      </w:r>
      <w:r w:rsidR="00000000">
        <w:rPr>
          <w:rFonts w:ascii="Times New Roman" w:eastAsiaTheme="minorHAnsi" w:hAnsi="Times New Roman"/>
          <w:kern w:val="0"/>
          <w:szCs w:val="21"/>
        </w:rPr>
        <w:t>KEGG Pathway: The enriched pathways include amebiasis, platelet activation, protein digestion and absorption, complement and coagulation cascades, ECM-receptor interaction, PI3K-Akt signaling pathway, and others. The bubble size represents the number of genes involved in each pathway, while the color intensity indicates the statistical significance (-log10(q.</w:t>
      </w:r>
      <w:r w:rsidR="002515C8">
        <w:rPr>
          <w:rFonts w:ascii="Times New Roman" w:eastAsiaTheme="minorHAnsi" w:hAnsi="Times New Roman"/>
          <w:kern w:val="0"/>
          <w:szCs w:val="21"/>
        </w:rPr>
        <w:t xml:space="preserve"> </w:t>
      </w:r>
      <w:r w:rsidR="00000000">
        <w:rPr>
          <w:rFonts w:ascii="Times New Roman" w:eastAsiaTheme="minorHAnsi" w:hAnsi="Times New Roman"/>
          <w:kern w:val="0"/>
          <w:szCs w:val="21"/>
        </w:rPr>
        <w:t>adjust)), with red representing the most significant enrichment.</w:t>
      </w:r>
      <w:r w:rsidR="001C453A">
        <w:rPr>
          <w:rFonts w:ascii="Times New Roman Bold" w:hAnsi="Times New Roman Bold" w:cs="Times New Roman Bold" w:hint="eastAsia"/>
          <w:b/>
          <w:bCs/>
          <w:kern w:val="0"/>
          <w:szCs w:val="21"/>
        </w:rPr>
        <w:t xml:space="preserve"> </w:t>
      </w:r>
      <w:r w:rsidR="001C453A" w:rsidRPr="001C453A">
        <w:rPr>
          <w:rFonts w:ascii="Times New Roman" w:eastAsiaTheme="minorHAnsi" w:hAnsi="Times New Roman"/>
          <w:b/>
          <w:bCs/>
          <w:kern w:val="0"/>
          <w:szCs w:val="21"/>
        </w:rPr>
        <w:t>(C)</w:t>
      </w:r>
      <w:r w:rsidR="001C453A">
        <w:rPr>
          <w:rFonts w:ascii="Times New Roman" w:eastAsiaTheme="minorHAnsi" w:hAnsi="Times New Roman"/>
          <w:b/>
          <w:bCs/>
          <w:kern w:val="0"/>
          <w:szCs w:val="21"/>
        </w:rPr>
        <w:t xml:space="preserve"> </w:t>
      </w:r>
      <w:r w:rsidR="00000000">
        <w:rPr>
          <w:rFonts w:ascii="Times New Roman" w:eastAsiaTheme="minorHAnsi" w:hAnsi="Times New Roman"/>
          <w:kern w:val="0"/>
          <w:szCs w:val="21"/>
        </w:rPr>
        <w:t xml:space="preserve">GO Biological Process: The main biological processes enriched are the negative regulation of immune system processes, leukocyte activation, extracellular </w:t>
      </w:r>
      <w:r w:rsidR="00000000">
        <w:rPr>
          <w:rFonts w:ascii="Times New Roman" w:eastAsiaTheme="minorHAnsi" w:hAnsi="Times New Roman" w:hint="eastAsia"/>
          <w:kern w:val="0"/>
          <w:szCs w:val="21"/>
        </w:rPr>
        <w:t>structure</w:t>
      </w:r>
      <w:r w:rsidR="00000000">
        <w:rPr>
          <w:rFonts w:ascii="Times New Roman" w:eastAsiaTheme="minorHAnsi" w:hAnsi="Times New Roman"/>
          <w:kern w:val="0"/>
          <w:szCs w:val="21"/>
        </w:rPr>
        <w:t xml:space="preserve"> organization, and related </w:t>
      </w:r>
      <w:r w:rsidR="00000000">
        <w:rPr>
          <w:rFonts w:ascii="Times New Roman" w:eastAsiaTheme="minorHAnsi" w:hAnsi="Times New Roman"/>
          <w:kern w:val="0"/>
          <w:szCs w:val="21"/>
        </w:rPr>
        <w:lastRenderedPageBreak/>
        <w:t>processes. Bubble size indicates the number of genes, and bubble color reflects the significance level, with red indicating highly significant enrichments.</w:t>
      </w:r>
      <w:r w:rsidR="00B52834">
        <w:rPr>
          <w:rFonts w:ascii="Times New Roman Bold" w:hAnsi="Times New Roman Bold" w:cs="Times New Roman Bold" w:hint="eastAsia"/>
          <w:b/>
          <w:bCs/>
          <w:kern w:val="0"/>
          <w:szCs w:val="21"/>
        </w:rPr>
        <w:t xml:space="preserve"> </w:t>
      </w:r>
      <w:r w:rsidR="001C453A" w:rsidRPr="001C453A">
        <w:rPr>
          <w:rFonts w:ascii="Times New Roman" w:eastAsiaTheme="minorHAnsi" w:hAnsi="Times New Roman"/>
          <w:b/>
          <w:bCs/>
          <w:kern w:val="0"/>
          <w:szCs w:val="21"/>
        </w:rPr>
        <w:t>(D)</w:t>
      </w:r>
      <w:r w:rsidR="001C453A">
        <w:rPr>
          <w:rFonts w:ascii="Times New Roman" w:eastAsiaTheme="minorHAnsi" w:hAnsi="Times New Roman"/>
          <w:b/>
          <w:bCs/>
          <w:kern w:val="0"/>
          <w:szCs w:val="21"/>
        </w:rPr>
        <w:t xml:space="preserve"> </w:t>
      </w:r>
      <w:r w:rsidR="00000000">
        <w:rPr>
          <w:rFonts w:ascii="Times New Roman" w:eastAsiaTheme="minorHAnsi" w:hAnsi="Times New Roman"/>
          <w:kern w:val="0"/>
          <w:szCs w:val="21"/>
        </w:rPr>
        <w:t>GO Molecular Function: Key enriched molecular functions include extracellular matrix structural constituent, integrin binding, growth factor binding, and platelet-derived growth factor binding. The bubble size represents the number of genes involved, and the color represents the level of significance, with red indicating the most significant enrichment.</w:t>
      </w:r>
      <w:r w:rsidR="001C453A">
        <w:rPr>
          <w:rFonts w:ascii="Times New Roman" w:hAnsi="Times New Roman" w:hint="eastAsia"/>
          <w:kern w:val="0"/>
          <w:szCs w:val="21"/>
        </w:rPr>
        <w:t xml:space="preserve"> </w:t>
      </w:r>
      <w:r w:rsidR="001C453A" w:rsidRPr="001C453A">
        <w:rPr>
          <w:rFonts w:ascii="Times New Roman" w:eastAsiaTheme="minorHAnsi" w:hAnsi="Times New Roman"/>
          <w:b/>
          <w:bCs/>
          <w:kern w:val="0"/>
          <w:szCs w:val="21"/>
        </w:rPr>
        <w:t>(E)</w:t>
      </w:r>
      <w:r w:rsidR="001C453A">
        <w:rPr>
          <w:rFonts w:ascii="Times New Roman" w:eastAsiaTheme="minorHAnsi" w:hAnsi="Times New Roman"/>
          <w:b/>
          <w:bCs/>
          <w:kern w:val="0"/>
          <w:szCs w:val="21"/>
        </w:rPr>
        <w:t xml:space="preserve"> </w:t>
      </w:r>
      <w:r w:rsidR="00000000">
        <w:rPr>
          <w:rFonts w:ascii="Times New Roman" w:eastAsiaTheme="minorHAnsi" w:hAnsi="Times New Roman"/>
          <w:kern w:val="0"/>
          <w:szCs w:val="21"/>
        </w:rPr>
        <w:t>GO Cellular Component: The enriched cellular components include collagen-containing extracellular matrix, secretory granule membrane, endoplasmic reticulum lumen, and more. The bubble size reflects the number of genes, while the color represents the significance, with red highlighting highly significant enrichment.</w:t>
      </w:r>
    </w:p>
    <w:p w14:paraId="2AF797BD" w14:textId="77850553" w:rsidR="00521C22" w:rsidRDefault="00521C22">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01A830DC" w14:textId="463ECDD0" w:rsidR="00BB4A68" w:rsidRDefault="00521C22" w:rsidP="00096FDF">
      <w:pPr>
        <w:widowControl/>
        <w:spacing w:before="120" w:after="240" w:line="360" w:lineRule="auto"/>
        <w:rPr>
          <w:rFonts w:ascii="Times New Roman" w:eastAsiaTheme="minorHAnsi" w:hAnsi="Times New Roman"/>
          <w:kern w:val="0"/>
          <w:szCs w:val="21"/>
        </w:rPr>
      </w:pPr>
      <w:r>
        <w:rPr>
          <w:noProof/>
        </w:rPr>
        <w:lastRenderedPageBreak/>
        <w:drawing>
          <wp:inline distT="0" distB="0" distL="0" distR="0" wp14:anchorId="1DBCA26C" wp14:editId="1A8E835D">
            <wp:extent cx="5274310" cy="36258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625850"/>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2. Expression and prognosis of key prognostic factors</w:t>
      </w:r>
      <w:r>
        <w:rPr>
          <w:rFonts w:ascii="Times New Roman Bold" w:eastAsiaTheme="minorHAnsi" w:hAnsi="Times New Roman Bold" w:cs="Times New Roman Bold"/>
          <w:b/>
          <w:bCs/>
          <w:kern w:val="0"/>
          <w:szCs w:val="21"/>
        </w:rPr>
        <w:t>.</w:t>
      </w:r>
      <w:r w:rsidR="00000000">
        <w:rPr>
          <w:rFonts w:ascii="Times New Roman Bold" w:eastAsiaTheme="minorHAnsi" w:hAnsi="Times New Roman Bold" w:cs="Times New Roman Bold"/>
          <w:b/>
          <w:bCs/>
          <w:kern w:val="0"/>
          <w:szCs w:val="21"/>
        </w:rPr>
        <w:t xml:space="preserve"> </w:t>
      </w:r>
      <w:r w:rsidRPr="00521C22">
        <w:rPr>
          <w:rFonts w:ascii="Times New Roman" w:eastAsiaTheme="minorHAnsi" w:hAnsi="Times New Roman"/>
          <w:b/>
          <w:bCs/>
          <w:kern w:val="0"/>
          <w:szCs w:val="21"/>
        </w:rPr>
        <w:t>(A)</w:t>
      </w:r>
      <w:r>
        <w:rPr>
          <w:rFonts w:ascii="Times New Roman" w:eastAsiaTheme="minorHAnsi" w:hAnsi="Times New Roman"/>
          <w:kern w:val="0"/>
          <w:szCs w:val="21"/>
        </w:rPr>
        <w:t xml:space="preserve"> </w:t>
      </w:r>
      <w:r w:rsidR="00000000">
        <w:rPr>
          <w:rFonts w:ascii="Times New Roman" w:eastAsiaTheme="minorHAnsi" w:hAnsi="Times New Roman"/>
          <w:kern w:val="0"/>
          <w:szCs w:val="21"/>
        </w:rPr>
        <w:t>Kaplan-Meier survival curves comparing the high and low expression groups for four genes (ST6GALNAC4, DAB2, LHFPL2, PFKP). In each plot, the blue line represents the low-expression group, and the red line represents the high-expression group. The p-value, hazard ratio (HR), and 95% confidence interval (CI) indicate the impact of high expression on overall survival. Patients in the high-expression groups consistently exhibited significantly reduced overall survival</w:t>
      </w:r>
      <w:r>
        <w:rPr>
          <w:rFonts w:ascii="Times New Roman" w:eastAsiaTheme="minorHAnsi" w:hAnsi="Times New Roman"/>
          <w:kern w:val="0"/>
          <w:szCs w:val="21"/>
        </w:rPr>
        <w:t>.</w:t>
      </w:r>
      <w:r w:rsidRPr="00521C22">
        <w:rPr>
          <w:rFonts w:ascii="Times New Roman" w:eastAsiaTheme="minorHAnsi" w:hAnsi="Times New Roman"/>
          <w:b/>
          <w:bCs/>
          <w:kern w:val="0"/>
          <w:szCs w:val="21"/>
        </w:rPr>
        <w:t xml:space="preserve"> </w:t>
      </w:r>
      <w:r w:rsidR="00000000" w:rsidRPr="00521C22">
        <w:rPr>
          <w:rFonts w:ascii="Times New Roman" w:eastAsiaTheme="minorHAnsi" w:hAnsi="Times New Roman"/>
          <w:b/>
          <w:bCs/>
          <w:kern w:val="0"/>
          <w:szCs w:val="21"/>
        </w:rPr>
        <w:t>(B)</w:t>
      </w:r>
      <w:r w:rsidR="00000000">
        <w:rPr>
          <w:rFonts w:ascii="Times New Roman" w:eastAsiaTheme="minorHAnsi" w:hAnsi="Times New Roman"/>
          <w:kern w:val="0"/>
          <w:szCs w:val="21"/>
        </w:rPr>
        <w:t xml:space="preserve"> A scatter plot showing</w:t>
      </w:r>
      <w:r w:rsidR="00000000">
        <w:rPr>
          <w:rFonts w:ascii="Times New Roman" w:eastAsiaTheme="minorHAnsi" w:hAnsi="Times New Roman" w:hint="eastAsia"/>
          <w:kern w:val="0"/>
          <w:szCs w:val="21"/>
        </w:rPr>
        <w:t xml:space="preserve"> r</w:t>
      </w:r>
      <w:r w:rsidR="00000000">
        <w:rPr>
          <w:rFonts w:ascii="Times New Roman" w:eastAsiaTheme="minorHAnsi" w:hAnsi="Times New Roman"/>
          <w:kern w:val="0"/>
          <w:szCs w:val="21"/>
        </w:rPr>
        <w:t>isk scores of the training set sorted in ascending order, with the x-axis representing the samples</w:t>
      </w:r>
      <w:r w:rsidR="00096FDF">
        <w:rPr>
          <w:rFonts w:ascii="Times New Roman" w:eastAsiaTheme="minorHAnsi" w:hAnsi="Times New Roman"/>
          <w:kern w:val="0"/>
          <w:szCs w:val="21"/>
        </w:rPr>
        <w:t>.</w:t>
      </w:r>
      <w:r w:rsidR="00000000">
        <w:rPr>
          <w:rFonts w:ascii="Times New Roman" w:eastAsiaTheme="minorHAnsi" w:hAnsi="Times New Roman"/>
          <w:kern w:val="0"/>
          <w:szCs w:val="21"/>
        </w:rPr>
        <w:t xml:space="preserve"> </w:t>
      </w:r>
      <w:r w:rsidR="00000000" w:rsidRPr="00096FDF">
        <w:rPr>
          <w:rFonts w:ascii="Times New Roman" w:eastAsiaTheme="minorHAnsi" w:hAnsi="Times New Roman"/>
          <w:b/>
          <w:bCs/>
          <w:kern w:val="0"/>
          <w:szCs w:val="21"/>
        </w:rPr>
        <w:t>(C)</w:t>
      </w:r>
      <w:r w:rsidR="00000000">
        <w:rPr>
          <w:rFonts w:ascii="Times New Roman" w:eastAsiaTheme="minorHAnsi" w:hAnsi="Times New Roman"/>
          <w:kern w:val="0"/>
          <w:szCs w:val="21"/>
        </w:rPr>
        <w:t xml:space="preserve"> Risk score distribution curve. The x-axis represents the patient sample number, and the y-axis represents the risk score. Red indicates the high-risk group, and blue indicates the low-risk group. </w:t>
      </w:r>
      <w:r w:rsidR="00000000" w:rsidRPr="00096FDF">
        <w:rPr>
          <w:rFonts w:ascii="Times New Roman" w:eastAsiaTheme="minorHAnsi" w:hAnsi="Times New Roman"/>
          <w:b/>
          <w:bCs/>
          <w:kern w:val="0"/>
          <w:szCs w:val="21"/>
        </w:rPr>
        <w:t>(D)</w:t>
      </w:r>
      <w:r w:rsidR="00000000">
        <w:rPr>
          <w:rFonts w:ascii="Times New Roman" w:eastAsiaTheme="minorHAnsi" w:hAnsi="Times New Roman"/>
          <w:kern w:val="0"/>
          <w:szCs w:val="21"/>
        </w:rPr>
        <w:t xml:space="preserve"> Scatter plot depicting the relationship between risk scores and OS days. Red dots represent deceased patients, and blue dots represent surviving patients. The y-axis in (C) shows the risk score, and in (D) the survival time.</w:t>
      </w:r>
    </w:p>
    <w:p w14:paraId="726A7F39" w14:textId="7A9FA5AA" w:rsidR="00096FDF" w:rsidRDefault="00096FDF">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11E116B1" w14:textId="59959B71" w:rsidR="00BB4A68" w:rsidRPr="002515C8" w:rsidRDefault="00096FDF" w:rsidP="00096FDF">
      <w:pPr>
        <w:widowControl/>
        <w:spacing w:before="120" w:after="240" w:line="360" w:lineRule="auto"/>
        <w:rPr>
          <w:rFonts w:ascii="Times New Roman Bold" w:hAnsi="Times New Roman Bold" w:cs="Times New Roman Bold"/>
          <w:b/>
          <w:bCs/>
          <w:kern w:val="0"/>
          <w:szCs w:val="21"/>
        </w:rPr>
      </w:pPr>
      <w:r>
        <w:rPr>
          <w:noProof/>
        </w:rPr>
        <w:lastRenderedPageBreak/>
        <w:drawing>
          <wp:inline distT="0" distB="0" distL="0" distR="0" wp14:anchorId="72417992" wp14:editId="47AB53B9">
            <wp:extent cx="5274310" cy="668337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683375"/>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3. Comparison of the immune microenvironment between high- and low-risk groups</w:t>
      </w:r>
      <w:r>
        <w:rPr>
          <w:rFonts w:ascii="Times New Roman Bold" w:hAnsi="Times New Roman Bold" w:cs="Times New Roman Bold" w:hint="eastAsia"/>
          <w:b/>
          <w:bCs/>
          <w:kern w:val="0"/>
          <w:szCs w:val="21"/>
        </w:rPr>
        <w:t>.</w:t>
      </w:r>
      <w:r>
        <w:rPr>
          <w:rFonts w:ascii="Times New Roman Bold" w:hAnsi="Times New Roman Bold" w:cs="Times New Roman Bold"/>
          <w:b/>
          <w:bCs/>
          <w:kern w:val="0"/>
          <w:szCs w:val="21"/>
        </w:rPr>
        <w:t xml:space="preserve"> </w:t>
      </w:r>
      <w:r w:rsidR="00000000" w:rsidRPr="00096FDF">
        <w:rPr>
          <w:rFonts w:ascii="Times New Roman" w:eastAsiaTheme="minorHAnsi" w:hAnsi="Times New Roman"/>
          <w:b/>
          <w:bCs/>
          <w:kern w:val="0"/>
          <w:szCs w:val="21"/>
        </w:rPr>
        <w:t>(A)</w:t>
      </w:r>
      <w:r w:rsidR="00000000">
        <w:rPr>
          <w:rFonts w:ascii="Times New Roman" w:eastAsiaTheme="minorHAnsi" w:hAnsi="Times New Roman"/>
          <w:kern w:val="0"/>
          <w:szCs w:val="21"/>
        </w:rPr>
        <w:t xml:space="preserve"> Immune and tumor purity scores based on the ESTIMATE algorithm. The box plots compare ESTIMATE scores, immune scores, stromal scores, and tumor purity between the low and high expression groups. The high expression group exhibits significantly higher ESTIMATE scores, immune scores, and stromal scores compared to the low expression group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0.0001), along with significantly higher tumor purity. These results suggest that high gene expression may be associated with changes in the tumor immune microenvironment</w:t>
      </w:r>
      <w:r>
        <w:rPr>
          <w:rFonts w:ascii="Times New Roman" w:eastAsiaTheme="minorHAnsi" w:hAnsi="Times New Roman"/>
          <w:kern w:val="0"/>
          <w:szCs w:val="21"/>
        </w:rPr>
        <w:t>.</w:t>
      </w:r>
      <w:r w:rsidR="00000000">
        <w:rPr>
          <w:rFonts w:ascii="Times New Roman" w:eastAsiaTheme="minorHAnsi" w:hAnsi="Times New Roman"/>
          <w:kern w:val="0"/>
          <w:szCs w:val="21"/>
        </w:rPr>
        <w:t xml:space="preserve"> </w:t>
      </w:r>
      <w:r w:rsidR="00000000" w:rsidRPr="00096FDF">
        <w:rPr>
          <w:rFonts w:ascii="Times New Roman" w:eastAsiaTheme="minorHAnsi" w:hAnsi="Times New Roman"/>
          <w:b/>
          <w:bCs/>
          <w:kern w:val="0"/>
          <w:szCs w:val="21"/>
        </w:rPr>
        <w:t>(B)</w:t>
      </w:r>
      <w:r w:rsidR="00000000">
        <w:rPr>
          <w:rFonts w:ascii="Times New Roman" w:eastAsiaTheme="minorHAnsi" w:hAnsi="Times New Roman"/>
          <w:kern w:val="0"/>
          <w:szCs w:val="21"/>
        </w:rPr>
        <w:t xml:space="preserve"> </w:t>
      </w:r>
      <w:r w:rsidR="00000000">
        <w:rPr>
          <w:rFonts w:ascii="Times New Roman" w:eastAsiaTheme="minorHAnsi" w:hAnsi="Times New Roman"/>
          <w:kern w:val="0"/>
          <w:szCs w:val="21"/>
        </w:rPr>
        <w:lastRenderedPageBreak/>
        <w:t>Immune cell infiltration analysis. The box plots display the differences in immune cell infiltration between the low and high expression groups across various immune cell subtypes. The high expression group shows significantly higher infiltration levels of macrophages (M0, M1, and M2), activated mast cells, and monocytes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0.01;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0.0001), while other immune cell types, such as B cells and T cells, show no significant differences (ns denotes no statistical significance); </w:t>
      </w:r>
      <w:r w:rsidR="00000000" w:rsidRPr="00096FDF">
        <w:rPr>
          <w:rFonts w:ascii="Times New Roman" w:eastAsiaTheme="minorHAnsi" w:hAnsi="Times New Roman"/>
          <w:b/>
          <w:bCs/>
          <w:kern w:val="0"/>
          <w:szCs w:val="21"/>
        </w:rPr>
        <w:t>(C)</w:t>
      </w:r>
      <w:r w:rsidR="00000000">
        <w:rPr>
          <w:rFonts w:ascii="Times New Roman" w:eastAsiaTheme="minorHAnsi" w:hAnsi="Times New Roman"/>
          <w:kern w:val="0"/>
          <w:szCs w:val="21"/>
        </w:rPr>
        <w:t xml:space="preserve"> Differential expression of immune checkpoint genes. The plot compares the expression levels of multiple immune checkpoint genes between the low and high expression groups. Significant differences in expression are indicated by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0.05, **</w:t>
      </w:r>
      <w:r w:rsidR="00000000">
        <w:rPr>
          <w:rFonts w:ascii="Times New Roman Italic" w:eastAsiaTheme="minorHAnsi" w:hAnsi="Times New Roman Italic" w:cs="Times New Roman Italic"/>
          <w:i/>
          <w:iCs/>
          <w:kern w:val="0"/>
          <w:szCs w:val="21"/>
        </w:rPr>
        <w:t xml:space="preserve">p </w:t>
      </w:r>
      <w:r w:rsidR="00000000">
        <w:rPr>
          <w:rFonts w:ascii="Times New Roman" w:eastAsiaTheme="minorHAnsi" w:hAnsi="Times New Roman"/>
          <w:kern w:val="0"/>
          <w:szCs w:val="21"/>
        </w:rPr>
        <w:t>&lt; 0.01,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0.0001. This analysis provides insights into the potential association between gene expression levels and immune checkpoint regulation, offering clues for the application of immunotherapy.</w:t>
      </w:r>
    </w:p>
    <w:p w14:paraId="7904B54D" w14:textId="44AC5331" w:rsidR="00096FDF" w:rsidRDefault="00096FDF">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3E1CB9E0" w14:textId="47671B78" w:rsidR="00BB4A68" w:rsidRPr="002515C8" w:rsidRDefault="00096FDF" w:rsidP="00096FDF">
      <w:pPr>
        <w:widowControl/>
        <w:spacing w:before="120" w:after="240" w:line="360" w:lineRule="auto"/>
        <w:rPr>
          <w:rFonts w:ascii="Times New Roman Bold" w:eastAsiaTheme="minorHAnsi" w:hAnsi="Times New Roman Bold" w:cs="Times New Roman Bold"/>
          <w:b/>
          <w:bCs/>
          <w:kern w:val="0"/>
          <w:szCs w:val="21"/>
        </w:rPr>
      </w:pPr>
      <w:r>
        <w:rPr>
          <w:noProof/>
        </w:rPr>
        <w:lastRenderedPageBreak/>
        <w:drawing>
          <wp:inline distT="0" distB="0" distL="0" distR="0" wp14:anchorId="4DA83F64" wp14:editId="550E3476">
            <wp:extent cx="5274310" cy="62103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210300"/>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4. CTPR database results</w:t>
      </w:r>
      <w:r>
        <w:rPr>
          <w:rFonts w:ascii="Times New Roman Bold" w:eastAsiaTheme="minorHAnsi" w:hAnsi="Times New Roman Bold" w:cs="Times New Roman Bold"/>
          <w:b/>
          <w:bCs/>
          <w:kern w:val="0"/>
          <w:szCs w:val="21"/>
        </w:rPr>
        <w:t xml:space="preserve">. </w:t>
      </w:r>
      <w:r w:rsidR="00000000" w:rsidRPr="00096FDF">
        <w:rPr>
          <w:rFonts w:ascii="Times New Roman" w:eastAsiaTheme="minorHAnsi" w:hAnsi="Times New Roman"/>
          <w:b/>
          <w:bCs/>
          <w:kern w:val="0"/>
          <w:szCs w:val="21"/>
        </w:rPr>
        <w:t>(A)</w:t>
      </w:r>
      <w:r w:rsidR="00000000">
        <w:rPr>
          <w:rFonts w:ascii="Times New Roman" w:eastAsiaTheme="minorHAnsi" w:hAnsi="Times New Roman"/>
          <w:kern w:val="0"/>
          <w:szCs w:val="21"/>
        </w:rPr>
        <w:t xml:space="preserve"> Drug sensitivity box plots. This section compares the drug sensitivity between the high and low gene expression groups for six drugs (ABT-737, alisertib:</w:t>
      </w:r>
      <w:r w:rsidR="002515C8">
        <w:rPr>
          <w:rFonts w:ascii="Times New Roman" w:eastAsiaTheme="minorHAnsi" w:hAnsi="Times New Roman"/>
          <w:kern w:val="0"/>
          <w:szCs w:val="21"/>
        </w:rPr>
        <w:t xml:space="preserve"> </w:t>
      </w:r>
      <w:r w:rsidR="00000000">
        <w:rPr>
          <w:rFonts w:ascii="Times New Roman" w:eastAsiaTheme="minorHAnsi" w:hAnsi="Times New Roman"/>
          <w:kern w:val="0"/>
          <w:szCs w:val="21"/>
        </w:rPr>
        <w:t>navitoclax, BRD-A02303741:</w:t>
      </w:r>
      <w:r w:rsidR="002515C8">
        <w:rPr>
          <w:rFonts w:ascii="Times New Roman" w:eastAsiaTheme="minorHAnsi" w:hAnsi="Times New Roman"/>
          <w:kern w:val="0"/>
          <w:szCs w:val="21"/>
        </w:rPr>
        <w:t xml:space="preserve"> </w:t>
      </w:r>
      <w:r w:rsidR="00000000">
        <w:rPr>
          <w:rFonts w:ascii="Times New Roman" w:eastAsiaTheme="minorHAnsi" w:hAnsi="Times New Roman"/>
          <w:kern w:val="0"/>
          <w:szCs w:val="21"/>
        </w:rPr>
        <w:t>navitoclax, BRD-K50799972, FQI-2, and simvastatin). In the box plots, blue represents the low-expression group, and red represents the high-expression group. The significant differences in drug sensitivity between the two groups, indicated by ****</w:t>
      </w:r>
      <w:r w:rsidR="00000000">
        <w:rPr>
          <w:rFonts w:ascii="Times New Roman Italic" w:eastAsiaTheme="minorHAnsi" w:hAnsi="Times New Roman Italic" w:cs="Times New Roman Italic"/>
          <w:i/>
          <w:iCs/>
          <w:kern w:val="0"/>
          <w:szCs w:val="21"/>
        </w:rPr>
        <w:t>p</w:t>
      </w:r>
      <w:r w:rsidR="00000000">
        <w:rPr>
          <w:rFonts w:ascii="Times New Roman" w:eastAsiaTheme="minorHAnsi" w:hAnsi="Times New Roman"/>
          <w:kern w:val="0"/>
          <w:szCs w:val="21"/>
        </w:rPr>
        <w:t xml:space="preserve"> &lt; 0.0001, suggest that gene expression levels may influence patient responses to these drugs</w:t>
      </w:r>
      <w:r>
        <w:rPr>
          <w:rFonts w:ascii="Times New Roman" w:eastAsiaTheme="minorHAnsi" w:hAnsi="Times New Roman"/>
          <w:kern w:val="0"/>
          <w:szCs w:val="21"/>
        </w:rPr>
        <w:t xml:space="preserve">. </w:t>
      </w:r>
      <w:r w:rsidR="00000000" w:rsidRPr="00096FDF">
        <w:rPr>
          <w:rFonts w:ascii="Times New Roman" w:eastAsiaTheme="minorHAnsi" w:hAnsi="Times New Roman"/>
          <w:b/>
          <w:bCs/>
          <w:kern w:val="0"/>
          <w:szCs w:val="21"/>
        </w:rPr>
        <w:t>(B)</w:t>
      </w:r>
      <w:r w:rsidR="00000000">
        <w:rPr>
          <w:rFonts w:ascii="Times New Roman" w:eastAsiaTheme="minorHAnsi" w:hAnsi="Times New Roman"/>
          <w:kern w:val="0"/>
          <w:szCs w:val="21"/>
        </w:rPr>
        <w:t xml:space="preserve"> Drug correlation bubble plot. This plot illustrates the correlation between four genes (ST6GALNAC4, DAB2, LHFPL2, and PFKP) and the sensitivity to a wide range of drugs. </w:t>
      </w:r>
      <w:r w:rsidR="00000000">
        <w:rPr>
          <w:rFonts w:ascii="Times New Roman" w:eastAsiaTheme="minorHAnsi" w:hAnsi="Times New Roman"/>
          <w:kern w:val="0"/>
          <w:szCs w:val="21"/>
        </w:rPr>
        <w:lastRenderedPageBreak/>
        <w:t>The bubble size represents the significance of the p-value, while the bubble color reflects the correlation between gene expression and drug sensitivity (red for positive correlation and blue for negative correlation).</w:t>
      </w:r>
    </w:p>
    <w:p w14:paraId="7F9A35DA" w14:textId="5A10D8EA" w:rsidR="00096FDF" w:rsidRDefault="00096FDF">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6C92A053" w14:textId="032C4DFA" w:rsidR="00BB4A68" w:rsidRDefault="00096FDF" w:rsidP="00096FDF">
      <w:pPr>
        <w:widowControl/>
        <w:spacing w:before="120" w:after="240" w:line="360" w:lineRule="auto"/>
        <w:rPr>
          <w:rFonts w:ascii="Times New Roman" w:eastAsiaTheme="minorHAnsi" w:hAnsi="Times New Roman"/>
          <w:kern w:val="0"/>
          <w:szCs w:val="21"/>
        </w:rPr>
      </w:pPr>
      <w:r>
        <w:rPr>
          <w:noProof/>
        </w:rPr>
        <w:lastRenderedPageBreak/>
        <w:drawing>
          <wp:inline distT="0" distB="0" distL="0" distR="0" wp14:anchorId="3EBA9B21" wp14:editId="0FD7E9AF">
            <wp:extent cx="5274310" cy="51574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157470"/>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5. Quality control of single-cell data</w:t>
      </w:r>
      <w:r>
        <w:rPr>
          <w:rFonts w:ascii="Times New Roman Bold" w:hAnsi="Times New Roman Bold" w:cs="Times New Roman Bold" w:hint="eastAsia"/>
          <w:b/>
          <w:bCs/>
          <w:kern w:val="0"/>
          <w:szCs w:val="21"/>
        </w:rPr>
        <w:t>.</w:t>
      </w:r>
      <w:r>
        <w:rPr>
          <w:rFonts w:ascii="Times New Roman Bold" w:hAnsi="Times New Roman Bold" w:cs="Times New Roman Bold"/>
          <w:b/>
          <w:bCs/>
          <w:kern w:val="0"/>
          <w:szCs w:val="21"/>
        </w:rPr>
        <w:t xml:space="preserve"> </w:t>
      </w:r>
      <w:r w:rsidR="00000000" w:rsidRPr="00096FDF">
        <w:rPr>
          <w:rFonts w:ascii="Times New Roman" w:eastAsiaTheme="minorHAnsi" w:hAnsi="Times New Roman"/>
          <w:b/>
          <w:bCs/>
          <w:kern w:val="0"/>
          <w:szCs w:val="21"/>
        </w:rPr>
        <w:t>(A)</w:t>
      </w:r>
      <w:r w:rsidR="00000000">
        <w:rPr>
          <w:rFonts w:ascii="Times New Roman" w:eastAsiaTheme="minorHAnsi" w:hAnsi="Times New Roman"/>
          <w:kern w:val="0"/>
          <w:szCs w:val="21"/>
        </w:rPr>
        <w:t xml:space="preserve"> Violin plots display the distribution of </w:t>
      </w:r>
      <w:proofErr w:type="spellStart"/>
      <w:r w:rsidR="00000000">
        <w:rPr>
          <w:rFonts w:ascii="Times New Roman" w:eastAsiaTheme="minorHAnsi" w:hAnsi="Times New Roman"/>
          <w:kern w:val="0"/>
          <w:szCs w:val="21"/>
        </w:rPr>
        <w:t>nFeature_RNA</w:t>
      </w:r>
      <w:proofErr w:type="spellEnd"/>
      <w:r w:rsidR="00000000">
        <w:rPr>
          <w:rFonts w:ascii="Times New Roman" w:eastAsiaTheme="minorHAnsi" w:hAnsi="Times New Roman"/>
          <w:kern w:val="0"/>
          <w:szCs w:val="21"/>
        </w:rPr>
        <w:t xml:space="preserve"> (number of detected genes), </w:t>
      </w:r>
      <w:proofErr w:type="spellStart"/>
      <w:r w:rsidR="00000000">
        <w:rPr>
          <w:rFonts w:ascii="Times New Roman" w:eastAsiaTheme="minorHAnsi" w:hAnsi="Times New Roman"/>
          <w:kern w:val="0"/>
          <w:szCs w:val="21"/>
        </w:rPr>
        <w:t>nCount_RNA</w:t>
      </w:r>
      <w:proofErr w:type="spellEnd"/>
      <w:r w:rsidR="00000000">
        <w:rPr>
          <w:rFonts w:ascii="Times New Roman" w:eastAsiaTheme="minorHAnsi" w:hAnsi="Times New Roman"/>
          <w:kern w:val="0"/>
          <w:szCs w:val="21"/>
        </w:rPr>
        <w:t xml:space="preserve"> (total RNA count), </w:t>
      </w:r>
      <w:proofErr w:type="spellStart"/>
      <w:proofErr w:type="gramStart"/>
      <w:r w:rsidR="00000000">
        <w:rPr>
          <w:rFonts w:ascii="Times New Roman" w:eastAsiaTheme="minorHAnsi" w:hAnsi="Times New Roman"/>
          <w:kern w:val="0"/>
          <w:szCs w:val="21"/>
        </w:rPr>
        <w:t>percent.mito</w:t>
      </w:r>
      <w:proofErr w:type="spellEnd"/>
      <w:proofErr w:type="gramEnd"/>
      <w:r w:rsidR="00000000">
        <w:rPr>
          <w:rFonts w:ascii="Times New Roman" w:eastAsiaTheme="minorHAnsi" w:hAnsi="Times New Roman"/>
          <w:kern w:val="0"/>
          <w:szCs w:val="21"/>
        </w:rPr>
        <w:t xml:space="preserve"> (percentage of mitochondrial genes), and </w:t>
      </w:r>
      <w:proofErr w:type="spellStart"/>
      <w:r w:rsidR="00000000">
        <w:rPr>
          <w:rFonts w:ascii="Times New Roman" w:eastAsiaTheme="minorHAnsi" w:hAnsi="Times New Roman"/>
          <w:kern w:val="0"/>
          <w:szCs w:val="21"/>
        </w:rPr>
        <w:t>percent.HB</w:t>
      </w:r>
      <w:proofErr w:type="spellEnd"/>
      <w:r w:rsidR="00000000">
        <w:rPr>
          <w:rFonts w:ascii="Times New Roman" w:eastAsiaTheme="minorHAnsi" w:hAnsi="Times New Roman"/>
          <w:kern w:val="0"/>
          <w:szCs w:val="21"/>
        </w:rPr>
        <w:t xml:space="preserve"> (percentage of hemoglobin genes) for each sample. Each sample is represented by a different color. The plots show variability between samples in terms of RNA feature count and RNA total count. The mitochondrial gene and hemoglobin gene percentages are relatively consistent across most samples, although certain samples exhibit higher hemoglobin gene percentages</w:t>
      </w:r>
      <w:r w:rsidR="00D2234E">
        <w:rPr>
          <w:rFonts w:ascii="Times New Roman" w:eastAsiaTheme="minorHAnsi" w:hAnsi="Times New Roman"/>
          <w:kern w:val="0"/>
          <w:szCs w:val="21"/>
        </w:rPr>
        <w:t xml:space="preserve">. </w:t>
      </w:r>
      <w:proofErr w:type="gramStart"/>
      <w:r w:rsidR="00000000">
        <w:rPr>
          <w:rFonts w:ascii="Times New Roman" w:eastAsiaTheme="minorHAnsi" w:hAnsi="Times New Roman"/>
          <w:kern w:val="0"/>
          <w:szCs w:val="21"/>
        </w:rPr>
        <w:t>(</w:t>
      </w:r>
      <w:proofErr w:type="gramEnd"/>
      <w:r w:rsidR="00000000">
        <w:rPr>
          <w:rFonts w:ascii="Times New Roman" w:eastAsiaTheme="minorHAnsi" w:hAnsi="Times New Roman"/>
          <w:kern w:val="0"/>
          <w:szCs w:val="21"/>
        </w:rPr>
        <w:t xml:space="preserve">B) Scatter plots illustrate the correlation between different quality control metrics. A strong positive correlation is observed between </w:t>
      </w:r>
      <w:proofErr w:type="spellStart"/>
      <w:r w:rsidR="00000000">
        <w:rPr>
          <w:rFonts w:ascii="Times New Roman" w:eastAsiaTheme="minorHAnsi" w:hAnsi="Times New Roman"/>
          <w:kern w:val="0"/>
          <w:szCs w:val="21"/>
        </w:rPr>
        <w:t>nFeature_RNA</w:t>
      </w:r>
      <w:proofErr w:type="spellEnd"/>
      <w:r w:rsidR="00000000">
        <w:rPr>
          <w:rFonts w:ascii="Times New Roman" w:eastAsiaTheme="minorHAnsi" w:hAnsi="Times New Roman"/>
          <w:kern w:val="0"/>
          <w:szCs w:val="21"/>
        </w:rPr>
        <w:t xml:space="preserve"> and </w:t>
      </w:r>
      <w:proofErr w:type="spellStart"/>
      <w:r w:rsidR="00000000">
        <w:rPr>
          <w:rFonts w:ascii="Times New Roman" w:eastAsiaTheme="minorHAnsi" w:hAnsi="Times New Roman"/>
          <w:kern w:val="0"/>
          <w:szCs w:val="21"/>
        </w:rPr>
        <w:t>nCount_RNA</w:t>
      </w:r>
      <w:proofErr w:type="spellEnd"/>
      <w:r w:rsidR="00000000">
        <w:rPr>
          <w:rFonts w:ascii="Times New Roman" w:eastAsiaTheme="minorHAnsi" w:hAnsi="Times New Roman"/>
          <w:kern w:val="0"/>
          <w:szCs w:val="21"/>
        </w:rPr>
        <w:t xml:space="preserve"> (correlation coefficient = 0.92), indicating a strong association between the total RNA count and the number of detected genes. Other correlations, such as </w:t>
      </w:r>
      <w:proofErr w:type="spellStart"/>
      <w:proofErr w:type="gramStart"/>
      <w:r w:rsidR="00000000">
        <w:rPr>
          <w:rFonts w:ascii="Times New Roman" w:eastAsiaTheme="minorHAnsi" w:hAnsi="Times New Roman"/>
          <w:kern w:val="0"/>
          <w:szCs w:val="21"/>
        </w:rPr>
        <w:t>percent.mito</w:t>
      </w:r>
      <w:proofErr w:type="spellEnd"/>
      <w:proofErr w:type="gramEnd"/>
      <w:r w:rsidR="00000000">
        <w:rPr>
          <w:rFonts w:ascii="Times New Roman" w:eastAsiaTheme="minorHAnsi" w:hAnsi="Times New Roman"/>
          <w:kern w:val="0"/>
          <w:szCs w:val="21"/>
        </w:rPr>
        <w:t xml:space="preserve"> with </w:t>
      </w:r>
      <w:proofErr w:type="spellStart"/>
      <w:r w:rsidR="00000000">
        <w:rPr>
          <w:rFonts w:ascii="Times New Roman" w:eastAsiaTheme="minorHAnsi" w:hAnsi="Times New Roman"/>
          <w:kern w:val="0"/>
          <w:szCs w:val="21"/>
        </w:rPr>
        <w:t>nCount_RNA</w:t>
      </w:r>
      <w:proofErr w:type="spellEnd"/>
      <w:r w:rsidR="00000000">
        <w:rPr>
          <w:rFonts w:ascii="Times New Roman" w:eastAsiaTheme="minorHAnsi" w:hAnsi="Times New Roman"/>
          <w:kern w:val="0"/>
          <w:szCs w:val="21"/>
        </w:rPr>
        <w:t xml:space="preserve"> and </w:t>
      </w:r>
      <w:proofErr w:type="spellStart"/>
      <w:r w:rsidR="00000000">
        <w:rPr>
          <w:rFonts w:ascii="Times New Roman" w:eastAsiaTheme="minorHAnsi" w:hAnsi="Times New Roman"/>
          <w:kern w:val="0"/>
          <w:szCs w:val="21"/>
        </w:rPr>
        <w:t>percent.HB</w:t>
      </w:r>
      <w:proofErr w:type="spellEnd"/>
      <w:r w:rsidR="00000000">
        <w:rPr>
          <w:rFonts w:ascii="Times New Roman" w:eastAsiaTheme="minorHAnsi" w:hAnsi="Times New Roman"/>
          <w:kern w:val="0"/>
          <w:szCs w:val="21"/>
        </w:rPr>
        <w:t xml:space="preserve"> with </w:t>
      </w:r>
      <w:proofErr w:type="spellStart"/>
      <w:r w:rsidR="00000000">
        <w:rPr>
          <w:rFonts w:ascii="Times New Roman" w:eastAsiaTheme="minorHAnsi" w:hAnsi="Times New Roman"/>
          <w:kern w:val="0"/>
          <w:szCs w:val="21"/>
        </w:rPr>
        <w:t>nCount_RNA</w:t>
      </w:r>
      <w:proofErr w:type="spellEnd"/>
      <w:r w:rsidR="00000000">
        <w:rPr>
          <w:rFonts w:ascii="Times New Roman" w:eastAsiaTheme="minorHAnsi" w:hAnsi="Times New Roman"/>
          <w:kern w:val="0"/>
          <w:szCs w:val="21"/>
        </w:rPr>
        <w:t xml:space="preserve">, show weaker associations, </w:t>
      </w:r>
      <w:r w:rsidR="00000000">
        <w:rPr>
          <w:rFonts w:ascii="Times New Roman" w:eastAsiaTheme="minorHAnsi" w:hAnsi="Times New Roman"/>
          <w:kern w:val="0"/>
          <w:szCs w:val="21"/>
        </w:rPr>
        <w:lastRenderedPageBreak/>
        <w:t>suggesting that the mitochondrial gene and hemoglobin gene percentages are not strongly linked to RNA count or feature numbers.</w:t>
      </w:r>
    </w:p>
    <w:p w14:paraId="55B81356" w14:textId="11CAA7D5" w:rsidR="00D2234E" w:rsidRDefault="00D2234E">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6675A4DF" w14:textId="28A250DF" w:rsidR="00BB4A68" w:rsidRDefault="00D2234E" w:rsidP="009C7DED">
      <w:pPr>
        <w:widowControl/>
        <w:spacing w:before="120" w:after="240" w:line="360" w:lineRule="auto"/>
        <w:rPr>
          <w:rFonts w:ascii="Times New Roman" w:eastAsiaTheme="minorHAnsi" w:hAnsi="Times New Roman"/>
          <w:kern w:val="0"/>
          <w:szCs w:val="21"/>
        </w:rPr>
      </w:pPr>
      <w:r>
        <w:rPr>
          <w:noProof/>
        </w:rPr>
        <w:lastRenderedPageBreak/>
        <w:drawing>
          <wp:inline distT="0" distB="0" distL="0" distR="0" wp14:anchorId="1896A00D" wp14:editId="3D7C74C9">
            <wp:extent cx="5274310" cy="546036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460365"/>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6. Normalization and annotation of single-cell data</w:t>
      </w:r>
      <w:r>
        <w:rPr>
          <w:rFonts w:ascii="Times New Roman Bold" w:eastAsiaTheme="minorHAnsi" w:hAnsi="Times New Roman Bold" w:cs="Times New Roman Bold"/>
          <w:b/>
          <w:bCs/>
          <w:kern w:val="0"/>
          <w:szCs w:val="21"/>
        </w:rPr>
        <w:t xml:space="preserve">. </w:t>
      </w:r>
      <w:r w:rsidR="00000000" w:rsidRPr="00D2234E">
        <w:rPr>
          <w:rFonts w:ascii="Times New Roman" w:eastAsiaTheme="minorHAnsi" w:hAnsi="Times New Roman"/>
          <w:b/>
          <w:bCs/>
          <w:kern w:val="0"/>
          <w:szCs w:val="21"/>
        </w:rPr>
        <w:t>(A)</w:t>
      </w:r>
      <w:r w:rsidR="00000000">
        <w:rPr>
          <w:rFonts w:ascii="Times New Roman" w:eastAsiaTheme="minorHAnsi" w:hAnsi="Times New Roman"/>
          <w:kern w:val="0"/>
          <w:szCs w:val="21"/>
        </w:rPr>
        <w:t xml:space="preserve"> Gene variability analysis. The plot shows the relationship between standardized variance and average expression of each gene. Red dots represent highly variable genes, which display higher standardized variance, indicating significant expression differences across different cells.</w:t>
      </w:r>
      <w:r w:rsid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(B)</w:t>
      </w:r>
      <w:r w:rsidR="00000000">
        <w:rPr>
          <w:rFonts w:ascii="Times New Roman" w:eastAsiaTheme="minorHAnsi" w:hAnsi="Times New Roman"/>
          <w:kern w:val="0"/>
          <w:szCs w:val="21"/>
        </w:rPr>
        <w:t xml:space="preserve"> Principal component analysis (PCA). This scatter plot shows the distribution of cells from different samples in the space defined by the first two principal components (PC1 and PC2). Each dot represents a cell, and different colors indicate cells from different samples. The spread highlights the heterogeneity of cells among different samples.</w:t>
      </w:r>
      <w:r w:rsidR="009C7DED" w:rsidRP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(C)</w:t>
      </w:r>
      <w:r w:rsidR="00000000">
        <w:rPr>
          <w:rFonts w:ascii="Times New Roman" w:eastAsiaTheme="minorHAnsi" w:hAnsi="Times New Roman"/>
          <w:kern w:val="0"/>
          <w:szCs w:val="21"/>
        </w:rPr>
        <w:t xml:space="preserve"> Variance explained by principal components. This scree plot shows the standard deviation of each principal component, indicating that the first few principal components explain a larger proportion of variance, guiding the selection of components for downstream analysis.</w:t>
      </w:r>
      <w:r w:rsid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(D-F)</w:t>
      </w:r>
      <w:r w:rsidR="00000000">
        <w:rPr>
          <w:rFonts w:ascii="Times New Roman" w:eastAsiaTheme="minorHAnsi" w:hAnsi="Times New Roman"/>
          <w:kern w:val="0"/>
          <w:szCs w:val="21"/>
        </w:rPr>
        <w:t xml:space="preserve"> t-SNE dimensionality reduction and clustering analysis. D and E </w:t>
      </w:r>
      <w:r w:rsidR="00000000">
        <w:rPr>
          <w:rFonts w:ascii="Times New Roman" w:eastAsiaTheme="minorHAnsi" w:hAnsi="Times New Roman"/>
          <w:kern w:val="0"/>
          <w:szCs w:val="21"/>
        </w:rPr>
        <w:lastRenderedPageBreak/>
        <w:t>show t-SNE plots color-coded by sample, where each colored point represents cells from different samples. F displays t-SNE clustering based on group (N for normal tissue and T for tumor tissue), with blue dots representing normal cells and red dots representing tumor cells. These plots reveal differences in cell subpopulations between samples and groups.</w:t>
      </w:r>
      <w:r w:rsidR="009C7DED" w:rsidRP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(G)</w:t>
      </w:r>
      <w:r w:rsidR="00000000">
        <w:rPr>
          <w:rFonts w:ascii="Times New Roman" w:eastAsiaTheme="minorHAnsi" w:hAnsi="Times New Roman"/>
          <w:kern w:val="0"/>
          <w:szCs w:val="21"/>
        </w:rPr>
        <w:t xml:space="preserve"> t-SNE plot showing clustering results with </w:t>
      </w:r>
      <w:proofErr w:type="spellStart"/>
      <w:r w:rsidR="00000000">
        <w:rPr>
          <w:rFonts w:ascii="Times New Roman" w:eastAsiaTheme="minorHAnsi" w:hAnsi="Times New Roman"/>
          <w:kern w:val="0"/>
          <w:szCs w:val="21"/>
        </w:rPr>
        <w:t>RNA_snn_res</w:t>
      </w:r>
      <w:proofErr w:type="spellEnd"/>
      <w:r w:rsidR="00000000">
        <w:rPr>
          <w:rFonts w:ascii="Times New Roman" w:eastAsiaTheme="minorHAnsi" w:hAnsi="Times New Roman"/>
          <w:kern w:val="0"/>
          <w:szCs w:val="21"/>
        </w:rPr>
        <w:t xml:space="preserve"> = 0.2, where different colors represent distinct cell subtypes, illustrating the diversity of cell clusters.</w:t>
      </w:r>
      <w:r w:rsidR="009C7DED" w:rsidRP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(H)</w:t>
      </w:r>
      <w:r w:rsidR="00000000">
        <w:rPr>
          <w:rFonts w:ascii="Times New Roman" w:eastAsiaTheme="minorHAnsi" w:hAnsi="Times New Roman"/>
          <w:kern w:val="0"/>
          <w:szCs w:val="21"/>
        </w:rPr>
        <w:t xml:space="preserve"> Bubble plot showing the expression of key genes across different cell subtypes. The size of each bubble indicates the proportion of cells expressing the gene within each cell type, and the color represents the average expression level. This analysis aids in characterizing the functional properties of different cell subtypes.</w:t>
      </w:r>
      <w:r w:rsidR="009C7DED" w:rsidRPr="009C7DED">
        <w:rPr>
          <w:rFonts w:ascii="Times New Roman Bold" w:hAnsi="Times New Roman Bold" w:cs="Times New Roman Bold" w:hint="eastAsia"/>
          <w:b/>
          <w:bCs/>
          <w:kern w:val="0"/>
          <w:szCs w:val="21"/>
        </w:rPr>
        <w:t xml:space="preserve"> </w:t>
      </w:r>
      <w:r w:rsidR="00000000" w:rsidRPr="009C7DED">
        <w:rPr>
          <w:rFonts w:ascii="Times New Roman" w:eastAsiaTheme="minorHAnsi" w:hAnsi="Times New Roman"/>
          <w:b/>
          <w:bCs/>
          <w:kern w:val="0"/>
          <w:szCs w:val="21"/>
        </w:rPr>
        <w:t>(I)</w:t>
      </w:r>
      <w:r w:rsidR="00000000">
        <w:rPr>
          <w:rFonts w:ascii="Times New Roman" w:eastAsiaTheme="minorHAnsi" w:hAnsi="Times New Roman"/>
          <w:kern w:val="0"/>
          <w:szCs w:val="21"/>
        </w:rPr>
        <w:t xml:space="preserve"> Pathway enrichment heatmap. This heatmap depicts the pathway enrichment of four genes (APOA2, MARCO, SPP1, and SPP1-Mac). Darker colors indicate smaller p-values, signifying greater enrichment of these genes in specific signaling pathways.</w:t>
      </w:r>
    </w:p>
    <w:p w14:paraId="760547F6" w14:textId="43A6971C" w:rsidR="00292079" w:rsidRDefault="00292079">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293F5A39" w14:textId="72368CFB" w:rsidR="00BB4A68" w:rsidRDefault="00AB63B6" w:rsidP="00AB63B6">
      <w:pPr>
        <w:widowControl/>
        <w:spacing w:before="120" w:after="240" w:line="360" w:lineRule="auto"/>
        <w:rPr>
          <w:rFonts w:ascii="Times New Roman" w:eastAsiaTheme="minorHAnsi" w:hAnsi="Times New Roman"/>
          <w:kern w:val="0"/>
          <w:szCs w:val="21"/>
        </w:rPr>
      </w:pPr>
      <w:r>
        <w:rPr>
          <w:noProof/>
        </w:rPr>
        <w:lastRenderedPageBreak/>
        <w:drawing>
          <wp:inline distT="0" distB="0" distL="0" distR="0" wp14:anchorId="4EDDB73A" wp14:editId="36362D06">
            <wp:extent cx="5274310" cy="461518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615180"/>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7. Functional enrichment analysis of characteristic genes in the APOA2+ Macrophage subpopulation</w:t>
      </w:r>
      <w:r>
        <w:rPr>
          <w:rFonts w:ascii="Times New Roman Bold" w:eastAsiaTheme="minorHAnsi" w:hAnsi="Times New Roman Bold" w:cs="Times New Roman Bold"/>
          <w:b/>
          <w:bCs/>
          <w:kern w:val="0"/>
          <w:szCs w:val="21"/>
        </w:rPr>
        <w:t>.</w:t>
      </w:r>
      <w:r w:rsidR="00000000">
        <w:rPr>
          <w:rFonts w:ascii="Times New Roman Bold" w:eastAsiaTheme="minorHAnsi" w:hAnsi="Times New Roman Bold" w:cs="Times New Roman Bold"/>
          <w:b/>
          <w:bCs/>
          <w:kern w:val="0"/>
          <w:szCs w:val="21"/>
        </w:rPr>
        <w:t xml:space="preserve"> </w:t>
      </w:r>
      <w:r>
        <w:rPr>
          <w:rFonts w:ascii="Times New Roman Bold" w:hAnsi="Times New Roman Bold" w:cs="Times New Roman Bold" w:hint="eastAsia"/>
          <w:b/>
          <w:bCs/>
          <w:kern w:val="0"/>
          <w:szCs w:val="21"/>
        </w:rPr>
        <w:t>(</w:t>
      </w:r>
      <w:r>
        <w:rPr>
          <w:rFonts w:ascii="Times New Roman Bold" w:hAnsi="Times New Roman Bold" w:cs="Times New Roman Bold"/>
          <w:b/>
          <w:bCs/>
          <w:kern w:val="0"/>
          <w:szCs w:val="21"/>
        </w:rPr>
        <w:t xml:space="preserve">A) </w:t>
      </w:r>
      <w:r w:rsidR="00000000" w:rsidRPr="00AB63B6">
        <w:rPr>
          <w:rFonts w:ascii="Times New Roman" w:eastAsiaTheme="minorHAnsi" w:hAnsi="Times New Roman"/>
          <w:kern w:val="0"/>
          <w:szCs w:val="21"/>
        </w:rPr>
        <w:t>KEGG Pathway: The enriched pathways include Coronavirus disease (COVID-19), complement and coagulation cascades, antigen processing and presentation, lipid and atherosclerosis, TNF signaling pathway, and others. The size of the bubbles represents the number of genes involved in each pathway, while the color indicates the enrichment significance (-log10(</w:t>
      </w:r>
      <w:proofErr w:type="spellStart"/>
      <w:proofErr w:type="gramStart"/>
      <w:r w:rsidR="00000000" w:rsidRPr="00AB63B6">
        <w:rPr>
          <w:rFonts w:ascii="Times New Roman" w:eastAsiaTheme="minorHAnsi" w:hAnsi="Times New Roman"/>
          <w:kern w:val="0"/>
          <w:szCs w:val="21"/>
        </w:rPr>
        <w:t>q.adjust</w:t>
      </w:r>
      <w:proofErr w:type="spellEnd"/>
      <w:proofErr w:type="gramEnd"/>
      <w:r w:rsidR="00000000" w:rsidRPr="00AB63B6">
        <w:rPr>
          <w:rFonts w:ascii="Times New Roman" w:eastAsiaTheme="minorHAnsi" w:hAnsi="Times New Roman"/>
          <w:kern w:val="0"/>
          <w:szCs w:val="21"/>
        </w:rPr>
        <w:t xml:space="preserve">)), with red indicating highly significant pathways. </w:t>
      </w:r>
      <w:r>
        <w:rPr>
          <w:rFonts w:ascii="Times New Roman Bold" w:hAnsi="Times New Roman Bold" w:cs="Times New Roman Bold" w:hint="eastAsia"/>
          <w:b/>
          <w:bCs/>
          <w:kern w:val="0"/>
          <w:szCs w:val="21"/>
        </w:rPr>
        <w:t>(</w:t>
      </w:r>
      <w:r>
        <w:rPr>
          <w:rFonts w:ascii="Times New Roman Bold" w:hAnsi="Times New Roman Bold" w:cs="Times New Roman Bold"/>
          <w:b/>
          <w:bCs/>
          <w:kern w:val="0"/>
          <w:szCs w:val="21"/>
        </w:rPr>
        <w:t xml:space="preserve">B) </w:t>
      </w:r>
      <w:r w:rsidR="00000000">
        <w:rPr>
          <w:rFonts w:ascii="Times New Roman" w:eastAsiaTheme="minorHAnsi" w:hAnsi="Times New Roman"/>
          <w:kern w:val="0"/>
          <w:szCs w:val="21"/>
        </w:rPr>
        <w:t>GO Biological Process: Genes are significantly enriched in biological processes such as regulation of apoptotic signaling pathways, negative regulation of proteolysis, cytoplasmic translation, protein folding, response to heat, and blood coagulation. The color and size of the bubbles represent the enrichment significance and the number of genes, respectively, with red bubbles indicating highly significant enrichments in the respective processes.</w:t>
      </w:r>
      <w:r>
        <w:rPr>
          <w:rFonts w:ascii="Times New Roman Bold" w:hAnsi="Times New Roman Bold" w:cs="Times New Roman Bold" w:hint="eastAsia"/>
          <w:b/>
          <w:bCs/>
          <w:kern w:val="0"/>
          <w:szCs w:val="21"/>
        </w:rPr>
        <w:t xml:space="preserve"> </w:t>
      </w:r>
      <w:r>
        <w:rPr>
          <w:rFonts w:ascii="Times New Roman Bold" w:hAnsi="Times New Roman Bold" w:cs="Times New Roman Bold"/>
          <w:b/>
          <w:bCs/>
          <w:kern w:val="0"/>
          <w:szCs w:val="21"/>
        </w:rPr>
        <w:t xml:space="preserve">(C) </w:t>
      </w:r>
      <w:r w:rsidR="00000000">
        <w:rPr>
          <w:rFonts w:ascii="Times New Roman" w:eastAsiaTheme="minorHAnsi" w:hAnsi="Times New Roman"/>
          <w:kern w:val="0"/>
          <w:szCs w:val="21"/>
        </w:rPr>
        <w:t xml:space="preserve">GO Molecular Function: The molecular function enrichment results indicate that genes are primarily enriched in functions such as structural constituents of ribosomes, enzyme inhibitor activity, MHC class II protein complex binding, antioxidant activity, and protein folding chaperone. Red bubbles highlight functions with </w:t>
      </w:r>
      <w:r w:rsidR="00000000">
        <w:rPr>
          <w:rFonts w:ascii="Times New Roman" w:eastAsiaTheme="minorHAnsi" w:hAnsi="Times New Roman"/>
          <w:kern w:val="0"/>
          <w:szCs w:val="21"/>
        </w:rPr>
        <w:lastRenderedPageBreak/>
        <w:t>significant enrichment.</w:t>
      </w:r>
      <w:r>
        <w:rPr>
          <w:rFonts w:ascii="Times New Roman Bold" w:hAnsi="Times New Roman Bold" w:cs="Times New Roman Bold" w:hint="eastAsia"/>
          <w:b/>
          <w:bCs/>
          <w:kern w:val="0"/>
          <w:szCs w:val="21"/>
        </w:rPr>
        <w:t xml:space="preserve"> </w:t>
      </w:r>
      <w:r>
        <w:rPr>
          <w:rFonts w:ascii="Times New Roman Bold" w:hAnsi="Times New Roman Bold" w:cs="Times New Roman Bold"/>
          <w:b/>
          <w:bCs/>
          <w:kern w:val="0"/>
          <w:szCs w:val="21"/>
        </w:rPr>
        <w:t xml:space="preserve">(D) </w:t>
      </w:r>
      <w:r w:rsidR="00000000">
        <w:rPr>
          <w:rFonts w:ascii="Times New Roman" w:eastAsiaTheme="minorHAnsi" w:hAnsi="Times New Roman"/>
          <w:kern w:val="0"/>
          <w:szCs w:val="21"/>
        </w:rPr>
        <w:t>GO Cellular Component: The enriched cellular components include blood microparticles, vesicle lumen, cytosolic ribosomes, cytoplasmic vesicles, and more. The red bubbles indicate significant enrichment in components such as blood microparticles.</w:t>
      </w:r>
    </w:p>
    <w:p w14:paraId="31CB6F1F" w14:textId="6472CE81" w:rsidR="00AB63B6" w:rsidRDefault="00AB63B6">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594AA5E9" w14:textId="21865747" w:rsidR="00BB4A68" w:rsidRDefault="002515C8" w:rsidP="002515C8">
      <w:pPr>
        <w:widowControl/>
        <w:spacing w:before="120" w:after="240" w:line="360" w:lineRule="auto"/>
        <w:rPr>
          <w:rFonts w:ascii="Times New Roman" w:eastAsiaTheme="minorHAnsi" w:hAnsi="Times New Roman"/>
          <w:kern w:val="0"/>
          <w:szCs w:val="21"/>
        </w:rPr>
      </w:pPr>
      <w:r>
        <w:rPr>
          <w:noProof/>
        </w:rPr>
        <w:lastRenderedPageBreak/>
        <w:drawing>
          <wp:inline distT="0" distB="0" distL="0" distR="0" wp14:anchorId="0D14D3D2" wp14:editId="1EEE29AE">
            <wp:extent cx="5274310" cy="460438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604385"/>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 xml:space="preserve">Supplement Figure 8. Protein-protein interaction network of characteristic genes in the APOA2+ Macrophage subpopulation. </w:t>
      </w:r>
      <w:r w:rsidR="00000000">
        <w:rPr>
          <w:rFonts w:ascii="Times New Roman" w:eastAsiaTheme="minorHAnsi" w:hAnsi="Times New Roman"/>
          <w:kern w:val="0"/>
          <w:szCs w:val="21"/>
        </w:rPr>
        <w:t>Each node represents a gene or protein, with the size of the node corresponding to its degree of connectivity, indicating the number of interactions with other genes or proteins. The color intensity reflects the importance of the node, with darker colors representing higher centrality within the network.</w:t>
      </w:r>
      <w:r>
        <w:rPr>
          <w:rFonts w:ascii="Times New Roman Bold" w:hAnsi="Times New Roman Bold" w:cs="Times New Roman Bold" w:hint="eastAsia"/>
          <w:b/>
          <w:bCs/>
          <w:kern w:val="0"/>
          <w:szCs w:val="21"/>
        </w:rPr>
        <w:t xml:space="preserve"> </w:t>
      </w:r>
      <w:r w:rsidR="00000000">
        <w:rPr>
          <w:rFonts w:ascii="Times New Roman" w:eastAsiaTheme="minorHAnsi" w:hAnsi="Times New Roman"/>
          <w:kern w:val="0"/>
          <w:szCs w:val="21"/>
        </w:rPr>
        <w:t>Nodes with more connections represent more complex interactions, indicating the central roles these proteins or genes may play in biological pathways. Larger nodes such as NFKBIA, APOE, and ICAM1 also exhibit high connectivity, suggesting their potential roles in inflammation, immune responses, or other critical biological functions.</w:t>
      </w:r>
    </w:p>
    <w:p w14:paraId="39CF0766" w14:textId="565BAE44" w:rsidR="002515C8" w:rsidRDefault="002515C8">
      <w:pPr>
        <w:widowControl/>
        <w:jc w:val="left"/>
        <w:rPr>
          <w:rFonts w:ascii="Times New Roman" w:eastAsiaTheme="minorHAnsi" w:hAnsi="Times New Roman"/>
          <w:kern w:val="0"/>
          <w:szCs w:val="21"/>
        </w:rPr>
      </w:pPr>
      <w:r>
        <w:rPr>
          <w:rFonts w:ascii="Times New Roman" w:eastAsiaTheme="minorHAnsi" w:hAnsi="Times New Roman"/>
          <w:kern w:val="0"/>
          <w:szCs w:val="21"/>
        </w:rPr>
        <w:br w:type="page"/>
      </w:r>
    </w:p>
    <w:p w14:paraId="0A104BB4" w14:textId="0D5CF8EA" w:rsidR="00BB4A68" w:rsidRPr="002515C8" w:rsidRDefault="002515C8" w:rsidP="002515C8">
      <w:pPr>
        <w:widowControl/>
        <w:spacing w:before="120" w:after="240" w:line="360" w:lineRule="auto"/>
        <w:rPr>
          <w:rFonts w:ascii="Times New Roman Bold" w:hAnsi="Times New Roman Bold" w:cs="Times New Roman Bold" w:hint="eastAsia"/>
          <w:b/>
          <w:bCs/>
          <w:kern w:val="0"/>
          <w:szCs w:val="21"/>
        </w:rPr>
      </w:pPr>
      <w:r>
        <w:rPr>
          <w:noProof/>
        </w:rPr>
        <w:lastRenderedPageBreak/>
        <w:drawing>
          <wp:inline distT="0" distB="0" distL="0" distR="0" wp14:anchorId="64956C8A" wp14:editId="4A26B8CA">
            <wp:extent cx="5274310" cy="7459345"/>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459345"/>
                    </a:xfrm>
                    <a:prstGeom prst="rect">
                      <a:avLst/>
                    </a:prstGeom>
                    <a:noFill/>
                    <a:ln>
                      <a:noFill/>
                    </a:ln>
                  </pic:spPr>
                </pic:pic>
              </a:graphicData>
            </a:graphic>
          </wp:inline>
        </w:drawing>
      </w:r>
      <w:r w:rsidR="00000000">
        <w:rPr>
          <w:rFonts w:ascii="Times New Roman Bold" w:eastAsiaTheme="minorHAnsi" w:hAnsi="Times New Roman Bold" w:cs="Times New Roman Bold"/>
          <w:b/>
          <w:bCs/>
          <w:kern w:val="0"/>
          <w:szCs w:val="21"/>
        </w:rPr>
        <w:t>Supplement Figure 9. Heatmap of cell communication pathways</w:t>
      </w:r>
      <w:r>
        <w:rPr>
          <w:rFonts w:ascii="Times New Roman Bold" w:eastAsiaTheme="minorHAnsi" w:hAnsi="Times New Roman Bold" w:cs="Times New Roman Bold"/>
          <w:b/>
          <w:bCs/>
          <w:kern w:val="0"/>
          <w:szCs w:val="21"/>
        </w:rPr>
        <w:t>.</w:t>
      </w:r>
      <w:r w:rsidR="00000000">
        <w:rPr>
          <w:rFonts w:ascii="Times New Roman Bold" w:eastAsiaTheme="minorHAnsi" w:hAnsi="Times New Roman Bold" w:cs="Times New Roman Bold"/>
          <w:b/>
          <w:bCs/>
          <w:kern w:val="0"/>
          <w:szCs w:val="21"/>
        </w:rPr>
        <w:t xml:space="preserve"> </w:t>
      </w:r>
      <w:r w:rsidR="00000000" w:rsidRPr="002515C8">
        <w:rPr>
          <w:rFonts w:ascii="Times New Roman" w:eastAsiaTheme="minorHAnsi" w:hAnsi="Times New Roman"/>
          <w:b/>
          <w:bCs/>
          <w:kern w:val="0"/>
          <w:szCs w:val="21"/>
        </w:rPr>
        <w:t>(A)</w:t>
      </w:r>
      <w:r w:rsidR="00000000">
        <w:rPr>
          <w:rFonts w:ascii="Times New Roman" w:eastAsiaTheme="minorHAnsi" w:hAnsi="Times New Roman"/>
          <w:kern w:val="0"/>
          <w:szCs w:val="21"/>
        </w:rPr>
        <w:t xml:space="preserve"> Overall signaling patterns: The heatmaps display the overall signaling patterns in normal (N) and tumor (T) tissues across multiple signaling pathways (vertical axis) and cell types (horizontal axis). The intensity of the color represents the strength of the signaling, with darker colors indicating stronger signaling. </w:t>
      </w:r>
      <w:r w:rsidR="00000000">
        <w:rPr>
          <w:rFonts w:ascii="Times New Roman" w:eastAsiaTheme="minorHAnsi" w:hAnsi="Times New Roman"/>
          <w:kern w:val="0"/>
          <w:szCs w:val="21"/>
        </w:rPr>
        <w:lastRenderedPageBreak/>
        <w:t>Differences in the activity of various signaling pathways between normal and tumor tissues suggest alterations in intercellular communication within the tumor microenvironment</w:t>
      </w:r>
      <w:r>
        <w:rPr>
          <w:rFonts w:ascii="Times New Roman" w:eastAsiaTheme="minorHAnsi" w:hAnsi="Times New Roman"/>
          <w:kern w:val="0"/>
          <w:szCs w:val="21"/>
        </w:rPr>
        <w:t>.</w:t>
      </w:r>
      <w:r w:rsidR="00000000">
        <w:rPr>
          <w:rFonts w:ascii="Times New Roman" w:eastAsiaTheme="minorHAnsi" w:hAnsi="Times New Roman"/>
          <w:kern w:val="0"/>
          <w:szCs w:val="21"/>
        </w:rPr>
        <w:t xml:space="preserve"> </w:t>
      </w:r>
      <w:r w:rsidR="00000000" w:rsidRPr="002515C8">
        <w:rPr>
          <w:rFonts w:ascii="Times New Roman" w:eastAsiaTheme="minorHAnsi" w:hAnsi="Times New Roman"/>
          <w:b/>
          <w:bCs/>
          <w:kern w:val="0"/>
          <w:szCs w:val="21"/>
        </w:rPr>
        <w:t>(B)</w:t>
      </w:r>
      <w:r w:rsidR="00000000">
        <w:rPr>
          <w:rFonts w:ascii="Times New Roman" w:eastAsiaTheme="minorHAnsi" w:hAnsi="Times New Roman"/>
          <w:kern w:val="0"/>
          <w:szCs w:val="21"/>
        </w:rPr>
        <w:t xml:space="preserve"> Outgoing signaling patterns: This section highlights the outgoing signaling patterns in normal and tumor tissues. Similar to the overall patterns, the vertical axis represents different signaling pathways, and the horizontal axis shows various cell types. Color intensity reflects the strength of outgoing signaling. Notably, pathways such as MHC-I, TNF, and CXCL exhibit significant changes in outgoing signaling in tumor tissues, indicating their pivotal roles in the tumor microenvironment.</w:t>
      </w:r>
    </w:p>
    <w:sectPr w:rsidR="00BB4A68" w:rsidRPr="002515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FC9AFD"/>
    <w:multiLevelType w:val="singleLevel"/>
    <w:tmpl w:val="7C22A03C"/>
    <w:lvl w:ilvl="0">
      <w:start w:val="1"/>
      <w:numFmt w:val="upperLetter"/>
      <w:lvlText w:val="(%1)"/>
      <w:lvlJc w:val="left"/>
      <w:pPr>
        <w:tabs>
          <w:tab w:val="left" w:pos="312"/>
        </w:tabs>
      </w:pPr>
      <w:rPr>
        <w:rFonts w:ascii="Times New Roman" w:eastAsiaTheme="minorHAnsi" w:hAnsi="Times New Roman" w:cstheme="minorBidi"/>
      </w:rPr>
    </w:lvl>
  </w:abstractNum>
  <w:abstractNum w:abstractNumId="1" w15:restartNumberingAfterBreak="0">
    <w:nsid w:val="F67CE154"/>
    <w:multiLevelType w:val="singleLevel"/>
    <w:tmpl w:val="F67CE154"/>
    <w:lvl w:ilvl="0">
      <w:start w:val="1"/>
      <w:numFmt w:val="upperLetter"/>
      <w:suff w:val="space"/>
      <w:lvlText w:val="(%1)"/>
      <w:lvlJc w:val="left"/>
    </w:lvl>
  </w:abstractNum>
  <w:num w:numId="1" w16cid:durableId="1162814017">
    <w:abstractNumId w:val="1"/>
  </w:num>
  <w:num w:numId="2" w16cid:durableId="204120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JkYTQ4NDk5YzYzMmJkYjdkY2E0YzU0MTM2NWVmZWYifQ=="/>
  </w:docVars>
  <w:rsids>
    <w:rsidRoot w:val="CFF66976"/>
    <w:rsid w:val="CFF66976"/>
    <w:rsid w:val="FBBFC91A"/>
    <w:rsid w:val="FDECEBBD"/>
    <w:rsid w:val="00096FDF"/>
    <w:rsid w:val="001C453A"/>
    <w:rsid w:val="002515C8"/>
    <w:rsid w:val="00292079"/>
    <w:rsid w:val="00456015"/>
    <w:rsid w:val="00521C22"/>
    <w:rsid w:val="009C7DED"/>
    <w:rsid w:val="00AB63B6"/>
    <w:rsid w:val="00B52834"/>
    <w:rsid w:val="00BB4A68"/>
    <w:rsid w:val="00D2234E"/>
    <w:rsid w:val="3FEF571D"/>
    <w:rsid w:val="3FFFB64F"/>
    <w:rsid w:val="59FB2B18"/>
    <w:rsid w:val="5DDF3336"/>
    <w:rsid w:val="6B7A4444"/>
    <w:rsid w:val="6FEF30BF"/>
    <w:rsid w:val="74F75F4B"/>
    <w:rsid w:val="7CEFF3D4"/>
    <w:rsid w:val="CFF66976"/>
    <w:rsid w:val="DF5D0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55668"/>
  <w15:docId w15:val="{05680FAC-6161-4081-BA33-A7D5A3D3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AB63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16</Pages>
  <Words>1784</Words>
  <Characters>10171</Characters>
  <Application>Microsoft Office Word</Application>
  <DocSecurity>0</DocSecurity>
  <Lines>84</Lines>
  <Paragraphs>23</Paragraphs>
  <ScaleCrop>false</ScaleCrop>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thyroid hormones</dc:creator>
  <cp:lastModifiedBy>green gene</cp:lastModifiedBy>
  <cp:revision>6</cp:revision>
  <dcterms:created xsi:type="dcterms:W3CDTF">2024-10-12T12:59:00Z</dcterms:created>
  <dcterms:modified xsi:type="dcterms:W3CDTF">2024-10-18T08:11:00Z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B8505DF06E3D7A252821096707CD4C3A_41</vt:lpwstr>
  </property>
</Properties>
</file>