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4F782" w14:textId="77777777" w:rsidR="008C010A" w:rsidRPr="00D96EFA" w:rsidRDefault="00981B41" w:rsidP="008C010A">
      <w:pPr>
        <w:widowControl/>
        <w:spacing w:line="36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SUPPLEMENT</w:t>
      </w:r>
      <w:r w:rsidR="006A166D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ARY INFORMATION</w:t>
      </w:r>
      <w:r w:rsidR="008C010A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40055EA5" w14:textId="4D2B1756" w:rsidR="008C010A" w:rsidRPr="00D96EFA" w:rsidRDefault="00B022E6" w:rsidP="008C010A">
      <w:pPr>
        <w:widowControl/>
        <w:spacing w:line="36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Online Resource </w:t>
      </w:r>
      <w:r w:rsidR="008C010A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1.</w:t>
      </w:r>
      <w:r w:rsidR="008C010A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feature extraction configuration following the guidelines of the Image Biomarker Standardization Initiative (IBSI) in this study</w:t>
      </w:r>
    </w:p>
    <w:tbl>
      <w:tblPr>
        <w:tblStyle w:val="a3"/>
        <w:tblW w:w="8408" w:type="dxa"/>
        <w:tblLook w:val="04A0" w:firstRow="1" w:lastRow="0" w:firstColumn="1" w:lastColumn="0" w:noHBand="0" w:noVBand="1"/>
      </w:tblPr>
      <w:tblGrid>
        <w:gridCol w:w="4204"/>
        <w:gridCol w:w="2102"/>
        <w:gridCol w:w="2102"/>
      </w:tblGrid>
      <w:tr w:rsidR="00D96EFA" w:rsidRPr="00D96EFA" w14:paraId="5ACBE907" w14:textId="77777777" w:rsidTr="00122A9A">
        <w:trPr>
          <w:trHeight w:val="329"/>
        </w:trPr>
        <w:tc>
          <w:tcPr>
            <w:tcW w:w="4204" w:type="dxa"/>
            <w:tcBorders>
              <w:top w:val="single" w:sz="4" w:space="0" w:color="auto"/>
              <w:bottom w:val="single" w:sz="4" w:space="0" w:color="auto"/>
            </w:tcBorders>
          </w:tcPr>
          <w:p w14:paraId="290CB596" w14:textId="322E049C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Topic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9F0691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Config</w:t>
            </w:r>
          </w:p>
        </w:tc>
      </w:tr>
      <w:tr w:rsidR="00D96EFA" w:rsidRPr="00D96EFA" w14:paraId="6E243066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5BB79126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post-acquisition processing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2C485651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7604F678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7D61A420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Contrast adjustment 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25E24F32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Histogram equalization</w:t>
            </w:r>
          </w:p>
        </w:tc>
      </w:tr>
      <w:tr w:rsidR="00D96EFA" w:rsidRPr="00D96EFA" w14:paraId="2B046310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37705A7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Intensity normalization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6C4B979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Normalize intensity distributions within each patient</w:t>
            </w:r>
          </w:p>
        </w:tc>
      </w:tr>
      <w:tr w:rsidR="00D96EFA" w:rsidRPr="00D96EFA" w14:paraId="6F1E14CD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62592E8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Segmentation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125C044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4EF5DDBE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7010EEF6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Segmentation method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54AC422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Manually</w:t>
            </w:r>
          </w:p>
          <w:p w14:paraId="6F73F7C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74019406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4948A873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image interpolation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0373293C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185C74F6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7B9890FA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Interpolation method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26FECF1E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Cubic Spline</w:t>
            </w:r>
          </w:p>
        </w:tc>
      </w:tr>
      <w:tr w:rsidR="00D96EFA" w:rsidRPr="00D96EFA" w14:paraId="3B4F60A7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2DFFCAA6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ROI interpolation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490E0E82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4AF30EE6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6F3BAED2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 interpolation method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5FAEAB6B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Nearest neighbor interpolation</w:t>
            </w:r>
          </w:p>
        </w:tc>
      </w:tr>
      <w:tr w:rsidR="00D96EFA" w:rsidRPr="00D96EFA" w14:paraId="5BBB97D7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698F5E0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re-segmentation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3C170F88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78C42E33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46BCFF3A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Intensity outlier filtering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5B98320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None</w:t>
            </w:r>
          </w:p>
        </w:tc>
      </w:tr>
      <w:tr w:rsidR="00D96EFA" w:rsidRPr="00D96EFA" w14:paraId="1838CE38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192D5DCE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discretization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7C74644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1601D313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564BF1B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Discretization method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3A84DC3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Fixed bin size (FBS): 0.1</w:t>
            </w:r>
          </w:p>
        </w:tc>
      </w:tr>
      <w:tr w:rsidR="00D96EFA" w:rsidRPr="00D96EFA" w14:paraId="2FCEEF8E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5F0B3B3E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Image processing - image transformation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4CECB45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96EFA" w:rsidRPr="00D96EFA" w14:paraId="535532FB" w14:textId="77777777" w:rsidTr="00122A9A">
        <w:trPr>
          <w:trHeight w:val="967"/>
        </w:trPr>
        <w:tc>
          <w:tcPr>
            <w:tcW w:w="4204" w:type="dxa"/>
            <w:tcBorders>
              <w:bottom w:val="single" w:sz="4" w:space="0" w:color="auto"/>
            </w:tcBorders>
          </w:tcPr>
          <w:p w14:paraId="30C8E9C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Image filter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14:paraId="26BD9DA3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Laplacian-of-Gaussian with kernel size of 3; Laplacian-of-Gaussian with kernel size of 5; wavelet</w:t>
            </w:r>
          </w:p>
        </w:tc>
      </w:tr>
      <w:tr w:rsidR="00D96EFA" w:rsidRPr="00D96EFA" w14:paraId="4929E0F5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0691ACF1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Feature parameters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1DA4404B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Distance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41432D33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Count</w:t>
            </w:r>
          </w:p>
        </w:tc>
      </w:tr>
      <w:tr w:rsidR="00D96EFA" w:rsidRPr="00D96EFA" w14:paraId="6C4FA3AB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66A7F244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Morphology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5405FDA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04E1FA6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D96EFA" w:rsidRPr="00D96EFA" w14:paraId="0BC04073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4646D30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Intensity-based statistics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261B845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08B1100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D96EFA" w:rsidRPr="00D96EFA" w14:paraId="2E5E73E8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69752AD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Original texture feature (GLCM, GLRLM GLSZM, GLDM, and NGTDM)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4EF909EA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42FE3C5C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</w:tr>
      <w:tr w:rsidR="00D96EFA" w:rsidRPr="00D96EFA" w14:paraId="67082238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789166FE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LoG-3 Intensity-based statistics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7D2904B2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29A62C8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D96EFA" w:rsidRPr="00D96EFA" w14:paraId="4621074D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3E15A7FE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LoG-3 texture feature (GLCM, GLRLM GLSZM, GLDM, and NGTDM)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5FDA997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603E03B4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</w:tr>
      <w:tr w:rsidR="00D96EFA" w:rsidRPr="00D96EFA" w14:paraId="181A90E9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7C21F8EC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LoG-5 Intensity-based statistics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3E5781C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3E1A7580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D96EFA" w:rsidRPr="00D96EFA" w14:paraId="171567FF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4E35F33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LoG-5 texture feature (GLCM, GLRLM GLSZM, GLDM, and NGTDM)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06C06425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1DCE86C8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</w:tr>
      <w:tr w:rsidR="00D96EFA" w:rsidRPr="00D96EFA" w14:paraId="5F8235B8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2B43641A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Wavelet Intensity-based statistics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5363F15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3C2E83C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8C010A" w:rsidRPr="00D96EFA" w14:paraId="05793469" w14:textId="77777777" w:rsidTr="00122A9A">
        <w:trPr>
          <w:trHeight w:val="329"/>
        </w:trPr>
        <w:tc>
          <w:tcPr>
            <w:tcW w:w="4204" w:type="dxa"/>
            <w:tcBorders>
              <w:bottom w:val="single" w:sz="4" w:space="0" w:color="auto"/>
            </w:tcBorders>
          </w:tcPr>
          <w:p w14:paraId="2153B82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Wavelet texture feature (GLCM, GLRLM, GLSZM, GLDM, and NGTDM)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23CD5224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16D506F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</w:tr>
    </w:tbl>
    <w:p w14:paraId="15DC4B3B" w14:textId="77777777" w:rsidR="008C010A" w:rsidRPr="00D96EFA" w:rsidRDefault="008C010A" w:rsidP="008C010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F3EDAEB" w14:textId="77777777" w:rsidR="008C010A" w:rsidRPr="00D96EFA" w:rsidRDefault="008C010A" w:rsidP="008C010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4A7B47B" w14:textId="77777777" w:rsidR="00EB1433" w:rsidRPr="00D96EFA" w:rsidRDefault="00EB1433" w:rsidP="008C010A">
      <w:pPr>
        <w:widowControl/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sectPr w:rsidR="00EB1433" w:rsidRPr="00D96EFA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1ECF517A" w14:textId="60C1A828" w:rsidR="008C010A" w:rsidRPr="00D96EFA" w:rsidRDefault="00B022E6" w:rsidP="008C010A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Online Resource </w:t>
      </w:r>
      <w:r w:rsidR="008C010A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2. </w:t>
      </w:r>
      <w:r w:rsidR="00EB1433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Extracted </w:t>
      </w:r>
      <w:r w:rsidR="008C010A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features classified into eight categories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6"/>
        <w:gridCol w:w="10548"/>
      </w:tblGrid>
      <w:tr w:rsidR="00D96EFA" w:rsidRPr="00D96EFA" w14:paraId="239EE391" w14:textId="77777777" w:rsidTr="00140EE1"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57324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 First Order statistics</w:t>
            </w:r>
          </w:p>
          <w:p w14:paraId="3ECED9EF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(20 features) </w:t>
            </w:r>
          </w:p>
        </w:tc>
        <w:tc>
          <w:tcPr>
            <w:tcW w:w="3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B85F6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10th percentile; 25th percentile; 75th percentile; 90th percentile; Energy; Entropy; Interquartile Range; Kurtosis; Maximum; Mean Absolute Deviation (MAD); Mean; Median; Minimum; Range; Robust Mean Absolute Deviation (</w:t>
            </w:r>
            <w:proofErr w:type="spellStart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rMAD</w:t>
            </w:r>
            <w:proofErr w:type="spellEnd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); Root Mean Square (RMS); Skewness; Total Energy; Uniformity; and Variance</w:t>
            </w:r>
          </w:p>
        </w:tc>
      </w:tr>
      <w:tr w:rsidR="00D96EFA" w:rsidRPr="00D96EFA" w14:paraId="215BF188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218D0A2B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 Shape-based (2D)</w:t>
            </w:r>
          </w:p>
          <w:p w14:paraId="3ACBDAF4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(9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399B997C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Elongation; Major Axis Length; Maximum Diameter; Mesh Surface; Minor Axis Length; Perimeter; Perimeter Surface Ratio; Pixel Surface; and Sphericity</w:t>
            </w:r>
          </w:p>
        </w:tc>
      </w:tr>
      <w:tr w:rsidR="00D96EFA" w:rsidRPr="00D96EFA" w14:paraId="3FF5B29E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5F4DACD2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 Gray level co-occurrence matrix</w:t>
            </w:r>
          </w:p>
          <w:p w14:paraId="41EBD9E4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(GLCM, 24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1012E55C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Autocorrelation; Joint Average; Cluster Prominence; Cluster Shade; Cluster Tendency; Contrast; Correlation; Difference Average; Difference Entropy; Difference Variance, Joint Energy; Joint Entropy; Informational Measure of Correlation(IC); Informational Measure of Correlation (IMC); Inverse Difference Moment (IDM); Maximal Correlation Coefficient (MCC); Inverse Difference Moment Normalized (IDMN); Inverse Difference (ID); Inverse Difference Normalized (IDN); Inverse Variance; Maximum Probability; Sum Average; Sum Entropy; and Sum of Squares</w:t>
            </w:r>
          </w:p>
        </w:tc>
      </w:tr>
      <w:tr w:rsidR="00D96EFA" w:rsidRPr="00D96EFA" w14:paraId="1233D1B9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4FD23A14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 Gray level run length matrix</w:t>
            </w:r>
          </w:p>
          <w:p w14:paraId="4F0AF392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(GLRLM, 16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722F0DDD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Short Run Emphasis (SRE); Long Run Emphasis (LRE); Gray Level Non-Uniformity (GLN); Gray Level Non-Uniformity Normalized (GLNN); Run Length Non-Uniformity (RLN); Run Length Non-Uniformity Normalized (RLNN); Run Percentage (RP); Gray Level Variance (GLV); Run Variance (RV); Run Entropy (RE); Low Gray Level Run Emphasis(LGLRE); High Gray Level Run Emphasis (HGLRE); Short Run Low Gray Level Emphasis (SRLGLE); Short Run High Gray Level Emphasis (SRHGLE); Long Run Low Gray Level Emphasis (LRLGLE); and Long Run High Gray Level Emphasis (LRHGLE)</w:t>
            </w:r>
          </w:p>
        </w:tc>
      </w:tr>
      <w:tr w:rsidR="00D96EFA" w:rsidRPr="00D96EFA" w14:paraId="46B25FD1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69015230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 Gray level size zone matrix</w:t>
            </w:r>
          </w:p>
          <w:p w14:paraId="72BAED2D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(GLSZM, 16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0829CD37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Small Area Emphasis(SAE); Large Area Emphasis (LAE); Gray Level Non-Uniformity(GLN); Gray Level Non-Uniformity </w:t>
            </w: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Normalized (GLNN); Size-Zone Non-Uniformity (SZN); Size-Zone Non-Uniformity Normalized (SZNN); Zone Percentage (ZP); Gray Level Variance(GLV); Zone Variance (ZV); Zone Entropy (ZE); Low Gray Level Zone Emphasis (LGLZE); High Gray Level Zone Emphasis (HGLZE); Small Area Low Gray Level Emphasis (SALGLE); Small Area High Gray Level Emphasis (SAHGLE); Large Area Low Gray Level Emphasis (LALGLE); and Large Area High Gray Level Emphasis (LAHGLE)</w:t>
            </w:r>
          </w:p>
        </w:tc>
      </w:tr>
      <w:tr w:rsidR="00D96EFA" w:rsidRPr="00D96EFA" w14:paraId="74BAD4D1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4412AE8A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6. Gray level dependence matrix</w:t>
            </w:r>
          </w:p>
          <w:p w14:paraId="1BBEC744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(GLDM, 14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00EF3B19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Small Dependence Emphasis (SDE); Large Dependence Emphasis (LDE); Gray Level Non-Uniformity (GLN); Dependence Non-Uniformity (DN); Dependence Non-Uniformity Normalized (DNN); Gray Level Variance (GLV); Dependence Variance (DV); Dependence Entropy (DE); Low Gray Level Emphasis (LGLE); High Gray Level Emphasis (HGLE); Small Dependence Low Gray Level Emphasis (SDLGLE); Small Dependence High Gray Level Emphasis (SDHGLE); Large Dependence of Gray Level Emphasis (LDLGLE); and Large Dependence High Gray Level Emphasis (LDHGLE)</w:t>
            </w:r>
          </w:p>
        </w:tc>
      </w:tr>
      <w:tr w:rsidR="00D96EFA" w:rsidRPr="00D96EFA" w14:paraId="6E93ABE0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3E83529C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 Neighboring gray tone difference matrix</w:t>
            </w:r>
          </w:p>
          <w:p w14:paraId="4F04F347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(NGTDM, 5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0BF5C503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Coarseness; Contrast; Busyness; Complexity; and Strength</w:t>
            </w:r>
          </w:p>
        </w:tc>
      </w:tr>
      <w:tr w:rsidR="00D96EFA" w:rsidRPr="00D96EFA" w14:paraId="7AF2194B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32359B86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8. Log features</w:t>
            </w:r>
          </w:p>
          <w:p w14:paraId="4D9C33ED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(190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7C80F98A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Log-3 (First Order statistics; GLCM; GLRLM; GLSZM; GLDM; NGTDM, 95 features); Log-5 (First Order statistics; GLCM; GLRLM; GLSZM; GLDM; NGTDM, 95 features)</w:t>
            </w:r>
          </w:p>
        </w:tc>
      </w:tr>
      <w:tr w:rsidR="008C010A" w:rsidRPr="00D96EFA" w14:paraId="0B5CC08F" w14:textId="77777777" w:rsidTr="00140EE1"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</w:tcPr>
          <w:p w14:paraId="34C13D52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9. Wavelet features</w:t>
            </w:r>
          </w:p>
          <w:p w14:paraId="745A3BFE" w14:textId="77777777" w:rsidR="008C010A" w:rsidRPr="00D96EFA" w:rsidRDefault="008C010A" w:rsidP="00122A9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(380 features)</w:t>
            </w:r>
          </w:p>
        </w:tc>
        <w:tc>
          <w:tcPr>
            <w:tcW w:w="3721" w:type="pct"/>
            <w:tcBorders>
              <w:left w:val="nil"/>
              <w:bottom w:val="single" w:sz="4" w:space="0" w:color="auto"/>
              <w:right w:val="nil"/>
            </w:tcBorders>
          </w:tcPr>
          <w:p w14:paraId="44BC6ADF" w14:textId="77777777" w:rsidR="008C010A" w:rsidRPr="00D96EFA" w:rsidRDefault="008C010A" w:rsidP="00122A9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wavelet-LL (First Order statistics; GLCM; GLRLM; GLSZM; GLDM; NGTDM, 95 features); wavelet-</w:t>
            </w:r>
            <w:proofErr w:type="gramStart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LH(</w:t>
            </w:r>
            <w:proofErr w:type="gramEnd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First Order statistics; GLCM; GLRLM; GLSZM; GLDM; NGTDM, 95 features); wavelet-</w:t>
            </w:r>
            <w:proofErr w:type="gramStart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HH(</w:t>
            </w:r>
            <w:proofErr w:type="gramEnd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First Order statistics; GLCM; GLRLM; GLSZM; GLDM; NGTDM, 95 features); wavelet-</w:t>
            </w:r>
            <w:proofErr w:type="gramStart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HL(</w:t>
            </w:r>
            <w:proofErr w:type="gramEnd"/>
            <w:r w:rsidRPr="00D96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First Order statistics; GLCM; GLRLM; GLSZM; GLDM; NGTDM, 95 features)</w:t>
            </w:r>
          </w:p>
        </w:tc>
      </w:tr>
    </w:tbl>
    <w:p w14:paraId="669B84BE" w14:textId="77777777" w:rsidR="00EB1433" w:rsidRPr="00D96EFA" w:rsidRDefault="00EB1433">
      <w:pPr>
        <w:spacing w:line="36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sectPr w:rsidR="00EB1433" w:rsidRPr="00D96EFA" w:rsidSect="00140EE1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491A1614" w14:textId="0A25C8F8" w:rsidR="00E33615" w:rsidRPr="00D96EFA" w:rsidRDefault="00E33615">
      <w:pPr>
        <w:spacing w:line="36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08CDE62B" w14:textId="77777777" w:rsidR="00E33615" w:rsidRPr="00D96EFA" w:rsidRDefault="00981B41">
      <w:pPr>
        <w:spacing w:line="36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339CD65" wp14:editId="6B8974DB">
            <wp:simplePos x="0" y="0"/>
            <wp:positionH relativeFrom="column">
              <wp:posOffset>635</wp:posOffset>
            </wp:positionH>
            <wp:positionV relativeFrom="paragraph">
              <wp:posOffset>20320</wp:posOffset>
            </wp:positionV>
            <wp:extent cx="5274310" cy="4711065"/>
            <wp:effectExtent l="0" t="0" r="254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69764" name="图片 74836976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3BE7C" w14:textId="07CA5CAB" w:rsidR="00E33615" w:rsidRPr="00D96EFA" w:rsidRDefault="00B022E6">
      <w:p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Online Resource 3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process of feature selection for the quantitative prediction of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A: 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Selection of the tuning parameter λ in the LASSO model for quantitative prediction of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via 10-fold cross-validation was based on the mean cross-validated error. The value of λ that yielded the minimum average error was used to select the features. Dotted vertical lines were drawn at the optimal values with the minimum error and the 1−SE error. Here, we used the optimal value of 0.6876 with a log(λ) value of -0.3744 and the minimum error was obtained.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B: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LASSO coefficient profiles of the 69 radiomics features. The red vertical line was drawn at the value selected using the 10-fold cross-validation, where the optimal result was 10 non-zero coefficients.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C: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10 most predictive feature subsets were selected using LASSO and their correlation coefficients. AFC, antral follicle count; LASSO, least absolute shrinkage and selection operator.</w:t>
      </w:r>
    </w:p>
    <w:p w14:paraId="50AF8418" w14:textId="77777777" w:rsidR="00E33615" w:rsidRPr="00D96EFA" w:rsidRDefault="00981B41">
      <w:p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1354D53F" wp14:editId="388583B7">
            <wp:simplePos x="0" y="0"/>
            <wp:positionH relativeFrom="column">
              <wp:posOffset>883</wp:posOffset>
            </wp:positionH>
            <wp:positionV relativeFrom="paragraph">
              <wp:posOffset>42366</wp:posOffset>
            </wp:positionV>
            <wp:extent cx="5274310" cy="4669790"/>
            <wp:effectExtent l="0" t="0" r="254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695955" name="图片 6506959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6B7FE1" w14:textId="0A0C40AA" w:rsidR="00E33615" w:rsidRPr="00D96EFA" w:rsidRDefault="00B022E6">
      <w:p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Online Resource 4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process of feature selection for the quantitative prediction of AMH.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A: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Selection of the tuning parameter λ in the LASSO model for quantitative prediction of AMH via the 10-fold cross-validation was based on the mean cross-validated error. The value of λ that yielded the minimum average error was used to select the features. Dotted vertical lines were drawn at the optimal values with the minimum error and the 1 − SE error. Here, we used the optimal value of 0.3757 with a log(λ) value of -0.9787 with the minimum error was obtained.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B: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LASSO coefficient profiles of the 71 radiomic features. The red vertical line was drawn at the value selected using 10-fold cross-validation, where the optimal result was 5 non-zero coefficients.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C: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five most predictive feature subsets were selected using LASSO and their correlation coefficients. AMH, anti-Müllerian hormone; LASSO, least absolute shrinkage and selection operator.</w:t>
      </w:r>
    </w:p>
    <w:p w14:paraId="4F15E1E9" w14:textId="77777777" w:rsidR="00E33615" w:rsidRPr="00D96EFA" w:rsidRDefault="00E33615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5887533" w14:textId="77777777" w:rsidR="00E33615" w:rsidRPr="00D96EFA" w:rsidRDefault="00981B4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751AD54D" wp14:editId="2175D24D">
            <wp:simplePos x="0" y="0"/>
            <wp:positionH relativeFrom="column">
              <wp:posOffset>883</wp:posOffset>
            </wp:positionH>
            <wp:positionV relativeFrom="paragraph">
              <wp:posOffset>17653</wp:posOffset>
            </wp:positionV>
            <wp:extent cx="5274310" cy="4906010"/>
            <wp:effectExtent l="0" t="0" r="2540" b="889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869219" name="图片 13448692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4D8EE" w14:textId="0D2A17EC" w:rsidR="00E33615" w:rsidRPr="00D96EFA" w:rsidRDefault="00B022E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Online Resource 5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process of feature selection for sequential three-class classification prediction of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A: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Selection of the tuning parameter λ in the LASSO model for sequential three-class classification prediction of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via 10-fold cross-validation was based on the mean cross-validated error. The value of λ that yielded the minimum average error was used to select the features. Dotted vertical lines were drawn at the optimal values with the minimum error and the 1 − SE error. Here, we used the optimal value of 0.0213 with a log(λ) value of -3.8487 and the minimum error was obtained.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B: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LASSO coefficient profiles of the 35 radiomic features. The red vertical line was drawn at the value selected using 10-fold cross-validation, where the optimal result was 10 non-zero coefficients.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C: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10 most predictive feature subsets were selected using LASSO and their correlation coefficients. AFC, antral follicle count; LASSO, least absolute shrinkage and selection operator.</w:t>
      </w:r>
    </w:p>
    <w:p w14:paraId="6802ED2A" w14:textId="77777777" w:rsidR="00E33615" w:rsidRPr="00D96EFA" w:rsidRDefault="00981B41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40119A08" wp14:editId="7E4EF85F">
            <wp:simplePos x="0" y="0"/>
            <wp:positionH relativeFrom="column">
              <wp:posOffset>-1822450</wp:posOffset>
            </wp:positionH>
            <wp:positionV relativeFrom="paragraph">
              <wp:posOffset>2099310</wp:posOffset>
            </wp:positionV>
            <wp:extent cx="8607425" cy="4500245"/>
            <wp:effectExtent l="0" t="381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09101" name="图片 5646091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07425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141C4" w14:textId="1AFDDC83" w:rsidR="00E33615" w:rsidRPr="00D96EFA" w:rsidRDefault="004B1272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>Online Resource 6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detailed performance evaluation of the sequential three-class classification prediction for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A–F: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ROC curves, confusion matrixes, and calibration curves of the radiomic mode in the training, internal test, and external test cohorts;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G–I: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ROC curves, confusion matrixes, and calibration curves of deep learning mode in the training, internal test, and external test cohorts; 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M–R: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ROC curves, confusion matrixes, and calibration curves of the Rad-DL mode in the training, internal test, and external test cohorts; AFC, antral follicle count; DL, deep learning; Rad, radiomics; ROC, receiver operating characteristic curve.</w:t>
      </w:r>
      <w:r w:rsidR="007E37BE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 w:type="page"/>
      </w:r>
    </w:p>
    <w:p w14:paraId="6F54F06A" w14:textId="77777777" w:rsidR="00E33615" w:rsidRPr="00D96EFA" w:rsidRDefault="00981B41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59776" behindDoc="0" locked="0" layoutInCell="1" allowOverlap="1" wp14:anchorId="369B620D" wp14:editId="020D6B36">
            <wp:simplePos x="0" y="0"/>
            <wp:positionH relativeFrom="column">
              <wp:posOffset>-264160</wp:posOffset>
            </wp:positionH>
            <wp:positionV relativeFrom="paragraph">
              <wp:posOffset>344170</wp:posOffset>
            </wp:positionV>
            <wp:extent cx="5881370" cy="3873500"/>
            <wp:effectExtent l="0" t="0" r="508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10614" name="图片 7887106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137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80826" w14:textId="77777777" w:rsidR="00E33615" w:rsidRPr="00D96EFA" w:rsidRDefault="00E33615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6B7D542C" w14:textId="4E69908F" w:rsidR="00E33615" w:rsidRPr="00D96EFA" w:rsidRDefault="007E37BE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Online Resource 7</w:t>
      </w:r>
      <w:r w:rsidR="00981B41" w:rsidRPr="00D96EF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Calibration curves of the radiomic, deep learning, and Rad-DL models for the sequential three-class classification prediction of </w:t>
      </w:r>
      <w:r w:rsidR="00395AF9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AFC</w:t>
      </w:r>
      <w:r w:rsidR="009C5C19" w:rsidRPr="00D96EFA">
        <w:rPr>
          <w:rFonts w:ascii="Times New Roman" w:eastAsia="等线" w:hAnsi="Times New Roman" w:cs="Times New Roman" w:hint="eastAsia"/>
          <w:color w:val="000000" w:themeColor="text1"/>
          <w:sz w:val="20"/>
          <w:szCs w:val="20"/>
          <w:vertAlign w:val="subscript"/>
        </w:rPr>
        <w:t>3D</w:t>
      </w:r>
      <w:r w:rsidR="00981B41" w:rsidRPr="00D96EF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the training cohort (A–C) and internal test cohort (D–F). AFC, antral follicle count; DL, deep learning; Rad, radiomics. </w:t>
      </w:r>
    </w:p>
    <w:p w14:paraId="421308EE" w14:textId="77777777" w:rsidR="00E33615" w:rsidRPr="00D96EFA" w:rsidRDefault="00E33615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776CA3F" w14:textId="77777777" w:rsidR="00E33615" w:rsidRPr="00D96EFA" w:rsidRDefault="00E33615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E33615" w:rsidRPr="00D96EF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615"/>
    <w:rsid w:val="00140EE1"/>
    <w:rsid w:val="002D21B2"/>
    <w:rsid w:val="00395AF9"/>
    <w:rsid w:val="004039F6"/>
    <w:rsid w:val="004B1272"/>
    <w:rsid w:val="006A166D"/>
    <w:rsid w:val="007E37BE"/>
    <w:rsid w:val="008C010A"/>
    <w:rsid w:val="00981B41"/>
    <w:rsid w:val="009C5C19"/>
    <w:rsid w:val="00AD0261"/>
    <w:rsid w:val="00B022E6"/>
    <w:rsid w:val="00B11551"/>
    <w:rsid w:val="00C33D41"/>
    <w:rsid w:val="00C62AFC"/>
    <w:rsid w:val="00D96EFA"/>
    <w:rsid w:val="00E33615"/>
    <w:rsid w:val="00E35E2F"/>
    <w:rsid w:val="00E964A3"/>
    <w:rsid w:val="00EB1433"/>
    <w:rsid w:val="00EB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00928"/>
  <w15:docId w15:val="{5C3E9BEA-4F7B-4141-9617-E5688C42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table" w:styleId="10">
    <w:name w:val="Medium List 1"/>
    <w:basedOn w:val="a1"/>
    <w:rPr>
      <w:rFonts w:ascii="Times New Roman" w:eastAsia="Times New Roman" w:hAnsi="Times New Roman" w:cs="Times New Roman"/>
      <w:color w:val="000000"/>
      <w:sz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bottom w:val="single" w:sz="8" w:space="0" w:color="000000"/>
        </w:tcBorders>
      </w:tcPr>
    </w:tblStylePr>
    <w:tblStylePr w:type="lastRow"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a7">
    <w:name w:val="caption"/>
    <w:basedOn w:val="a"/>
    <w:next w:val="a"/>
    <w:rPr>
      <w:rFonts w:ascii="等线 Light" w:eastAsia="等线 Light" w:hAnsi="等线 Light" w:cs="等线 Light"/>
      <w:sz w:val="20"/>
    </w:rPr>
  </w:style>
  <w:style w:type="paragraph" w:styleId="a8">
    <w:name w:val="List Paragraph"/>
    <w:basedOn w:val="a"/>
    <w:pPr>
      <w:ind w:firstLine="420"/>
    </w:pPr>
  </w:style>
  <w:style w:type="character" w:customStyle="1" w:styleId="mw-page-title-main">
    <w:name w:val="mw-page-title-main"/>
    <w:basedOn w:val="a0"/>
    <w:qFormat/>
  </w:style>
  <w:style w:type="paragraph" w:styleId="a9">
    <w:name w:val="header"/>
    <w:basedOn w:val="a"/>
    <w:pPr>
      <w:tabs>
        <w:tab w:val="center" w:pos="4680"/>
        <w:tab w:val="right" w:pos="9360"/>
      </w:tabs>
    </w:pPr>
  </w:style>
  <w:style w:type="paragraph" w:styleId="aa">
    <w:name w:val="footer"/>
    <w:basedOn w:val="a"/>
    <w:pPr>
      <w:tabs>
        <w:tab w:val="center" w:pos="4680"/>
        <w:tab w:val="right" w:pos="9360"/>
      </w:tabs>
    </w:pPr>
  </w:style>
  <w:style w:type="paragraph" w:styleId="ab">
    <w:name w:val="Revision"/>
  </w:style>
  <w:style w:type="paragraph" w:styleId="ac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d">
    <w:name w:val="annotation subject"/>
    <w:basedOn w:val="ac"/>
    <w:rPr>
      <w:b/>
    </w:rPr>
  </w:style>
  <w:style w:type="paragraph" w:styleId="ae">
    <w:name w:val="Balloon Text"/>
    <w:basedOn w:val="a"/>
    <w:rPr>
      <w:rFonts w:ascii="Lucida Grande" w:eastAsia="Lucida Grande" w:hAnsi="Lucida Grande" w:cs="Lucida Grande"/>
      <w:sz w:val="18"/>
    </w:rPr>
  </w:style>
  <w:style w:type="character" w:styleId="af">
    <w:name w:val="line number"/>
    <w:basedOn w:val="a0"/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GeneSequence">
    <w:name w:val="Gene Sequence"/>
    <w:basedOn w:val="a0"/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ArticleTitle">
    <w:name w:val="Article Title"/>
    <w:basedOn w:val="a0"/>
    <w:qFormat/>
  </w:style>
  <w:style w:type="paragraph" w:styleId="af1">
    <w:name w:val="footnote text"/>
    <w:basedOn w:val="a"/>
    <w:rPr>
      <w:rFonts w:ascii="Calibri" w:eastAsia="Calibri" w:hAnsi="Calibri" w:cs="Calibri"/>
    </w:rPr>
  </w:style>
  <w:style w:type="character" w:customStyle="1" w:styleId="IssueNumber">
    <w:name w:val="Issue Number"/>
    <w:basedOn w:val="a0"/>
  </w:style>
  <w:style w:type="character" w:customStyle="1" w:styleId="Label">
    <w:name w:val="Label"/>
    <w:basedOn w:val="a0"/>
    <w:rPr>
      <w:vertAlign w:val="baseline"/>
    </w:rPr>
  </w:style>
  <w:style w:type="paragraph" w:customStyle="1" w:styleId="AbstractSubheading">
    <w:name w:val="Abstract Subheading"/>
    <w:basedOn w:val="a"/>
    <w:next w:val="a"/>
    <w:pPr>
      <w:ind w:left="1440"/>
      <w:outlineLvl w:val="8"/>
    </w:pPr>
    <w:rPr>
      <w:sz w:val="22"/>
    </w:rPr>
  </w:style>
  <w:style w:type="character" w:customStyle="1" w:styleId="Country">
    <w:name w:val="Country"/>
    <w:basedOn w:val="a0"/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Region">
    <w:name w:val="Region"/>
    <w:basedOn w:val="a0"/>
  </w:style>
  <w:style w:type="character" w:customStyle="1" w:styleId="GrantID">
    <w:name w:val="Grant ID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character" w:customStyle="1" w:styleId="City">
    <w:name w:val="City"/>
    <w:basedOn w:val="a0"/>
  </w:style>
  <w:style w:type="paragraph" w:styleId="2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styleId="af3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</w:style>
  <w:style w:type="character" w:customStyle="1" w:styleId="Miscellaneous">
    <w:name w:val="Miscellaneous"/>
    <w:basedOn w:val="a0"/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a0"/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</w:style>
  <w:style w:type="paragraph" w:styleId="af4">
    <w:name w:val="endnote text"/>
    <w:basedOn w:val="a"/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</w:style>
  <w:style w:type="character" w:styleId="af5">
    <w:name w:val="Hyperlink"/>
    <w:basedOn w:val="a0"/>
    <w:rPr>
      <w:color w:val="0563C1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</w:style>
  <w:style w:type="character" w:customStyle="1" w:styleId="Publisher">
    <w:name w:val="Publisher"/>
    <w:basedOn w:val="a0"/>
  </w:style>
  <w:style w:type="character" w:customStyle="1" w:styleId="NameScientific">
    <w:name w:val="Name Scientific"/>
    <w:basedOn w:val="a0"/>
  </w:style>
  <w:style w:type="character" w:customStyle="1" w:styleId="Edition">
    <w:name w:val="Edition"/>
    <w:basedOn w:val="a0"/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Cross-reference">
    <w:name w:val="Cross-reference"/>
    <w:basedOn w:val="a0"/>
  </w:style>
  <w:style w:type="character" w:customStyle="1" w:styleId="Conference">
    <w:name w:val="Conference"/>
    <w:basedOn w:val="a0"/>
  </w:style>
  <w:style w:type="character" w:customStyle="1" w:styleId="GivenName">
    <w:name w:val="Given Name"/>
    <w:basedOn w:val="a0"/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Postcode">
    <w:name w:val="Postcode"/>
    <w:basedOn w:val="a0"/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FamilyName">
    <w:name w:val="Family Name"/>
    <w:basedOn w:val="a0"/>
  </w:style>
  <w:style w:type="character" w:customStyle="1" w:styleId="DatabaseLink">
    <w:name w:val="Database Link"/>
    <w:basedOn w:val="a0"/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04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4392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1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1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45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104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0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8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1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1258</Words>
  <Characters>7602</Characters>
  <Application>Microsoft Office Word</Application>
  <DocSecurity>0</DocSecurity>
  <Lines>181</Lines>
  <Paragraphs>105</Paragraphs>
  <ScaleCrop>false</ScaleCrop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 zhang</cp:lastModifiedBy>
  <cp:revision>15</cp:revision>
  <dcterms:created xsi:type="dcterms:W3CDTF">2025-02-20T16:35:00Z</dcterms:created>
  <dcterms:modified xsi:type="dcterms:W3CDTF">2025-11-03T15:37:00Z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1238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2</vt:lpwstr>
  </property>
  <property fmtid="{D5CDD505-2E9C-101B-9397-08002B2CF9AE}" pid="20" name="Merops figures count">
    <vt:lpwstr>6</vt:lpwstr>
  </property>
  <property fmtid="{D5CDD505-2E9C-101B-9397-08002B2CF9AE}" pid="21" name="Merops graphics count">
    <vt:lpwstr>5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4f94a18b-492a-4603-8c90-ea99914d59c1.docx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MG-Session/On-20250218/I:0b159925-a30e-467e-a5e8-e96aa766fa62</vt:lpwstr>
  </property>
  <property fmtid="{D5CDD505-2E9C-101B-9397-08002B2CF9AE}" pid="32" name="Merops processed date">
    <vt:lpwstr>2025/02/18 03:03:33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42</vt:lpwstr>
  </property>
</Properties>
</file>