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BA05" w14:textId="77777777" w:rsidR="001558D1" w:rsidRDefault="00000000">
      <w:pPr>
        <w:pStyle w:val="a3"/>
        <w:widowControl/>
      </w:pPr>
      <w:r>
        <w:rPr>
          <w:rStyle w:val="a4"/>
        </w:rPr>
        <w:t>Figure S1 | Baseline and post-challenge profiling of pulmonary immune compartments in the OVA allergy and OVA-PBM model</w:t>
      </w:r>
    </w:p>
    <w:p w14:paraId="786AC22F" w14:textId="75BBE680" w:rsidR="001558D1" w:rsidRDefault="00000000">
      <w:pPr>
        <w:pStyle w:val="a3"/>
        <w:widowControl/>
      </w:pPr>
      <w:r>
        <w:t>(A) Frequencies of eosinophils, alveolar macrophages, Ly6C</w:t>
      </w:r>
      <w:r w:rsidRPr="00991EFA">
        <w:rPr>
          <w:highlight w:val="yellow"/>
          <w:vertAlign w:val="superscript"/>
        </w:rPr>
        <w:t>hi</w:t>
      </w:r>
      <w:r w:rsidRPr="00991EFA">
        <w:rPr>
          <w:vertAlign w:val="superscript"/>
        </w:rPr>
        <w:t xml:space="preserve"> </w:t>
      </w:r>
      <w:r>
        <w:t>monocytes, and neutrophils among lung CD45</w:t>
      </w:r>
      <w:r>
        <w:rPr>
          <w:rFonts w:hint="eastAsia"/>
          <w:vertAlign w:val="superscript"/>
        </w:rPr>
        <w:t>+</w:t>
      </w:r>
      <w:r>
        <w:t xml:space="preserve"> cells at basal state and following OVA sensitization/challenge with or without prior PBM exposure. (B) Frequencies of B cells, CD4</w:t>
      </w:r>
      <w:r>
        <w:rPr>
          <w:rFonts w:hint="eastAsia"/>
          <w:vertAlign w:val="superscript"/>
        </w:rPr>
        <w:t>+</w:t>
      </w:r>
      <w:r>
        <w:t xml:space="preserve"> T cells, and CD8</w:t>
      </w:r>
      <w:r>
        <w:rPr>
          <w:rFonts w:hint="eastAsia"/>
          <w:vertAlign w:val="superscript"/>
        </w:rPr>
        <w:t>+</w:t>
      </w:r>
      <w:r>
        <w:t xml:space="preserve"> T cells among lung CD45</w:t>
      </w:r>
      <w:r>
        <w:rPr>
          <w:rFonts w:hint="eastAsia"/>
          <w:vertAlign w:val="superscript"/>
        </w:rPr>
        <w:t>+</w:t>
      </w:r>
      <w:r>
        <w:t xml:space="preserve"> cells across the same experimental groups. Mice were analyzed at baseline and on day 23 following PBS or OVA challenge, with or without PBM exposure. Data represent mean ± SEM. Group sizes: Basal-PBS (n = 4), Basal-OVA (n = 4), D23-PBS (n = </w:t>
      </w:r>
      <w:r w:rsidR="00991EFA" w:rsidRPr="00991EFA">
        <w:rPr>
          <w:rFonts w:hint="eastAsia"/>
          <w:highlight w:val="yellow"/>
        </w:rPr>
        <w:t>3</w:t>
      </w:r>
      <w:r>
        <w:t>), D23-OVA (n = 4), and D23-OVA/PBM (n = 4). Statistical significance was assessed by one-way ANOVA with appropriate multiple-comparison testing (*P &lt; 0.05, **P &lt; 0.01, ***P &lt; 0.001, ****P &lt; 0.0001).</w:t>
      </w:r>
    </w:p>
    <w:p w14:paraId="32C19A18" w14:textId="77777777" w:rsidR="001558D1" w:rsidRDefault="001558D1"/>
    <w:sectPr w:rsidR="001558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52F3332"/>
    <w:rsid w:val="001558D1"/>
    <w:rsid w:val="00991EFA"/>
    <w:rsid w:val="009F709C"/>
    <w:rsid w:val="352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83951"/>
  <w15:docId w15:val="{B6EF55F2-4F3F-4AC3-98C5-BF75325C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707</Characters>
  <Application>Microsoft Office Word</Application>
  <DocSecurity>0</DocSecurity>
  <Lines>12</Lines>
  <Paragraphs>2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Cheng</dc:creator>
  <cp:lastModifiedBy>郑怡 吴</cp:lastModifiedBy>
  <cp:revision>2</cp:revision>
  <dcterms:created xsi:type="dcterms:W3CDTF">2025-12-19T06:33:00Z</dcterms:created>
  <dcterms:modified xsi:type="dcterms:W3CDTF">2025-12-19T06:33:00Z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1F77BC93AD054608B88B0EE2A3C8AE76_11</vt:lpwstr>
  </property>
  <property fmtid="{D5CDD505-2E9C-101B-9397-08002B2CF9AE}" pid="4" name="KSOTemplateDocerSaveRecord">
    <vt:lpwstr>eyJoZGlkIjoiNDc2OWNjOTM4YTlhMWVkOTM5ODVkODkzZGRkNDZmMWUiLCJ1c2VySWQiOiI0MDE1MjU1MDUifQ==</vt:lpwstr>
  </property>
</Properties>
</file>