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D6D7C" w14:textId="0ADA77B9" w:rsidR="002965CD" w:rsidRPr="003E5594" w:rsidRDefault="00730B51" w:rsidP="00730B51">
      <w:pPr>
        <w:spacing w:after="0" w:line="480" w:lineRule="auto"/>
        <w:jc w:val="center"/>
        <w:rPr>
          <w:rFonts w:ascii="Times New Roman" w:hAnsi="Times New Roman" w:cs="Times New Roman"/>
          <w:b/>
          <w:bCs/>
          <w:sz w:val="24"/>
          <w:szCs w:val="24"/>
          <w:lang w:val="en-US"/>
        </w:rPr>
      </w:pPr>
      <w:r w:rsidRPr="003E5594">
        <w:rPr>
          <w:rFonts w:ascii="Times New Roman" w:hAnsi="Times New Roman" w:cs="Times New Roman"/>
          <w:b/>
          <w:bCs/>
          <w:sz w:val="24"/>
          <w:szCs w:val="24"/>
          <w:lang w:val="en-US"/>
        </w:rPr>
        <w:t xml:space="preserve">Performance-based criteria </w:t>
      </w:r>
      <w:r w:rsidR="003A74F4" w:rsidRPr="003E5594">
        <w:rPr>
          <w:rFonts w:ascii="Times New Roman" w:hAnsi="Times New Roman" w:cs="Times New Roman"/>
          <w:b/>
          <w:bCs/>
          <w:sz w:val="24"/>
          <w:szCs w:val="24"/>
          <w:lang w:val="en-US"/>
        </w:rPr>
        <w:t>for</w:t>
      </w:r>
      <w:r w:rsidRPr="003E5594">
        <w:rPr>
          <w:rFonts w:ascii="Times New Roman" w:hAnsi="Times New Roman" w:cs="Times New Roman"/>
          <w:b/>
          <w:bCs/>
          <w:sz w:val="24"/>
          <w:szCs w:val="24"/>
          <w:lang w:val="en-US"/>
        </w:rPr>
        <w:t xml:space="preserve"> safe and circular digestate</w:t>
      </w:r>
      <w:r w:rsidR="009C0DAF">
        <w:rPr>
          <w:rFonts w:ascii="Times New Roman" w:hAnsi="Times New Roman" w:cs="Times New Roman"/>
          <w:b/>
          <w:bCs/>
          <w:sz w:val="24"/>
          <w:szCs w:val="24"/>
          <w:lang w:val="en-US"/>
        </w:rPr>
        <w:t xml:space="preserve"> use</w:t>
      </w:r>
      <w:r w:rsidRPr="003E5594">
        <w:rPr>
          <w:rFonts w:ascii="Times New Roman" w:hAnsi="Times New Roman" w:cs="Times New Roman"/>
          <w:b/>
          <w:bCs/>
          <w:sz w:val="24"/>
          <w:szCs w:val="24"/>
          <w:lang w:val="en-US"/>
        </w:rPr>
        <w:t xml:space="preserve"> in agriculture</w:t>
      </w:r>
    </w:p>
    <w:p w14:paraId="44EE044A" w14:textId="6E3489C2" w:rsidR="003751F1" w:rsidRPr="003E5594" w:rsidRDefault="005C044C" w:rsidP="005C044C">
      <w:pPr>
        <w:pStyle w:val="Ttulo1"/>
        <w:spacing w:line="480" w:lineRule="auto"/>
        <w:jc w:val="center"/>
        <w:rPr>
          <w:rFonts w:ascii="Times New Roman" w:hAnsi="Times New Roman" w:cs="Times New Roman"/>
          <w:b/>
          <w:bCs/>
          <w:color w:val="000000" w:themeColor="text1"/>
          <w:sz w:val="24"/>
          <w:szCs w:val="24"/>
          <w:lang w:val="en-US"/>
        </w:rPr>
      </w:pPr>
      <w:r w:rsidRPr="003E5594">
        <w:rPr>
          <w:rFonts w:ascii="Times New Roman" w:hAnsi="Times New Roman" w:cs="Times New Roman"/>
          <w:b/>
          <w:bCs/>
          <w:color w:val="000000" w:themeColor="text1"/>
          <w:sz w:val="24"/>
          <w:szCs w:val="24"/>
          <w:lang w:val="en-US"/>
        </w:rPr>
        <w:t>SUPPLEMENTARY MATERIAL</w:t>
      </w:r>
    </w:p>
    <w:p w14:paraId="4FF05AC0" w14:textId="26A79B17" w:rsidR="00EA5FDD" w:rsidRPr="003E5594" w:rsidRDefault="00EA5FDD" w:rsidP="005C044C">
      <w:pPr>
        <w:spacing w:after="0" w:line="480" w:lineRule="auto"/>
        <w:textAlignment w:val="baseline"/>
        <w:rPr>
          <w:rFonts w:ascii="Times New Roman" w:eastAsia="Times New Roman" w:hAnsi="Times New Roman" w:cs="Times New Roman"/>
          <w:color w:val="000000" w:themeColor="text1"/>
          <w:sz w:val="24"/>
          <w:szCs w:val="24"/>
          <w:lang w:val="en-US" w:eastAsia="pt-BR"/>
        </w:rPr>
      </w:pPr>
    </w:p>
    <w:p w14:paraId="76443234" w14:textId="240E5603" w:rsidR="008C6B61" w:rsidRPr="003E5594" w:rsidRDefault="00736FED" w:rsidP="005C044C">
      <w:pPr>
        <w:spacing w:after="0" w:line="480" w:lineRule="auto"/>
        <w:textAlignment w:val="baseline"/>
        <w:rPr>
          <w:rFonts w:ascii="Times New Roman" w:eastAsia="Times New Roman" w:hAnsi="Times New Roman" w:cs="Times New Roman"/>
          <w:color w:val="000000" w:themeColor="text1"/>
          <w:sz w:val="24"/>
          <w:szCs w:val="24"/>
          <w:lang w:val="en-US" w:eastAsia="pt-BR"/>
        </w:rPr>
      </w:pPr>
      <w:r>
        <w:rPr>
          <w:rFonts w:ascii="Times New Roman" w:eastAsia="Times New Roman" w:hAnsi="Times New Roman" w:cs="Times New Roman"/>
          <w:noProof/>
          <w:color w:val="000000" w:themeColor="text1"/>
          <w:sz w:val="24"/>
          <w:szCs w:val="24"/>
          <w:lang w:val="en-US" w:eastAsia="pt-BR"/>
        </w:rPr>
        <w:drawing>
          <wp:inline distT="0" distB="0" distL="0" distR="0" wp14:anchorId="4DE91225" wp14:editId="585FA99C">
            <wp:extent cx="5251730" cy="3405411"/>
            <wp:effectExtent l="0" t="0" r="6350" b="5080"/>
            <wp:docPr id="14742034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3283" cy="3412902"/>
                    </a:xfrm>
                    <a:prstGeom prst="rect">
                      <a:avLst/>
                    </a:prstGeom>
                    <a:noFill/>
                  </pic:spPr>
                </pic:pic>
              </a:graphicData>
            </a:graphic>
          </wp:inline>
        </w:drawing>
      </w:r>
    </w:p>
    <w:p w14:paraId="23018D9E" w14:textId="7FD006C0" w:rsidR="00461C41" w:rsidRPr="003E5594" w:rsidRDefault="00461C41" w:rsidP="00625A2C">
      <w:pPr>
        <w:spacing w:after="0" w:line="240" w:lineRule="auto"/>
        <w:textAlignment w:val="baseline"/>
        <w:rPr>
          <w:rFonts w:ascii="Times New Roman" w:hAnsi="Times New Roman" w:cs="Times New Roman"/>
          <w:sz w:val="20"/>
          <w:szCs w:val="20"/>
          <w:lang w:val="en-US"/>
        </w:rPr>
      </w:pPr>
      <w:r w:rsidRPr="003E5594">
        <w:rPr>
          <w:rFonts w:ascii="Times New Roman" w:eastAsia="Times New Roman" w:hAnsi="Times New Roman" w:cs="Times New Roman"/>
          <w:b/>
          <w:bCs/>
          <w:color w:val="000000" w:themeColor="text1"/>
          <w:sz w:val="20"/>
          <w:szCs w:val="20"/>
          <w:lang w:val="en-US" w:eastAsia="pt-BR"/>
        </w:rPr>
        <w:t xml:space="preserve">Supplementary Fig. </w:t>
      </w:r>
      <w:r w:rsidR="005750C5">
        <w:rPr>
          <w:rFonts w:ascii="Times New Roman" w:eastAsia="Times New Roman" w:hAnsi="Times New Roman" w:cs="Times New Roman"/>
          <w:b/>
          <w:bCs/>
          <w:color w:val="000000" w:themeColor="text1"/>
          <w:sz w:val="20"/>
          <w:szCs w:val="20"/>
          <w:lang w:val="en-US" w:eastAsia="pt-BR"/>
        </w:rPr>
        <w:t>1</w:t>
      </w:r>
      <w:r w:rsidRPr="003E5594">
        <w:rPr>
          <w:rFonts w:ascii="Times New Roman" w:eastAsia="Times New Roman" w:hAnsi="Times New Roman" w:cs="Times New Roman"/>
          <w:b/>
          <w:bCs/>
          <w:color w:val="000000" w:themeColor="text1"/>
          <w:sz w:val="20"/>
          <w:szCs w:val="20"/>
          <w:lang w:val="en-US" w:eastAsia="pt-BR"/>
        </w:rPr>
        <w:t xml:space="preserve">. </w:t>
      </w:r>
      <w:r w:rsidR="00660EB4" w:rsidRPr="003E5594">
        <w:rPr>
          <w:rFonts w:ascii="Times New Roman" w:eastAsia="Times New Roman" w:hAnsi="Times New Roman" w:cs="Times New Roman"/>
          <w:b/>
          <w:bCs/>
          <w:color w:val="000000" w:themeColor="text1"/>
          <w:sz w:val="20"/>
          <w:szCs w:val="20"/>
          <w:lang w:val="en-US" w:eastAsia="pt-BR"/>
        </w:rPr>
        <w:t xml:space="preserve">Concentration profiles of trace elements in digestates from different feedstock origins. </w:t>
      </w:r>
      <w:r w:rsidR="00E01E3D" w:rsidRPr="003E5594">
        <w:rPr>
          <w:rFonts w:ascii="Times New Roman" w:hAnsi="Times New Roman" w:cs="Times New Roman"/>
          <w:sz w:val="20"/>
          <w:szCs w:val="20"/>
          <w:lang w:val="en-US"/>
        </w:rPr>
        <w:t>Boxplot represents</w:t>
      </w:r>
      <w:r w:rsidR="00E01E3D" w:rsidRPr="003E5594">
        <w:rPr>
          <w:rFonts w:ascii="Times New Roman" w:hAnsi="Times New Roman" w:cs="Times New Roman"/>
          <w:color w:val="EE0000"/>
          <w:sz w:val="20"/>
          <w:szCs w:val="20"/>
          <w:lang w:val="en-US"/>
        </w:rPr>
        <w:t xml:space="preserve"> </w:t>
      </w:r>
      <w:r w:rsidR="00E01E3D" w:rsidRPr="003E5594">
        <w:rPr>
          <w:rFonts w:ascii="Times New Roman" w:hAnsi="Times New Roman" w:cs="Times New Roman"/>
          <w:sz w:val="20"/>
          <w:szCs w:val="20"/>
          <w:lang w:val="en-US"/>
        </w:rPr>
        <w:t xml:space="preserve">agricultural biomass </w:t>
      </w:r>
      <w:r w:rsidR="00274069">
        <w:rPr>
          <w:rFonts w:ascii="Times New Roman" w:hAnsi="Times New Roman" w:cs="Times New Roman"/>
          <w:sz w:val="20"/>
          <w:szCs w:val="20"/>
          <w:lang w:val="en-US"/>
        </w:rPr>
        <w:t>(</w:t>
      </w:r>
      <w:r w:rsidR="00E01E3D" w:rsidRPr="003E5594">
        <w:rPr>
          <w:rFonts w:ascii="Times New Roman" w:hAnsi="Times New Roman" w:cs="Times New Roman"/>
          <w:sz w:val="20"/>
          <w:szCs w:val="20"/>
          <w:lang w:val="en-US"/>
        </w:rPr>
        <w:t>n = 2</w:t>
      </w:r>
      <w:r w:rsidR="00274069">
        <w:rPr>
          <w:rFonts w:ascii="Times New Roman" w:hAnsi="Times New Roman" w:cs="Times New Roman"/>
          <w:sz w:val="20"/>
          <w:szCs w:val="20"/>
          <w:lang w:val="en-US"/>
        </w:rPr>
        <w:t xml:space="preserve">, </w:t>
      </w:r>
      <w:r w:rsidR="00E01E3D" w:rsidRPr="003E5594">
        <w:rPr>
          <w:rFonts w:ascii="Times New Roman" w:hAnsi="Times New Roman" w:cs="Times New Roman"/>
          <w:sz w:val="20"/>
          <w:szCs w:val="20"/>
          <w:lang w:val="en-US"/>
        </w:rPr>
        <w:t xml:space="preserve">green), food waste </w:t>
      </w:r>
      <w:r w:rsidR="00274069">
        <w:rPr>
          <w:rFonts w:ascii="Times New Roman" w:hAnsi="Times New Roman" w:cs="Times New Roman"/>
          <w:sz w:val="20"/>
          <w:szCs w:val="20"/>
          <w:lang w:val="en-US"/>
        </w:rPr>
        <w:t>(</w:t>
      </w:r>
      <w:r w:rsidR="00E01E3D" w:rsidRPr="003E5594">
        <w:rPr>
          <w:rFonts w:ascii="Times New Roman" w:hAnsi="Times New Roman" w:cs="Times New Roman"/>
          <w:sz w:val="20"/>
          <w:szCs w:val="20"/>
          <w:lang w:val="en-US"/>
        </w:rPr>
        <w:t>n = 11</w:t>
      </w:r>
      <w:r w:rsidR="00274069">
        <w:rPr>
          <w:rFonts w:ascii="Times New Roman" w:hAnsi="Times New Roman" w:cs="Times New Roman"/>
          <w:sz w:val="20"/>
          <w:szCs w:val="20"/>
          <w:lang w:val="en-US"/>
        </w:rPr>
        <w:t xml:space="preserve">, </w:t>
      </w:r>
      <w:r w:rsidR="00E01E3D" w:rsidRPr="003E5594">
        <w:rPr>
          <w:rFonts w:ascii="Times New Roman" w:hAnsi="Times New Roman" w:cs="Times New Roman"/>
          <w:sz w:val="20"/>
          <w:szCs w:val="20"/>
          <w:lang w:val="en-US"/>
        </w:rPr>
        <w:t xml:space="preserve">orange), manure </w:t>
      </w:r>
      <w:r w:rsidR="00274069">
        <w:rPr>
          <w:rFonts w:ascii="Times New Roman" w:hAnsi="Times New Roman" w:cs="Times New Roman"/>
          <w:sz w:val="20"/>
          <w:szCs w:val="20"/>
          <w:lang w:val="en-US"/>
        </w:rPr>
        <w:t>(</w:t>
      </w:r>
      <w:r w:rsidR="00E01E3D" w:rsidRPr="003E5594">
        <w:rPr>
          <w:rFonts w:ascii="Times New Roman" w:hAnsi="Times New Roman" w:cs="Times New Roman"/>
          <w:sz w:val="20"/>
          <w:szCs w:val="20"/>
          <w:lang w:val="en-US"/>
        </w:rPr>
        <w:t>n = 7</w:t>
      </w:r>
      <w:r w:rsidR="00274069">
        <w:rPr>
          <w:rFonts w:ascii="Times New Roman" w:hAnsi="Times New Roman" w:cs="Times New Roman"/>
          <w:sz w:val="20"/>
          <w:szCs w:val="20"/>
          <w:lang w:val="en-US"/>
        </w:rPr>
        <w:t xml:space="preserve">, </w:t>
      </w:r>
      <w:r w:rsidR="00E01E3D" w:rsidRPr="003E5594">
        <w:rPr>
          <w:rFonts w:ascii="Times New Roman" w:hAnsi="Times New Roman" w:cs="Times New Roman"/>
          <w:sz w:val="20"/>
          <w:szCs w:val="20"/>
          <w:lang w:val="en-US"/>
        </w:rPr>
        <w:t xml:space="preserve">purple), and sewage sludge </w:t>
      </w:r>
      <w:r w:rsidR="00274069">
        <w:rPr>
          <w:rFonts w:ascii="Times New Roman" w:hAnsi="Times New Roman" w:cs="Times New Roman"/>
          <w:sz w:val="20"/>
          <w:szCs w:val="20"/>
          <w:lang w:val="en-US"/>
        </w:rPr>
        <w:t>(</w:t>
      </w:r>
      <w:r w:rsidR="00E01E3D" w:rsidRPr="003E5594">
        <w:rPr>
          <w:rFonts w:ascii="Times New Roman" w:hAnsi="Times New Roman" w:cs="Times New Roman"/>
          <w:sz w:val="20"/>
          <w:szCs w:val="20"/>
          <w:lang w:val="en-US"/>
        </w:rPr>
        <w:t>n = 3</w:t>
      </w:r>
      <w:r w:rsidR="00274069">
        <w:rPr>
          <w:rFonts w:ascii="Times New Roman" w:hAnsi="Times New Roman" w:cs="Times New Roman"/>
          <w:sz w:val="20"/>
          <w:szCs w:val="20"/>
          <w:lang w:val="en-US"/>
        </w:rPr>
        <w:t xml:space="preserve">, </w:t>
      </w:r>
      <w:r w:rsidR="00E01E3D" w:rsidRPr="003E5594">
        <w:rPr>
          <w:rFonts w:ascii="Times New Roman" w:hAnsi="Times New Roman" w:cs="Times New Roman"/>
          <w:sz w:val="20"/>
          <w:szCs w:val="20"/>
          <w:lang w:val="en-US"/>
        </w:rPr>
        <w:t>pink). Statistical differences were assessed using Kruskal’s Wallis and Dunn test (p &lt; 0.05).</w:t>
      </w:r>
    </w:p>
    <w:p w14:paraId="163979CC" w14:textId="77777777" w:rsidR="00EF14F9" w:rsidRPr="003E5594" w:rsidRDefault="00EF14F9" w:rsidP="005C044C">
      <w:pPr>
        <w:spacing w:after="0" w:line="480" w:lineRule="auto"/>
        <w:textAlignment w:val="baseline"/>
        <w:rPr>
          <w:rFonts w:ascii="Times New Roman" w:eastAsia="Times New Roman" w:hAnsi="Times New Roman" w:cs="Times New Roman"/>
          <w:color w:val="000000" w:themeColor="text1"/>
          <w:sz w:val="24"/>
          <w:szCs w:val="24"/>
          <w:lang w:val="en-US" w:eastAsia="pt-BR"/>
        </w:rPr>
      </w:pPr>
    </w:p>
    <w:p w14:paraId="575C9183" w14:textId="68FB98A5" w:rsidR="00D02D54" w:rsidRPr="003E5594" w:rsidRDefault="00D02D54" w:rsidP="003E5594">
      <w:pPr>
        <w:spacing w:after="0" w:line="480" w:lineRule="auto"/>
        <w:jc w:val="center"/>
        <w:rPr>
          <w:rFonts w:ascii="Times New Roman" w:hAnsi="Times New Roman" w:cs="Times New Roman"/>
          <w:b/>
          <w:bCs/>
          <w:color w:val="000000" w:themeColor="text1"/>
          <w:sz w:val="24"/>
          <w:szCs w:val="24"/>
          <w:lang w:val="en-US"/>
        </w:rPr>
      </w:pPr>
      <w:r w:rsidRPr="003E5594">
        <w:rPr>
          <w:rFonts w:ascii="Times New Roman" w:hAnsi="Times New Roman" w:cs="Times New Roman"/>
          <w:b/>
          <w:bCs/>
          <w:color w:val="000000" w:themeColor="text1"/>
          <w:sz w:val="24"/>
          <w:szCs w:val="24"/>
          <w:lang w:val="en-US"/>
        </w:rPr>
        <w:t>Supplementary Methods – Statistical analysis</w:t>
      </w:r>
    </w:p>
    <w:p w14:paraId="05D9695D" w14:textId="54F6976F" w:rsidR="005A6B41" w:rsidRDefault="005A6B41" w:rsidP="005A6B41">
      <w:pPr>
        <w:spacing w:after="0" w:line="480" w:lineRule="auto"/>
        <w:ind w:firstLine="708"/>
        <w:rPr>
          <w:rFonts w:ascii="Times New Roman" w:hAnsi="Times New Roman" w:cs="Times New Roman"/>
          <w:color w:val="000000" w:themeColor="text1"/>
          <w:sz w:val="24"/>
          <w:szCs w:val="24"/>
          <w:lang w:val="en-US"/>
        </w:rPr>
      </w:pPr>
      <w:r w:rsidRPr="003E5594">
        <w:rPr>
          <w:rFonts w:ascii="Times New Roman" w:hAnsi="Times New Roman" w:cs="Times New Roman"/>
          <w:color w:val="000000" w:themeColor="text1"/>
          <w:sz w:val="24"/>
          <w:szCs w:val="24"/>
          <w:lang w:val="en-US"/>
        </w:rPr>
        <w:t>All analyses were performed in R (v4.2–4.3)</w:t>
      </w:r>
      <w:r>
        <w:rPr>
          <w:rFonts w:ascii="Times New Roman" w:hAnsi="Times New Roman" w:cs="Times New Roman"/>
          <w:color w:val="000000" w:themeColor="text1"/>
          <w:sz w:val="24"/>
          <w:szCs w:val="24"/>
          <w:lang w:val="en-US"/>
        </w:rPr>
        <w:t xml:space="preserve"> R </w:t>
      </w:r>
      <w:r w:rsidRPr="007D7C9A">
        <w:rPr>
          <w:rFonts w:ascii="Times New Roman" w:hAnsi="Times New Roman" w:cs="Times New Roman"/>
          <w:color w:val="000000" w:themeColor="text1"/>
          <w:sz w:val="24"/>
          <w:szCs w:val="24"/>
          <w:lang w:val="en-US"/>
        </w:rPr>
        <w:t>with scripts archived in the “Digestate” GitHub repository (see Code availability). Normality was evaluated using the Shapiro–Wilk test (</w:t>
      </w:r>
      <w:proofErr w:type="spellStart"/>
      <w:r w:rsidRPr="007D7C9A">
        <w:rPr>
          <w:rFonts w:ascii="Times New Roman" w:hAnsi="Times New Roman" w:cs="Times New Roman"/>
          <w:color w:val="000000" w:themeColor="text1"/>
          <w:sz w:val="24"/>
          <w:szCs w:val="24"/>
          <w:lang w:val="en-US"/>
        </w:rPr>
        <w:t>shapiro.test</w:t>
      </w:r>
      <w:proofErr w:type="spellEnd"/>
      <w:r w:rsidRPr="007D7C9A">
        <w:rPr>
          <w:rFonts w:ascii="Times New Roman" w:hAnsi="Times New Roman" w:cs="Times New Roman"/>
          <w:color w:val="000000" w:themeColor="text1"/>
          <w:sz w:val="24"/>
          <w:szCs w:val="24"/>
          <w:lang w:val="en-US"/>
        </w:rPr>
        <w:t>). Because many outcomes were bounded (e.g., GI: 0–100%) and groups were unbalanced, normality was frequently rejected (p &lt; 0.05) or visually uncertain, and non-parametric tests were applied to all group comparisons</w:t>
      </w:r>
      <w:r>
        <w:rPr>
          <w:rFonts w:ascii="Times New Roman" w:hAnsi="Times New Roman" w:cs="Times New Roman"/>
          <w:color w:val="000000" w:themeColor="text1"/>
          <w:sz w:val="24"/>
          <w:szCs w:val="24"/>
          <w:lang w:val="en-US"/>
        </w:rPr>
        <w:t>.</w:t>
      </w:r>
    </w:p>
    <w:p w14:paraId="50E36392" w14:textId="355F843E" w:rsidR="005A6B41" w:rsidRDefault="005A6B41" w:rsidP="005A6B41">
      <w:pPr>
        <w:spacing w:after="0" w:line="480" w:lineRule="auto"/>
        <w:ind w:firstLine="708"/>
        <w:rPr>
          <w:rFonts w:ascii="Times New Roman" w:hAnsi="Times New Roman" w:cs="Times New Roman"/>
          <w:color w:val="000000" w:themeColor="text1"/>
          <w:sz w:val="24"/>
          <w:szCs w:val="24"/>
          <w:lang w:val="en-US"/>
        </w:rPr>
      </w:pPr>
      <w:r w:rsidRPr="009471DA">
        <w:rPr>
          <w:rFonts w:ascii="Times New Roman" w:hAnsi="Times New Roman" w:cs="Times New Roman"/>
          <w:color w:val="000000" w:themeColor="text1"/>
          <w:sz w:val="24"/>
          <w:szCs w:val="24"/>
          <w:lang w:val="en-US"/>
        </w:rPr>
        <w:t xml:space="preserve">Differences across categories (e.g., feedstock within fractions, fractions overall) were tested with Kruskal–Wallis followed by Dunn’s post-hoc comparisons with </w:t>
      </w:r>
      <w:r w:rsidRPr="009471DA">
        <w:rPr>
          <w:rFonts w:ascii="Times New Roman" w:hAnsi="Times New Roman" w:cs="Times New Roman"/>
          <w:color w:val="000000" w:themeColor="text1"/>
          <w:sz w:val="24"/>
          <w:szCs w:val="24"/>
          <w:lang w:val="en-US"/>
        </w:rPr>
        <w:lastRenderedPageBreak/>
        <w:t>Bonferroni correction.</w:t>
      </w:r>
      <w:r w:rsidRPr="005A6B41">
        <w:rPr>
          <w:rFonts w:ascii="Times New Roman" w:hAnsi="Times New Roman" w:cs="Times New Roman"/>
          <w:color w:val="000000" w:themeColor="text1"/>
          <w:sz w:val="24"/>
          <w:szCs w:val="24"/>
          <w:lang w:val="en-US"/>
        </w:rPr>
        <w:t xml:space="preserve"> Results are shown as boxplots with raw data overlay and compact letter displays for groupings (Figs. 1, 3,</w:t>
      </w:r>
      <w:r>
        <w:rPr>
          <w:rFonts w:ascii="Times New Roman" w:hAnsi="Times New Roman" w:cs="Times New Roman"/>
          <w:color w:val="000000" w:themeColor="text1"/>
          <w:sz w:val="24"/>
          <w:szCs w:val="24"/>
          <w:lang w:val="en-US"/>
        </w:rPr>
        <w:t xml:space="preserve"> 4,</w:t>
      </w:r>
      <w:r w:rsidRPr="005A6B41">
        <w:rPr>
          <w:rFonts w:ascii="Times New Roman" w:hAnsi="Times New Roman" w:cs="Times New Roman"/>
          <w:color w:val="000000" w:themeColor="text1"/>
          <w:sz w:val="24"/>
          <w:szCs w:val="24"/>
          <w:lang w:val="en-US"/>
        </w:rPr>
        <w:t xml:space="preserve"> S1).</w:t>
      </w:r>
    </w:p>
    <w:p w14:paraId="5DFC56ED" w14:textId="77777777" w:rsidR="005A6B41" w:rsidRPr="005A6B41" w:rsidRDefault="005A6B41" w:rsidP="005A6B41">
      <w:pPr>
        <w:spacing w:after="0" w:line="480" w:lineRule="auto"/>
        <w:ind w:firstLine="708"/>
        <w:rPr>
          <w:rFonts w:ascii="Times New Roman" w:hAnsi="Times New Roman" w:cs="Times New Roman"/>
          <w:color w:val="000000" w:themeColor="text1"/>
          <w:sz w:val="24"/>
          <w:szCs w:val="24"/>
          <w:lang w:val="en-US"/>
        </w:rPr>
      </w:pPr>
      <w:r w:rsidRPr="005A6B41">
        <w:rPr>
          <w:rFonts w:ascii="Times New Roman" w:hAnsi="Times New Roman" w:cs="Times New Roman"/>
          <w:color w:val="000000" w:themeColor="text1"/>
          <w:sz w:val="24"/>
          <w:szCs w:val="24"/>
          <w:lang w:val="en-US"/>
        </w:rPr>
        <w:t>Associations between GI and chemical predictors were quantified by Spearman’s rank correlation with FDR adjustment. Variables with FDR &lt; 0.05 or non-zero Elastic Net coefficients (</w:t>
      </w:r>
      <w:proofErr w:type="spellStart"/>
      <w:r w:rsidRPr="005A6B41">
        <w:rPr>
          <w:rFonts w:ascii="Times New Roman" w:hAnsi="Times New Roman" w:cs="Times New Roman"/>
          <w:color w:val="000000" w:themeColor="text1"/>
          <w:sz w:val="24"/>
          <w:szCs w:val="24"/>
          <w:lang w:val="en-US"/>
        </w:rPr>
        <w:t>glmnet</w:t>
      </w:r>
      <w:proofErr w:type="spellEnd"/>
      <w:r w:rsidRPr="005A6B41">
        <w:rPr>
          <w:rFonts w:ascii="Times New Roman" w:hAnsi="Times New Roman" w:cs="Times New Roman"/>
          <w:color w:val="000000" w:themeColor="text1"/>
          <w:sz w:val="24"/>
          <w:szCs w:val="24"/>
          <w:lang w:val="en-US"/>
        </w:rPr>
        <w:t>, α=0.5, λ via 10-fold CV) were retained for GAM testing (</w:t>
      </w:r>
      <w:proofErr w:type="spellStart"/>
      <w:r w:rsidRPr="005A6B41">
        <w:rPr>
          <w:rFonts w:ascii="Times New Roman" w:hAnsi="Times New Roman" w:cs="Times New Roman"/>
          <w:color w:val="000000" w:themeColor="text1"/>
          <w:sz w:val="24"/>
          <w:szCs w:val="24"/>
          <w:lang w:val="en-US"/>
        </w:rPr>
        <w:t>mgcv</w:t>
      </w:r>
      <w:proofErr w:type="spellEnd"/>
      <w:r w:rsidRPr="005A6B41">
        <w:rPr>
          <w:rFonts w:ascii="Times New Roman" w:hAnsi="Times New Roman" w:cs="Times New Roman"/>
          <w:color w:val="000000" w:themeColor="text1"/>
          <w:sz w:val="24"/>
          <w:szCs w:val="24"/>
          <w:lang w:val="en-US"/>
        </w:rPr>
        <w:t>, thin-plate splines). A variable was considered a GI driver if it passed both screening and GAM significance. Robustness was summarized with lollipop plots, correlation–effect scatterplots, and a heatmap integrating the three methods (Fig. 2).</w:t>
      </w:r>
    </w:p>
    <w:p w14:paraId="6C953C2E" w14:textId="3A0F7A4A" w:rsidR="005A6B41" w:rsidRPr="005A6B41" w:rsidRDefault="005A6B41" w:rsidP="00E167CE">
      <w:pPr>
        <w:spacing w:after="0" w:line="480" w:lineRule="auto"/>
        <w:ind w:firstLine="708"/>
        <w:rPr>
          <w:rFonts w:ascii="Times New Roman" w:hAnsi="Times New Roman" w:cs="Times New Roman"/>
          <w:color w:val="000000" w:themeColor="text1"/>
          <w:sz w:val="24"/>
          <w:szCs w:val="24"/>
          <w:lang w:val="en-US"/>
        </w:rPr>
      </w:pPr>
      <w:r w:rsidRPr="005A6B41">
        <w:rPr>
          <w:rFonts w:ascii="Times New Roman" w:hAnsi="Times New Roman" w:cs="Times New Roman"/>
          <w:color w:val="000000" w:themeColor="text1"/>
          <w:sz w:val="24"/>
          <w:szCs w:val="24"/>
          <w:lang w:val="en-US"/>
        </w:rPr>
        <w:t>Rare earth elements and micronutrients were profiled by feedstock category (Figs. 3A–B), while heavy metals were compared with EU and US EPA thresholds (Fig. 4). Cut points for TAN, K, B, and Fe were derived via ROC analysis (</w:t>
      </w:r>
      <w:proofErr w:type="spellStart"/>
      <w:r w:rsidRPr="005A6B41">
        <w:rPr>
          <w:rFonts w:ascii="Times New Roman" w:hAnsi="Times New Roman" w:cs="Times New Roman"/>
          <w:color w:val="000000" w:themeColor="text1"/>
          <w:sz w:val="24"/>
          <w:szCs w:val="24"/>
          <w:lang w:val="en-US"/>
        </w:rPr>
        <w:t>pROC</w:t>
      </w:r>
      <w:proofErr w:type="spellEnd"/>
      <w:r w:rsidRPr="005A6B41">
        <w:rPr>
          <w:rFonts w:ascii="Times New Roman" w:hAnsi="Times New Roman" w:cs="Times New Roman"/>
          <w:color w:val="000000" w:themeColor="text1"/>
          <w:sz w:val="24"/>
          <w:szCs w:val="24"/>
          <w:lang w:val="en-US"/>
        </w:rPr>
        <w:t>) using Youden’s J index; sensitivity, specificity, and AUC are reported in Table S1. GI outcomes relative to these thresholds are shown as boxplots and TAN–K interactions stratified by B (Figs. 5A–B).</w:t>
      </w:r>
    </w:p>
    <w:p w14:paraId="65DF41D4" w14:textId="4C0C4F42" w:rsidR="005A6B41" w:rsidRDefault="005A6B41" w:rsidP="005A6B41">
      <w:pPr>
        <w:spacing w:after="0" w:line="480" w:lineRule="auto"/>
        <w:ind w:firstLine="708"/>
        <w:rPr>
          <w:rFonts w:ascii="Times New Roman" w:hAnsi="Times New Roman" w:cs="Times New Roman"/>
          <w:color w:val="000000" w:themeColor="text1"/>
          <w:sz w:val="24"/>
          <w:szCs w:val="24"/>
          <w:lang w:val="en-US"/>
        </w:rPr>
      </w:pPr>
      <w:r w:rsidRPr="005A6B41">
        <w:rPr>
          <w:rFonts w:ascii="Times New Roman" w:hAnsi="Times New Roman" w:cs="Times New Roman"/>
          <w:color w:val="000000" w:themeColor="text1"/>
          <w:sz w:val="24"/>
          <w:szCs w:val="24"/>
          <w:lang w:val="en-US"/>
        </w:rPr>
        <w:t>Finally, a decision flowchart (Fig. 6) was generated (</w:t>
      </w:r>
      <w:proofErr w:type="spellStart"/>
      <w:r w:rsidRPr="005A6B41">
        <w:rPr>
          <w:rFonts w:ascii="Times New Roman" w:hAnsi="Times New Roman" w:cs="Times New Roman"/>
          <w:color w:val="000000" w:themeColor="text1"/>
          <w:sz w:val="24"/>
          <w:szCs w:val="24"/>
          <w:lang w:val="en-US"/>
        </w:rPr>
        <w:t>DiagrammeR</w:t>
      </w:r>
      <w:proofErr w:type="spellEnd"/>
      <w:r w:rsidRPr="005A6B41">
        <w:rPr>
          <w:rFonts w:ascii="Times New Roman" w:hAnsi="Times New Roman" w:cs="Times New Roman"/>
          <w:color w:val="000000" w:themeColor="text1"/>
          <w:sz w:val="24"/>
          <w:szCs w:val="24"/>
          <w:lang w:val="en-US"/>
        </w:rPr>
        <w:t xml:space="preserve">, </w:t>
      </w:r>
      <w:proofErr w:type="spellStart"/>
      <w:r w:rsidRPr="005A6B41">
        <w:rPr>
          <w:rFonts w:ascii="Times New Roman" w:hAnsi="Times New Roman" w:cs="Times New Roman"/>
          <w:color w:val="000000" w:themeColor="text1"/>
          <w:sz w:val="24"/>
          <w:szCs w:val="24"/>
          <w:lang w:val="en-US"/>
        </w:rPr>
        <w:t>DiagrammeRsvg</w:t>
      </w:r>
      <w:proofErr w:type="spellEnd"/>
      <w:r w:rsidRPr="005A6B41">
        <w:rPr>
          <w:rFonts w:ascii="Times New Roman" w:hAnsi="Times New Roman" w:cs="Times New Roman"/>
          <w:color w:val="000000" w:themeColor="text1"/>
          <w:sz w:val="24"/>
          <w:szCs w:val="24"/>
          <w:lang w:val="en-US"/>
        </w:rPr>
        <w:t xml:space="preserve">, </w:t>
      </w:r>
      <w:proofErr w:type="spellStart"/>
      <w:r w:rsidRPr="005A6B41">
        <w:rPr>
          <w:rFonts w:ascii="Times New Roman" w:hAnsi="Times New Roman" w:cs="Times New Roman"/>
          <w:color w:val="000000" w:themeColor="text1"/>
          <w:sz w:val="24"/>
          <w:szCs w:val="24"/>
          <w:lang w:val="en-US"/>
        </w:rPr>
        <w:t>rsvg</w:t>
      </w:r>
      <w:proofErr w:type="spellEnd"/>
      <w:r w:rsidRPr="005A6B41">
        <w:rPr>
          <w:rFonts w:ascii="Times New Roman" w:hAnsi="Times New Roman" w:cs="Times New Roman"/>
          <w:color w:val="000000" w:themeColor="text1"/>
          <w:sz w:val="24"/>
          <w:szCs w:val="24"/>
          <w:lang w:val="en-US"/>
        </w:rPr>
        <w:t>) to illustrate potential screening strategies. Figures were produced with ggplot2 and companion packages (</w:t>
      </w:r>
      <w:proofErr w:type="spellStart"/>
      <w:r w:rsidRPr="005A6B41">
        <w:rPr>
          <w:rFonts w:ascii="Times New Roman" w:hAnsi="Times New Roman" w:cs="Times New Roman"/>
          <w:color w:val="000000" w:themeColor="text1"/>
          <w:sz w:val="24"/>
          <w:szCs w:val="24"/>
          <w:lang w:val="en-US"/>
        </w:rPr>
        <w:t>ggrepel</w:t>
      </w:r>
      <w:proofErr w:type="spellEnd"/>
      <w:r w:rsidRPr="005A6B41">
        <w:rPr>
          <w:rFonts w:ascii="Times New Roman" w:hAnsi="Times New Roman" w:cs="Times New Roman"/>
          <w:color w:val="000000" w:themeColor="text1"/>
          <w:sz w:val="24"/>
          <w:szCs w:val="24"/>
          <w:lang w:val="en-US"/>
        </w:rPr>
        <w:t xml:space="preserve">, </w:t>
      </w:r>
      <w:proofErr w:type="spellStart"/>
      <w:r w:rsidRPr="005A6B41">
        <w:rPr>
          <w:rFonts w:ascii="Times New Roman" w:hAnsi="Times New Roman" w:cs="Times New Roman"/>
          <w:color w:val="000000" w:themeColor="text1"/>
          <w:sz w:val="24"/>
          <w:szCs w:val="24"/>
          <w:lang w:val="en-US"/>
        </w:rPr>
        <w:t>ggtext</w:t>
      </w:r>
      <w:proofErr w:type="spellEnd"/>
      <w:r w:rsidRPr="005A6B41">
        <w:rPr>
          <w:rFonts w:ascii="Times New Roman" w:hAnsi="Times New Roman" w:cs="Times New Roman"/>
          <w:color w:val="000000" w:themeColor="text1"/>
          <w:sz w:val="24"/>
          <w:szCs w:val="24"/>
          <w:lang w:val="en-US"/>
        </w:rPr>
        <w:t>, patchwork, scales), exported as TIFF (</w:t>
      </w:r>
      <w:r w:rsidR="005C60EB">
        <w:rPr>
          <w:rFonts w:ascii="Times New Roman" w:hAnsi="Times New Roman" w:cs="Times New Roman"/>
          <w:color w:val="000000" w:themeColor="text1"/>
          <w:sz w:val="24"/>
          <w:szCs w:val="24"/>
          <w:lang w:val="en-US"/>
        </w:rPr>
        <w:t>3</w:t>
      </w:r>
      <w:r w:rsidRPr="005A6B41">
        <w:rPr>
          <w:rFonts w:ascii="Times New Roman" w:hAnsi="Times New Roman" w:cs="Times New Roman"/>
          <w:color w:val="000000" w:themeColor="text1"/>
          <w:sz w:val="24"/>
          <w:szCs w:val="24"/>
          <w:lang w:val="en-US"/>
        </w:rPr>
        <w:t>00 dpi).</w:t>
      </w:r>
    </w:p>
    <w:sectPr w:rsidR="005A6B41" w:rsidSect="003751F1">
      <w:pgSz w:w="11906" w:h="16838"/>
      <w:pgMar w:top="1417" w:right="1701" w:bottom="1417" w:left="1701"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45FF7"/>
    <w:multiLevelType w:val="multilevel"/>
    <w:tmpl w:val="A20A0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129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1F1"/>
    <w:rsid w:val="0001220E"/>
    <w:rsid w:val="00030671"/>
    <w:rsid w:val="000F4464"/>
    <w:rsid w:val="00111430"/>
    <w:rsid w:val="001418C0"/>
    <w:rsid w:val="00150011"/>
    <w:rsid w:val="001C4C13"/>
    <w:rsid w:val="001D080C"/>
    <w:rsid w:val="001D5B31"/>
    <w:rsid w:val="00201636"/>
    <w:rsid w:val="00202D94"/>
    <w:rsid w:val="00220F40"/>
    <w:rsid w:val="00222E17"/>
    <w:rsid w:val="0024168D"/>
    <w:rsid w:val="00251D5F"/>
    <w:rsid w:val="00262E32"/>
    <w:rsid w:val="00274069"/>
    <w:rsid w:val="002965CD"/>
    <w:rsid w:val="002C73E5"/>
    <w:rsid w:val="002E1AA2"/>
    <w:rsid w:val="00326D0C"/>
    <w:rsid w:val="00343005"/>
    <w:rsid w:val="0034434D"/>
    <w:rsid w:val="00357AA8"/>
    <w:rsid w:val="003638B6"/>
    <w:rsid w:val="003751F1"/>
    <w:rsid w:val="00382CC5"/>
    <w:rsid w:val="0038463C"/>
    <w:rsid w:val="003A74F4"/>
    <w:rsid w:val="003B2D33"/>
    <w:rsid w:val="003E2C2F"/>
    <w:rsid w:val="003E5594"/>
    <w:rsid w:val="004443BA"/>
    <w:rsid w:val="00461C41"/>
    <w:rsid w:val="00473CA7"/>
    <w:rsid w:val="00487B1A"/>
    <w:rsid w:val="004953CB"/>
    <w:rsid w:val="004B5642"/>
    <w:rsid w:val="00557865"/>
    <w:rsid w:val="005750C5"/>
    <w:rsid w:val="00582CE6"/>
    <w:rsid w:val="005A6B41"/>
    <w:rsid w:val="005B61E7"/>
    <w:rsid w:val="005C044C"/>
    <w:rsid w:val="005C60EB"/>
    <w:rsid w:val="005D690D"/>
    <w:rsid w:val="005D79CB"/>
    <w:rsid w:val="00612D26"/>
    <w:rsid w:val="00625A2C"/>
    <w:rsid w:val="00632EEC"/>
    <w:rsid w:val="0064037B"/>
    <w:rsid w:val="00660EB4"/>
    <w:rsid w:val="0067580E"/>
    <w:rsid w:val="00686368"/>
    <w:rsid w:val="0071529E"/>
    <w:rsid w:val="00722F25"/>
    <w:rsid w:val="00730B51"/>
    <w:rsid w:val="00736FED"/>
    <w:rsid w:val="00741832"/>
    <w:rsid w:val="00765965"/>
    <w:rsid w:val="00792B64"/>
    <w:rsid w:val="007A0037"/>
    <w:rsid w:val="007A3503"/>
    <w:rsid w:val="007B19E4"/>
    <w:rsid w:val="007B4986"/>
    <w:rsid w:val="007B62F4"/>
    <w:rsid w:val="007D7C9A"/>
    <w:rsid w:val="00835586"/>
    <w:rsid w:val="0084240D"/>
    <w:rsid w:val="00885CFB"/>
    <w:rsid w:val="008C6B61"/>
    <w:rsid w:val="009471DA"/>
    <w:rsid w:val="009929C5"/>
    <w:rsid w:val="009943EE"/>
    <w:rsid w:val="009A5720"/>
    <w:rsid w:val="009C0DAF"/>
    <w:rsid w:val="009C5231"/>
    <w:rsid w:val="009E35E6"/>
    <w:rsid w:val="00A13D66"/>
    <w:rsid w:val="00A92D81"/>
    <w:rsid w:val="00AE0A64"/>
    <w:rsid w:val="00AE3F6F"/>
    <w:rsid w:val="00AE4FA6"/>
    <w:rsid w:val="00B106AC"/>
    <w:rsid w:val="00B37D8D"/>
    <w:rsid w:val="00B753E7"/>
    <w:rsid w:val="00BE1758"/>
    <w:rsid w:val="00BF0E5B"/>
    <w:rsid w:val="00C4497C"/>
    <w:rsid w:val="00C76286"/>
    <w:rsid w:val="00C977D1"/>
    <w:rsid w:val="00CA4C80"/>
    <w:rsid w:val="00CA64C4"/>
    <w:rsid w:val="00CB06B5"/>
    <w:rsid w:val="00CC6248"/>
    <w:rsid w:val="00CD5377"/>
    <w:rsid w:val="00CF7EB3"/>
    <w:rsid w:val="00D02348"/>
    <w:rsid w:val="00D02D54"/>
    <w:rsid w:val="00D23798"/>
    <w:rsid w:val="00DB29A4"/>
    <w:rsid w:val="00DB3A95"/>
    <w:rsid w:val="00E0188D"/>
    <w:rsid w:val="00E01E3D"/>
    <w:rsid w:val="00E02A99"/>
    <w:rsid w:val="00E167CE"/>
    <w:rsid w:val="00E36198"/>
    <w:rsid w:val="00E4465B"/>
    <w:rsid w:val="00E44CDC"/>
    <w:rsid w:val="00E6384C"/>
    <w:rsid w:val="00E71D86"/>
    <w:rsid w:val="00E83EA5"/>
    <w:rsid w:val="00EA5FDD"/>
    <w:rsid w:val="00EE2D1D"/>
    <w:rsid w:val="00EF14F9"/>
    <w:rsid w:val="00EF5585"/>
    <w:rsid w:val="00F17FB9"/>
    <w:rsid w:val="00F34F14"/>
    <w:rsid w:val="00F70B34"/>
    <w:rsid w:val="00FA7068"/>
    <w:rsid w:val="00FC05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2B295"/>
  <w15:chartTrackingRefBased/>
  <w15:docId w15:val="{15F836E2-1F26-4936-BEF6-DD931D6BC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1F1"/>
    <w:rPr>
      <w:kern w:val="0"/>
      <w14:ligatures w14:val="none"/>
    </w:rPr>
  </w:style>
  <w:style w:type="paragraph" w:styleId="Ttulo1">
    <w:name w:val="heading 1"/>
    <w:basedOn w:val="Normal"/>
    <w:next w:val="Normal"/>
    <w:link w:val="Ttulo1Char"/>
    <w:uiPriority w:val="9"/>
    <w:qFormat/>
    <w:rsid w:val="003751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3751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751F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751F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751F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751F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751F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751F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751F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751F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3751F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751F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751F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751F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751F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751F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751F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751F1"/>
    <w:rPr>
      <w:rFonts w:eastAsiaTheme="majorEastAsia" w:cstheme="majorBidi"/>
      <w:color w:val="272727" w:themeColor="text1" w:themeTint="D8"/>
    </w:rPr>
  </w:style>
  <w:style w:type="paragraph" w:styleId="Ttulo">
    <w:name w:val="Title"/>
    <w:basedOn w:val="Normal"/>
    <w:next w:val="Normal"/>
    <w:link w:val="TtuloChar"/>
    <w:uiPriority w:val="10"/>
    <w:qFormat/>
    <w:rsid w:val="00375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751F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751F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751F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751F1"/>
    <w:pPr>
      <w:spacing w:before="160"/>
      <w:jc w:val="center"/>
    </w:pPr>
    <w:rPr>
      <w:i/>
      <w:iCs/>
      <w:color w:val="404040" w:themeColor="text1" w:themeTint="BF"/>
    </w:rPr>
  </w:style>
  <w:style w:type="character" w:customStyle="1" w:styleId="CitaoChar">
    <w:name w:val="Citação Char"/>
    <w:basedOn w:val="Fontepargpadro"/>
    <w:link w:val="Citao"/>
    <w:uiPriority w:val="29"/>
    <w:rsid w:val="003751F1"/>
    <w:rPr>
      <w:i/>
      <w:iCs/>
      <w:color w:val="404040" w:themeColor="text1" w:themeTint="BF"/>
    </w:rPr>
  </w:style>
  <w:style w:type="paragraph" w:styleId="PargrafodaLista">
    <w:name w:val="List Paragraph"/>
    <w:basedOn w:val="Normal"/>
    <w:uiPriority w:val="34"/>
    <w:qFormat/>
    <w:rsid w:val="003751F1"/>
    <w:pPr>
      <w:ind w:left="720"/>
      <w:contextualSpacing/>
    </w:pPr>
  </w:style>
  <w:style w:type="character" w:styleId="nfaseIntensa">
    <w:name w:val="Intense Emphasis"/>
    <w:basedOn w:val="Fontepargpadro"/>
    <w:uiPriority w:val="21"/>
    <w:qFormat/>
    <w:rsid w:val="003751F1"/>
    <w:rPr>
      <w:i/>
      <w:iCs/>
      <w:color w:val="0F4761" w:themeColor="accent1" w:themeShade="BF"/>
    </w:rPr>
  </w:style>
  <w:style w:type="paragraph" w:styleId="CitaoIntensa">
    <w:name w:val="Intense Quote"/>
    <w:basedOn w:val="Normal"/>
    <w:next w:val="Normal"/>
    <w:link w:val="CitaoIntensaChar"/>
    <w:uiPriority w:val="30"/>
    <w:qFormat/>
    <w:rsid w:val="003751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751F1"/>
    <w:rPr>
      <w:i/>
      <w:iCs/>
      <w:color w:val="0F4761" w:themeColor="accent1" w:themeShade="BF"/>
    </w:rPr>
  </w:style>
  <w:style w:type="character" w:styleId="RefernciaIntensa">
    <w:name w:val="Intense Reference"/>
    <w:basedOn w:val="Fontepargpadro"/>
    <w:uiPriority w:val="32"/>
    <w:qFormat/>
    <w:rsid w:val="003751F1"/>
    <w:rPr>
      <w:b/>
      <w:bCs/>
      <w:smallCaps/>
      <w:color w:val="0F4761" w:themeColor="accent1" w:themeShade="BF"/>
      <w:spacing w:val="5"/>
    </w:rPr>
  </w:style>
  <w:style w:type="table" w:styleId="TabelaSimples4">
    <w:name w:val="Plain Table 4"/>
    <w:basedOn w:val="Tabelanormal"/>
    <w:uiPriority w:val="44"/>
    <w:rsid w:val="003751F1"/>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WANormalParagraph">
    <w:name w:val="(IWA) Normal Paragraph"/>
    <w:basedOn w:val="Normal"/>
    <w:rsid w:val="003751F1"/>
    <w:pPr>
      <w:spacing w:after="120" w:line="240" w:lineRule="auto"/>
      <w:ind w:firstLine="210"/>
      <w:jc w:val="both"/>
    </w:pPr>
    <w:rPr>
      <w:rFonts w:ascii="Arial" w:eastAsia="Times New Roman" w:hAnsi="Arial" w:cs="Arial"/>
      <w:lang w:val="en-GB"/>
    </w:rPr>
  </w:style>
  <w:style w:type="character" w:styleId="Nmerodelinha">
    <w:name w:val="line number"/>
    <w:basedOn w:val="Fontepargpadro"/>
    <w:uiPriority w:val="99"/>
    <w:semiHidden/>
    <w:unhideWhenUsed/>
    <w:rsid w:val="003751F1"/>
  </w:style>
  <w:style w:type="character" w:styleId="Refdecomentrio">
    <w:name w:val="annotation reference"/>
    <w:basedOn w:val="Fontepargpadro"/>
    <w:unhideWhenUsed/>
    <w:rsid w:val="00765965"/>
    <w:rPr>
      <w:sz w:val="16"/>
      <w:szCs w:val="16"/>
    </w:rPr>
  </w:style>
  <w:style w:type="paragraph" w:styleId="Textodecomentrio">
    <w:name w:val="annotation text"/>
    <w:basedOn w:val="Normal"/>
    <w:link w:val="TextodecomentrioChar"/>
    <w:unhideWhenUsed/>
    <w:rsid w:val="00765965"/>
    <w:pPr>
      <w:spacing w:line="240" w:lineRule="auto"/>
    </w:pPr>
    <w:rPr>
      <w:sz w:val="20"/>
      <w:szCs w:val="20"/>
    </w:rPr>
  </w:style>
  <w:style w:type="character" w:customStyle="1" w:styleId="TextodecomentrioChar">
    <w:name w:val="Texto de comentário Char"/>
    <w:basedOn w:val="Fontepargpadro"/>
    <w:link w:val="Textodecomentrio"/>
    <w:rsid w:val="00765965"/>
    <w:rPr>
      <w:kern w:val="0"/>
      <w:sz w:val="20"/>
      <w:szCs w:val="20"/>
      <w14:ligatures w14:val="none"/>
    </w:rPr>
  </w:style>
  <w:style w:type="table" w:styleId="SimplesTabela2">
    <w:name w:val="Plain Table 2"/>
    <w:basedOn w:val="Tabelanormal"/>
    <w:uiPriority w:val="42"/>
    <w:rsid w:val="00D023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SimplesTabela3">
    <w:name w:val="Plain Table 3"/>
    <w:basedOn w:val="Tabelanormal"/>
    <w:uiPriority w:val="43"/>
    <w:rsid w:val="00D023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mples5">
    <w:name w:val="Plain Table 5"/>
    <w:basedOn w:val="Tabelanormal"/>
    <w:uiPriority w:val="45"/>
    <w:rsid w:val="00E02A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egenda">
    <w:name w:val="caption"/>
    <w:basedOn w:val="Normal"/>
    <w:next w:val="Normal"/>
    <w:uiPriority w:val="35"/>
    <w:unhideWhenUsed/>
    <w:qFormat/>
    <w:rsid w:val="00222E17"/>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13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2</Pages>
  <Words>372</Words>
  <Characters>2011</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Thuane Mendes Anacleto</dc:creator>
  <cp:keywords/>
  <dc:description/>
  <cp:lastModifiedBy>Thuane Mendes Anacleto</cp:lastModifiedBy>
  <cp:revision>86</cp:revision>
  <dcterms:created xsi:type="dcterms:W3CDTF">2025-07-29T18:03:00Z</dcterms:created>
  <dcterms:modified xsi:type="dcterms:W3CDTF">2025-09-29T00:06:00Z</dcterms:modified>
</cp:coreProperties>
</file>