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F9191">
      <w:pPr>
        <w:rPr>
          <w:rFonts w:hint="eastAsia" w:ascii="Times New Roman" w:hAnsi="Times New Roman" w:cs="Times New Roman" w:eastAsiaTheme="minorEastAsia"/>
          <w:b w:val="0"/>
          <w:i w:val="0"/>
          <w:sz w:val="20"/>
          <w:szCs w:val="28"/>
          <w:lang w:val="en-US" w:eastAsia="zh-CN"/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Supplemental Figure</w:t>
      </w:r>
      <w:r>
        <w:rPr>
          <w:rFonts w:hint="eastAsia" w:ascii="Arial" w:hAnsi="Arial" w:cs="Arial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</w:t>
      </w:r>
    </w:p>
    <w:p w14:paraId="176C65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2306320"/>
            <wp:effectExtent l="0" t="0" r="11430" b="508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DE7C2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 xml:space="preserve">. Representative images for immunoblotting and quantitative analysis for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cleaved caspase3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Bax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Bcl-2 expression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 xml:space="preserve"> treated with PLB or not.Data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>are presented as means ± SD, *</w:t>
      </w:r>
      <w:r>
        <w:rPr>
          <w:rFonts w:hint="eastAsia" w:ascii="Times New Roman" w:hAnsi="Times New Roman" w:cs="Times New Roman" w:eastAsiaTheme="minorEastAsia"/>
          <w:b/>
          <w:bCs w:val="0"/>
          <w:i/>
          <w:iCs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 w:eastAsiaTheme="minorEastAsia"/>
          <w:b/>
          <w:bCs w:val="0"/>
          <w:i w:val="0"/>
          <w:color w:val="000000" w:themeColor="text1"/>
          <w:sz w:val="20"/>
          <w:szCs w:val="24"/>
          <w:lang w:eastAsia="zh-CN"/>
          <w14:textFill>
            <w14:solidFill>
              <w14:schemeClr w14:val="tx1"/>
            </w14:solidFill>
          </w14:textFill>
        </w:rPr>
        <w:t>&lt;0.05 vs control group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3463CC81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80E7927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8418A41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21ED0EB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6AAC13E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4A5FD4F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D491825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610FD7E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13FF476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7EEC72A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250A8A3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7BA5232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2735B5C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D5043B8">
      <w:pPr>
        <w:spacing w:line="480" w:lineRule="auto"/>
        <w:rPr>
          <w:rFonts w:hint="default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040" cy="4029710"/>
            <wp:effectExtent l="0" t="0" r="10160" b="889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37E2A">
      <w:pPr>
        <w:rPr>
          <w:rFonts w:hint="eastAsia" w:eastAsiaTheme="minorEastAsia"/>
          <w:lang w:eastAsia="zh-CN"/>
        </w:rPr>
      </w:pPr>
    </w:p>
    <w:p w14:paraId="42F6E6B2">
      <w:pPr>
        <w:spacing w:line="480" w:lineRule="auto"/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S2. Box plots illustrating 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TTBK2, ZFP57, SNCG, ZNF791, RTN4RL1, CD52, PRKAR1B, AFF2 and CKB expression</w:t>
      </w:r>
      <w:bookmarkStart w:id="0" w:name="_GoBack"/>
      <w:bookmarkEnd w:id="0"/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profiles in TCGA hepatic tissues</w:t>
      </w:r>
      <w:r>
        <w:rPr>
          <w:rFonts w:hint="eastAsia" w:ascii="Times New Roman" w:hAnsi="Times New Roman" w:cs="Times New Roman"/>
          <w:b/>
          <w:bCs w:val="0"/>
          <w:i w:val="0"/>
          <w:color w:val="000000" w:themeColor="text1"/>
          <w:sz w:val="20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101F8"/>
    <w:rsid w:val="6031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2025-11-26T08:13:00Z</dcterms:created>
  <dc:creator>往事不会说谎</dc:creator>
  <cp:lastModifiedBy>往事不会说谎</cp:lastModifiedBy>
  <dcterms:modified xsi:type="dcterms:W3CDTF">2025-11-26T08:15:54Z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4B76E6D6C1F24BEE85B515C309B09423_11</vt:lpwstr>
  </property>
  <property fmtid="{D5CDD505-2E9C-101B-9397-08002B2CF9AE}" pid="4" name="KSOTemplateDocerSaveRecord">
    <vt:lpwstr>eyJoZGlkIjoiNThmZjllZWI2YjQwMDMzZGIzM2U2YmQwMTY0M2NlM2IiLCJ1c2VySWQiOiIxMDU2NDMzOTE3In0=</vt:lpwstr>
  </property>
</Properties>
</file>