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497D5" w14:textId="77777777" w:rsidR="00AA281B" w:rsidRDefault="00AA281B" w:rsidP="00AA281B">
      <w:pPr>
        <w:tabs>
          <w:tab w:val="left" w:pos="6888"/>
        </w:tabs>
        <w:spacing w:line="480" w:lineRule="auto"/>
        <w:jc w:val="both"/>
        <w:rPr>
          <w:rFonts w:ascii="Times New Roman" w:hAnsi="Times New Roman" w:cs="Times New Roman"/>
          <w:b/>
          <w:bCs/>
        </w:rPr>
      </w:pPr>
      <w:r w:rsidRPr="00CC2BCE">
        <w:rPr>
          <w:rFonts w:ascii="Times New Roman" w:hAnsi="Times New Roman" w:cs="Times New Roman"/>
          <w:b/>
          <w:bCs/>
        </w:rPr>
        <w:t>Supplemental figure legends</w:t>
      </w:r>
    </w:p>
    <w:p w14:paraId="115D34EA" w14:textId="77777777" w:rsidR="00AA281B" w:rsidRPr="00CC2BCE" w:rsidRDefault="00AA281B" w:rsidP="00AA281B">
      <w:pPr>
        <w:tabs>
          <w:tab w:val="left" w:pos="6888"/>
        </w:tabs>
        <w:spacing w:line="480" w:lineRule="auto"/>
        <w:jc w:val="both"/>
        <w:rPr>
          <w:rFonts w:ascii="Times New Roman" w:hAnsi="Times New Roman" w:cs="Times New Roman"/>
          <w:b/>
          <w:bCs/>
        </w:rPr>
      </w:pPr>
    </w:p>
    <w:p w14:paraId="5C51877D" w14:textId="77777777" w:rsidR="00AA281B" w:rsidRDefault="00AA281B" w:rsidP="00AA281B">
      <w:pPr>
        <w:tabs>
          <w:tab w:val="left" w:pos="6888"/>
        </w:tabs>
        <w:spacing w:line="480" w:lineRule="auto"/>
        <w:jc w:val="both"/>
        <w:rPr>
          <w:rFonts w:ascii="Times New Roman" w:hAnsi="Times New Roman" w:cs="Times New Roman"/>
        </w:rPr>
      </w:pPr>
      <w:r w:rsidRPr="00CC2BCE">
        <w:rPr>
          <w:rFonts w:ascii="Times New Roman" w:hAnsi="Times New Roman" w:cs="Times New Roman"/>
          <w:b/>
          <w:bCs/>
        </w:rPr>
        <w:t>Supplemental Figure S1. Whole-genome sequencing analysis process.</w:t>
      </w:r>
      <w:r w:rsidRPr="00CC2BCE">
        <w:rPr>
          <w:rFonts w:ascii="Times New Roman" w:hAnsi="Times New Roman" w:cs="Times New Roman"/>
        </w:rPr>
        <w:t xml:space="preserve"> </w:t>
      </w:r>
      <w:r w:rsidRPr="00CC2BCE">
        <w:rPr>
          <w:rFonts w:ascii="Times New Roman" w:hAnsi="Times New Roman" w:cs="Times New Roman"/>
          <w:b/>
          <w:bCs/>
        </w:rPr>
        <w:t>A)</w:t>
      </w:r>
      <w:r w:rsidRPr="00CC2BCE">
        <w:t xml:space="preserve"> </w:t>
      </w:r>
      <w:r w:rsidRPr="00CC2BCE">
        <w:rPr>
          <w:rFonts w:ascii="Times New Roman" w:hAnsi="Times New Roman" w:cs="Times New Roman"/>
        </w:rPr>
        <w:t xml:space="preserve">Flowchart with cardiomyopathy-associated rare variants filtering criteria. </w:t>
      </w:r>
      <w:r w:rsidRPr="00CC2BCE">
        <w:rPr>
          <w:rFonts w:ascii="Times New Roman" w:hAnsi="Times New Roman" w:cs="Times New Roman"/>
          <w:b/>
          <w:bCs/>
        </w:rPr>
        <w:t>B)</w:t>
      </w:r>
      <w:r w:rsidRPr="00CC2BCE">
        <w:rPr>
          <w:rFonts w:ascii="Times New Roman" w:hAnsi="Times New Roman" w:cs="Times New Roman"/>
        </w:rPr>
        <w:t xml:space="preserve"> Distribution of rare pathogenic variants among 3,584 selected variants. Each color represents a variant type.</w:t>
      </w:r>
    </w:p>
    <w:p w14:paraId="69AAFE31" w14:textId="77777777" w:rsidR="00AA281B" w:rsidRPr="00CC2BCE" w:rsidRDefault="00AA281B" w:rsidP="00AA281B">
      <w:pPr>
        <w:tabs>
          <w:tab w:val="left" w:pos="6888"/>
        </w:tabs>
        <w:spacing w:line="480" w:lineRule="auto"/>
        <w:jc w:val="both"/>
        <w:rPr>
          <w:rFonts w:ascii="Times New Roman" w:hAnsi="Times New Roman" w:cs="Times New Roman"/>
        </w:rPr>
      </w:pPr>
    </w:p>
    <w:p w14:paraId="3EC7C0B2" w14:textId="77777777" w:rsidR="00AA281B" w:rsidRDefault="00AA281B" w:rsidP="00AA281B">
      <w:pPr>
        <w:tabs>
          <w:tab w:val="left" w:pos="6888"/>
        </w:tabs>
        <w:spacing w:line="480" w:lineRule="auto"/>
        <w:jc w:val="both"/>
        <w:rPr>
          <w:rFonts w:ascii="Times New Roman" w:hAnsi="Times New Roman" w:cs="Times New Roman"/>
        </w:rPr>
      </w:pPr>
      <w:r w:rsidRPr="00CC2BCE">
        <w:rPr>
          <w:rFonts w:ascii="Times New Roman" w:hAnsi="Times New Roman" w:cs="Times New Roman"/>
          <w:b/>
          <w:bCs/>
        </w:rPr>
        <w:t xml:space="preserve">Supplemental Figure S2. Distribution of variants by disease. A) </w:t>
      </w:r>
      <w:r w:rsidRPr="00CC2BCE">
        <w:rPr>
          <w:rFonts w:ascii="Times New Roman" w:hAnsi="Times New Roman" w:cs="Times New Roman"/>
        </w:rPr>
        <w:t>Pie chart with the distribution of cardiomyopathy subtypes for 245 patients divided into three groups: dilated cardiomyopathy (DCM), hypertrophic cardiomyopathy (HCM), and others.</w:t>
      </w:r>
    </w:p>
    <w:p w14:paraId="134C2983" w14:textId="77777777" w:rsidR="00AA281B" w:rsidRPr="00CC2BCE" w:rsidRDefault="00AA281B" w:rsidP="00AA281B">
      <w:pPr>
        <w:tabs>
          <w:tab w:val="left" w:pos="6888"/>
        </w:tabs>
        <w:spacing w:line="480" w:lineRule="auto"/>
        <w:jc w:val="both"/>
        <w:rPr>
          <w:rFonts w:ascii="Times New Roman" w:hAnsi="Times New Roman" w:cs="Times New Roman"/>
          <w:b/>
          <w:bCs/>
        </w:rPr>
      </w:pPr>
    </w:p>
    <w:p w14:paraId="103830ED" w14:textId="77777777" w:rsidR="00AA281B" w:rsidRDefault="00AA281B" w:rsidP="00AA281B">
      <w:pPr>
        <w:tabs>
          <w:tab w:val="left" w:pos="6888"/>
        </w:tabs>
        <w:spacing w:line="480" w:lineRule="auto"/>
        <w:jc w:val="both"/>
        <w:rPr>
          <w:rFonts w:ascii="Times New Roman" w:hAnsi="Times New Roman" w:cs="Times New Roman"/>
        </w:rPr>
      </w:pPr>
      <w:r w:rsidRPr="00CC2BCE">
        <w:rPr>
          <w:rFonts w:ascii="Times New Roman" w:hAnsi="Times New Roman" w:cs="Times New Roman"/>
          <w:b/>
          <w:bCs/>
        </w:rPr>
        <w:t>Supplemental Figure S3. Gene ontology test with burden genes. A)</w:t>
      </w:r>
      <w:r w:rsidRPr="00CC2BCE">
        <w:t xml:space="preserve"> </w:t>
      </w:r>
      <w:r w:rsidRPr="00CC2BCE">
        <w:rPr>
          <w:rFonts w:ascii="Times New Roman" w:hAnsi="Times New Roman" w:cs="Times New Roman"/>
        </w:rPr>
        <w:t xml:space="preserve">Distribution of rare variants among 144 burden genes, excluding those in Figure 2A. </w:t>
      </w:r>
      <w:r w:rsidRPr="00CC2BCE">
        <w:rPr>
          <w:rFonts w:ascii="Times New Roman" w:hAnsi="Times New Roman" w:cs="Times New Roman"/>
          <w:b/>
          <w:bCs/>
        </w:rPr>
        <w:t>B)</w:t>
      </w:r>
      <w:r w:rsidRPr="00CC2BCE">
        <w:rPr>
          <w:rFonts w:ascii="Times New Roman" w:hAnsi="Times New Roman" w:cs="Times New Roman"/>
        </w:rPr>
        <w:t xml:space="preserve"> Functional enrichment test of 144 burden genes (left) and downregulated differentially expressed genes (DEGs) in bulk RNA-sequencing (right)</w:t>
      </w:r>
      <w:r w:rsidRPr="00CC2BCE">
        <w:rPr>
          <w:rFonts w:ascii="Times New Roman" w:hAnsi="Times New Roman" w:cs="Times New Roman"/>
          <w:color w:val="000000" w:themeColor="text1"/>
        </w:rPr>
        <w:t>.</w:t>
      </w:r>
      <w:r w:rsidRPr="00CC2BCE">
        <w:rPr>
          <w:rFonts w:ascii="inherit" w:eastAsia="굴림체" w:hAnsi="inherit" w:cs="굴림체" w:hint="eastAsia"/>
          <w:color w:val="1F1F1F"/>
        </w:rPr>
        <w:t xml:space="preserve"> </w:t>
      </w:r>
      <w:r w:rsidRPr="00CC2BCE">
        <w:rPr>
          <w:rFonts w:ascii="Times New Roman" w:hAnsi="Times New Roman" w:cs="Times New Roman"/>
        </w:rPr>
        <w:t>The dashed line represents the point where the false discovery rate = 0.05.</w:t>
      </w:r>
    </w:p>
    <w:p w14:paraId="289A8C3D" w14:textId="77777777" w:rsidR="00AA281B" w:rsidRPr="00CC2BCE" w:rsidRDefault="00AA281B" w:rsidP="00AA281B">
      <w:pPr>
        <w:tabs>
          <w:tab w:val="left" w:pos="6888"/>
        </w:tabs>
        <w:spacing w:line="480" w:lineRule="auto"/>
        <w:jc w:val="both"/>
        <w:rPr>
          <w:rFonts w:ascii="Times New Roman" w:hAnsi="Times New Roman" w:cs="Times New Roman"/>
        </w:rPr>
      </w:pPr>
    </w:p>
    <w:p w14:paraId="56B9B9C8" w14:textId="12D62AD9" w:rsidR="00AA281B" w:rsidRDefault="00AA281B" w:rsidP="00AA281B">
      <w:pPr>
        <w:tabs>
          <w:tab w:val="left" w:pos="6888"/>
        </w:tabs>
        <w:spacing w:line="480" w:lineRule="auto"/>
        <w:jc w:val="both"/>
        <w:rPr>
          <w:rFonts w:ascii="Times New Roman" w:hAnsi="Times New Roman" w:cs="Times New Roman" w:hint="eastAsia"/>
        </w:rPr>
      </w:pPr>
      <w:r w:rsidRPr="00CC2BCE">
        <w:rPr>
          <w:rFonts w:ascii="Times New Roman" w:hAnsi="Times New Roman" w:cs="Times New Roman"/>
          <w:b/>
          <w:bCs/>
        </w:rPr>
        <w:t>Supplemental Figure S4. Phenotype network. A)</w:t>
      </w:r>
      <w:r w:rsidRPr="00CC2BCE">
        <w:rPr>
          <w:rFonts w:ascii="Times New Roman" w:hAnsi="Times New Roman" w:cs="Times New Roman"/>
        </w:rPr>
        <w:t xml:space="preserve"> Phenotype-gene network associated with 56 Human Phenotype Ontology (HPO) terms in patients with cardiomyopathy. Nodes indicate burden gene (circle) or HPO term (square), and edges indicate interacting partners between genes and HPO based on the HPO database. </w:t>
      </w:r>
      <w:r>
        <w:rPr>
          <w:rFonts w:ascii="Times New Roman" w:hAnsi="Times New Roman" w:cs="Times New Roman"/>
        </w:rPr>
        <w:t xml:space="preserve">Network visualization was generated using </w:t>
      </w:r>
      <w:proofErr w:type="spellStart"/>
      <w:r>
        <w:rPr>
          <w:rFonts w:ascii="Times New Roman" w:hAnsi="Times New Roman" w:cs="Times New Roman"/>
        </w:rPr>
        <w:t>Cytoscape</w:t>
      </w:r>
      <w:proofErr w:type="spellEnd"/>
      <w:r>
        <w:rPr>
          <w:rFonts w:ascii="Times New Roman" w:hAnsi="Times New Roman" w:cs="Times New Roman"/>
        </w:rPr>
        <w:t xml:space="preserve"> (v3.10; https://cytoscape.org)</w:t>
      </w:r>
      <w:r w:rsidR="002E29C5">
        <w:rPr>
          <w:rFonts w:ascii="Times New Roman" w:hAnsi="Times New Roman" w:cs="Times New Roman" w:hint="eastAsia"/>
        </w:rPr>
        <w:t>.</w:t>
      </w:r>
    </w:p>
    <w:p w14:paraId="148DB7DF" w14:textId="77777777" w:rsidR="00AA281B" w:rsidRPr="00CC2BCE" w:rsidRDefault="00AA281B" w:rsidP="00AA281B">
      <w:pPr>
        <w:tabs>
          <w:tab w:val="left" w:pos="6888"/>
        </w:tabs>
        <w:spacing w:line="480" w:lineRule="auto"/>
        <w:jc w:val="both"/>
        <w:rPr>
          <w:rFonts w:ascii="Times New Roman" w:hAnsi="Times New Roman" w:cs="Times New Roman"/>
        </w:rPr>
      </w:pPr>
    </w:p>
    <w:p w14:paraId="2E1904A6" w14:textId="77777777" w:rsidR="00AA281B" w:rsidRDefault="00AA281B" w:rsidP="00AA281B">
      <w:pPr>
        <w:tabs>
          <w:tab w:val="left" w:pos="6888"/>
        </w:tabs>
        <w:spacing w:line="480" w:lineRule="auto"/>
        <w:jc w:val="both"/>
        <w:rPr>
          <w:rFonts w:ascii="Times New Roman" w:hAnsi="Times New Roman" w:cs="Times New Roman"/>
        </w:rPr>
      </w:pPr>
      <w:r w:rsidRPr="00CC2BCE">
        <w:rPr>
          <w:rFonts w:ascii="Times New Roman" w:hAnsi="Times New Roman" w:cs="Times New Roman"/>
          <w:b/>
          <w:bCs/>
        </w:rPr>
        <w:t>Supplemental Figure S5. Landscape with cellular heterogeneity. A)</w:t>
      </w:r>
      <w:r w:rsidRPr="00CC2BCE">
        <w:rPr>
          <w:rFonts w:ascii="Times New Roman" w:hAnsi="Times New Roman" w:cs="Times New Roman"/>
        </w:rPr>
        <w:t xml:space="preserve"> Cell counts per sample in single-cell RNA-sequencing data. The dashed line represents the median value of the number of cells per sample. </w:t>
      </w:r>
      <w:r w:rsidRPr="00CC2BCE">
        <w:rPr>
          <w:rFonts w:ascii="Times New Roman" w:hAnsi="Times New Roman" w:cs="Times New Roman"/>
          <w:b/>
          <w:bCs/>
        </w:rPr>
        <w:t>B)</w:t>
      </w:r>
      <w:r w:rsidRPr="00CC2BCE">
        <w:rPr>
          <w:rFonts w:ascii="Times New Roman" w:hAnsi="Times New Roman" w:cs="Times New Roman"/>
        </w:rPr>
        <w:t xml:space="preserve"> </w:t>
      </w:r>
      <w:r w:rsidRPr="00CC2BCE">
        <w:rPr>
          <w:rFonts w:ascii="Times New Roman" w:hAnsi="Times New Roman" w:cs="Times New Roman"/>
          <w:i/>
          <w:iCs/>
        </w:rPr>
        <w:t>t</w:t>
      </w:r>
      <w:r w:rsidRPr="00CC2BCE">
        <w:rPr>
          <w:rFonts w:ascii="Times New Roman" w:hAnsi="Times New Roman" w:cs="Times New Roman"/>
        </w:rPr>
        <w:t xml:space="preserve">-Distributed stochastic neighbor embedding plot of 11,664 cells with clustering (right), cell types (middle), and disease status (right). </w:t>
      </w:r>
    </w:p>
    <w:p w14:paraId="2C759C35" w14:textId="77777777" w:rsidR="00AA281B" w:rsidRPr="00CC2BCE" w:rsidRDefault="00AA281B" w:rsidP="00AA281B">
      <w:pPr>
        <w:tabs>
          <w:tab w:val="left" w:pos="6888"/>
        </w:tabs>
        <w:spacing w:line="480" w:lineRule="auto"/>
        <w:jc w:val="both"/>
        <w:rPr>
          <w:rFonts w:ascii="Times New Roman" w:hAnsi="Times New Roman" w:cs="Times New Roman"/>
        </w:rPr>
      </w:pPr>
    </w:p>
    <w:p w14:paraId="48F56640" w14:textId="43E4BFC5" w:rsidR="00DA1F39" w:rsidRPr="002E29C5" w:rsidRDefault="00AA281B" w:rsidP="002E29C5">
      <w:pPr>
        <w:tabs>
          <w:tab w:val="left" w:pos="6888"/>
        </w:tabs>
        <w:spacing w:line="480" w:lineRule="auto"/>
        <w:jc w:val="both"/>
        <w:rPr>
          <w:rFonts w:ascii="Times New Roman" w:eastAsiaTheme="majorEastAsia" w:hAnsi="Times New Roman" w:cs="Times New Roman"/>
          <w:b/>
          <w:bCs/>
          <w:sz w:val="28"/>
          <w:szCs w:val="28"/>
        </w:rPr>
      </w:pPr>
      <w:r w:rsidRPr="00CC2BCE">
        <w:rPr>
          <w:rFonts w:asciiTheme="majorBidi" w:hAnsiTheme="majorBidi" w:cstheme="majorBidi"/>
          <w:b/>
          <w:bCs/>
        </w:rPr>
        <w:t>Supplemental Figure S6. Expression distribution by cell type at the single-cell level. A)</w:t>
      </w:r>
      <w:r w:rsidRPr="00CC2BCE">
        <w:rPr>
          <w:rFonts w:asciiTheme="majorBidi" w:hAnsiTheme="majorBidi" w:cstheme="majorBidi"/>
        </w:rPr>
        <w:t xml:space="preserve"> Stacked bar plot represents the proportion of each cell type derived from disease status. </w:t>
      </w:r>
      <w:r w:rsidRPr="00CC2BCE">
        <w:rPr>
          <w:rFonts w:asciiTheme="majorBidi" w:hAnsiTheme="majorBidi" w:cstheme="majorBidi"/>
          <w:b/>
          <w:bCs/>
        </w:rPr>
        <w:t>B)</w:t>
      </w:r>
      <w:r w:rsidRPr="00CC2BCE">
        <w:rPr>
          <w:rFonts w:asciiTheme="majorBidi" w:hAnsiTheme="majorBidi" w:cstheme="majorBidi"/>
        </w:rPr>
        <w:t xml:space="preserve"> Heatmap of the top 10 most highly expressed genes by cell type. </w:t>
      </w:r>
      <w:r w:rsidRPr="00CC2BCE">
        <w:rPr>
          <w:rFonts w:asciiTheme="majorBidi" w:hAnsiTheme="majorBidi" w:cstheme="majorBidi"/>
          <w:b/>
          <w:bCs/>
        </w:rPr>
        <w:t>C)</w:t>
      </w:r>
      <w:r w:rsidRPr="00CC2BCE">
        <w:rPr>
          <w:rFonts w:asciiTheme="majorBidi" w:hAnsiTheme="majorBidi" w:cstheme="majorBidi"/>
        </w:rPr>
        <w:t xml:space="preserve"> Heatmap of interactions between cell types from </w:t>
      </w:r>
      <w:proofErr w:type="spellStart"/>
      <w:r w:rsidRPr="00CC2BCE">
        <w:rPr>
          <w:rFonts w:asciiTheme="majorBidi" w:hAnsiTheme="majorBidi" w:cstheme="majorBidi"/>
        </w:rPr>
        <w:t>CellPhoneDB</w:t>
      </w:r>
      <w:proofErr w:type="spellEnd"/>
      <w:r w:rsidRPr="00CC2BCE">
        <w:rPr>
          <w:rFonts w:asciiTheme="majorBidi" w:hAnsiTheme="majorBidi" w:cstheme="majorBidi"/>
        </w:rPr>
        <w:t xml:space="preserve">. </w:t>
      </w:r>
      <w:r w:rsidRPr="00CC2BCE">
        <w:rPr>
          <w:rFonts w:asciiTheme="majorBidi" w:hAnsiTheme="majorBidi" w:cstheme="majorBidi"/>
          <w:b/>
          <w:bCs/>
        </w:rPr>
        <w:t>D)</w:t>
      </w:r>
      <w:r w:rsidRPr="00CC2BCE">
        <w:rPr>
          <w:rFonts w:asciiTheme="majorBidi" w:hAnsiTheme="majorBidi" w:cstheme="majorBidi"/>
        </w:rPr>
        <w:t xml:space="preserve"> </w:t>
      </w:r>
      <w:r w:rsidRPr="00CC2BCE">
        <w:rPr>
          <w:rFonts w:asciiTheme="majorBidi" w:hAnsiTheme="majorBidi" w:cstheme="majorBidi"/>
        </w:rPr>
        <w:lastRenderedPageBreak/>
        <w:t>Comparison of gene expression levels between healthy samples and patients with cardiomyopathy in fibroblast (FB), macrophage (MP), and smooth muscle cell (SMC) cell types. Average expression levels of genes with significant markers matching cardiomyopathy burden genes were calculated</w:t>
      </w:r>
      <w:r>
        <w:rPr>
          <w:rFonts w:asciiTheme="majorBidi" w:hAnsiTheme="majorBidi" w:cstheme="majorBidi"/>
        </w:rPr>
        <w:t>.</w:t>
      </w:r>
      <w:r w:rsidR="002E29C5">
        <w:rPr>
          <w:rFonts w:asciiTheme="majorBidi" w:hAnsiTheme="majorBidi" w:cstheme="majorBidi" w:hint="eastAsia"/>
        </w:rPr>
        <w:t xml:space="preserve"> </w:t>
      </w:r>
      <w:r w:rsidR="002E29C5">
        <w:rPr>
          <w:rFonts w:asciiTheme="majorBidi" w:hAnsiTheme="majorBidi" w:cstheme="majorBidi"/>
        </w:rPr>
        <w:t>All visualizations were conducted using R (The R Project for Statistical Computing; v4.4.0; https://www.r-project.org).</w:t>
      </w:r>
    </w:p>
    <w:sectPr w:rsidR="00DA1F39" w:rsidRPr="002E29C5" w:rsidSect="00AA281B">
      <w:pgSz w:w="11906" w:h="16838"/>
      <w:pgMar w:top="720" w:right="720" w:bottom="720" w:left="720" w:header="851" w:footer="992" w:gutter="0"/>
      <w:lnNumType w:countBy="1" w:restart="continuous"/>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swiss"/>
    <w:pitch w:val="variable"/>
    <w:sig w:usb0="B00002AF" w:usb1="69D77CFB" w:usb2="00000030" w:usb3="00000000" w:csb0="0008009F" w:csb1="00000000"/>
  </w:font>
  <w:font w:name="inherit">
    <w:altName w:val="Cambria"/>
    <w:panose1 w:val="020B0604020202020204"/>
    <w:charset w:val="00"/>
    <w:family w:val="roman"/>
    <w:pitch w:val="default"/>
  </w:font>
  <w:font w:name="굴림체">
    <w:altName w:val="GulimChe"/>
    <w:panose1 w:val="020B0609000101010101"/>
    <w:charset w:val="81"/>
    <w:family w:val="modern"/>
    <w:pitch w:val="fixed"/>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81B"/>
    <w:rsid w:val="002E29C5"/>
    <w:rsid w:val="009E662B"/>
    <w:rsid w:val="00A04B93"/>
    <w:rsid w:val="00A20B20"/>
    <w:rsid w:val="00AA281B"/>
    <w:rsid w:val="00B82DB7"/>
    <w:rsid w:val="00DA1F3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6D5262D8"/>
  <w15:chartTrackingRefBased/>
  <w15:docId w15:val="{0D31A529-199B-FC44-87EB-93FC7AD14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281B"/>
    <w:pPr>
      <w:spacing w:after="0"/>
    </w:pPr>
    <w:rPr>
      <w:rFonts w:ascii="굴림" w:eastAsia="굴림" w:hAnsi="굴림" w:cs="굴림"/>
      <w:kern w:val="0"/>
      <w:sz w:val="24"/>
      <w14:ligatures w14:val="none"/>
    </w:rPr>
  </w:style>
  <w:style w:type="paragraph" w:styleId="1">
    <w:name w:val="heading 1"/>
    <w:basedOn w:val="a"/>
    <w:next w:val="a"/>
    <w:link w:val="1Char"/>
    <w:uiPriority w:val="9"/>
    <w:qFormat/>
    <w:rsid w:val="00AA281B"/>
    <w:pPr>
      <w:keepNext/>
      <w:keepLines/>
      <w:widowControl w:val="0"/>
      <w:wordWrap w:val="0"/>
      <w:autoSpaceDE w:val="0"/>
      <w:autoSpaceDN w:val="0"/>
      <w:spacing w:before="280" w:after="80"/>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Char"/>
    <w:uiPriority w:val="9"/>
    <w:semiHidden/>
    <w:unhideWhenUsed/>
    <w:qFormat/>
    <w:rsid w:val="00AA281B"/>
    <w:pPr>
      <w:keepNext/>
      <w:keepLines/>
      <w:widowControl w:val="0"/>
      <w:wordWrap w:val="0"/>
      <w:autoSpaceDE w:val="0"/>
      <w:autoSpaceDN w:val="0"/>
      <w:spacing w:before="160" w:after="80"/>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Char"/>
    <w:uiPriority w:val="9"/>
    <w:semiHidden/>
    <w:unhideWhenUsed/>
    <w:qFormat/>
    <w:rsid w:val="00AA281B"/>
    <w:pPr>
      <w:keepNext/>
      <w:keepLines/>
      <w:widowControl w:val="0"/>
      <w:wordWrap w:val="0"/>
      <w:autoSpaceDE w:val="0"/>
      <w:autoSpaceDN w:val="0"/>
      <w:spacing w:before="160" w:after="80"/>
      <w:outlineLvl w:val="2"/>
    </w:pPr>
    <w:rPr>
      <w:rFonts w:asciiTheme="majorHAnsi" w:eastAsiaTheme="majorEastAsia" w:hAnsiTheme="majorHAnsi" w:cstheme="majorBidi"/>
      <w:color w:val="000000" w:themeColor="text1"/>
      <w:kern w:val="2"/>
      <w14:ligatures w14:val="standardContextual"/>
    </w:rPr>
  </w:style>
  <w:style w:type="paragraph" w:styleId="4">
    <w:name w:val="heading 4"/>
    <w:basedOn w:val="a"/>
    <w:next w:val="a"/>
    <w:link w:val="4Char"/>
    <w:uiPriority w:val="9"/>
    <w:semiHidden/>
    <w:unhideWhenUsed/>
    <w:qFormat/>
    <w:rsid w:val="00AA281B"/>
    <w:pPr>
      <w:keepNext/>
      <w:keepLines/>
      <w:widowControl w:val="0"/>
      <w:wordWrap w:val="0"/>
      <w:autoSpaceDE w:val="0"/>
      <w:autoSpaceDN w:val="0"/>
      <w:spacing w:before="80" w:after="40"/>
      <w:outlineLvl w:val="3"/>
    </w:pPr>
    <w:rPr>
      <w:rFonts w:asciiTheme="majorHAnsi" w:eastAsiaTheme="majorEastAsia" w:hAnsiTheme="majorHAnsi" w:cstheme="majorBidi"/>
      <w:color w:val="000000" w:themeColor="text1"/>
      <w:kern w:val="2"/>
      <w:sz w:val="22"/>
      <w14:ligatures w14:val="standardContextual"/>
    </w:rPr>
  </w:style>
  <w:style w:type="paragraph" w:styleId="5">
    <w:name w:val="heading 5"/>
    <w:basedOn w:val="a"/>
    <w:next w:val="a"/>
    <w:link w:val="5Char"/>
    <w:uiPriority w:val="9"/>
    <w:semiHidden/>
    <w:unhideWhenUsed/>
    <w:qFormat/>
    <w:rsid w:val="00AA281B"/>
    <w:pPr>
      <w:keepNext/>
      <w:keepLines/>
      <w:widowControl w:val="0"/>
      <w:wordWrap w:val="0"/>
      <w:autoSpaceDE w:val="0"/>
      <w:autoSpaceDN w:val="0"/>
      <w:spacing w:before="80" w:after="40"/>
      <w:ind w:leftChars="100" w:left="100"/>
      <w:outlineLvl w:val="4"/>
    </w:pPr>
    <w:rPr>
      <w:rFonts w:asciiTheme="majorHAnsi" w:eastAsiaTheme="majorEastAsia" w:hAnsiTheme="majorHAnsi" w:cstheme="majorBidi"/>
      <w:color w:val="000000" w:themeColor="text1"/>
      <w:kern w:val="2"/>
      <w:sz w:val="22"/>
      <w14:ligatures w14:val="standardContextual"/>
    </w:rPr>
  </w:style>
  <w:style w:type="paragraph" w:styleId="6">
    <w:name w:val="heading 6"/>
    <w:basedOn w:val="a"/>
    <w:next w:val="a"/>
    <w:link w:val="6Char"/>
    <w:uiPriority w:val="9"/>
    <w:semiHidden/>
    <w:unhideWhenUsed/>
    <w:qFormat/>
    <w:rsid w:val="00AA281B"/>
    <w:pPr>
      <w:keepNext/>
      <w:keepLines/>
      <w:widowControl w:val="0"/>
      <w:wordWrap w:val="0"/>
      <w:autoSpaceDE w:val="0"/>
      <w:autoSpaceDN w:val="0"/>
      <w:spacing w:before="80" w:after="40"/>
      <w:ind w:leftChars="200" w:left="200"/>
      <w:outlineLvl w:val="5"/>
    </w:pPr>
    <w:rPr>
      <w:rFonts w:asciiTheme="majorHAnsi" w:eastAsiaTheme="majorEastAsia" w:hAnsiTheme="majorHAnsi" w:cstheme="majorBidi"/>
      <w:color w:val="000000" w:themeColor="text1"/>
      <w:kern w:val="2"/>
      <w:sz w:val="22"/>
      <w14:ligatures w14:val="standardContextual"/>
    </w:rPr>
  </w:style>
  <w:style w:type="paragraph" w:styleId="7">
    <w:name w:val="heading 7"/>
    <w:basedOn w:val="a"/>
    <w:next w:val="a"/>
    <w:link w:val="7Char"/>
    <w:uiPriority w:val="9"/>
    <w:semiHidden/>
    <w:unhideWhenUsed/>
    <w:qFormat/>
    <w:rsid w:val="00AA281B"/>
    <w:pPr>
      <w:keepNext/>
      <w:keepLines/>
      <w:widowControl w:val="0"/>
      <w:wordWrap w:val="0"/>
      <w:autoSpaceDE w:val="0"/>
      <w:autoSpaceDN w:val="0"/>
      <w:spacing w:before="80" w:after="40"/>
      <w:ind w:leftChars="300" w:left="300"/>
      <w:outlineLvl w:val="6"/>
    </w:pPr>
    <w:rPr>
      <w:rFonts w:asciiTheme="majorHAnsi" w:eastAsiaTheme="majorEastAsia" w:hAnsiTheme="majorHAnsi" w:cstheme="majorBidi"/>
      <w:color w:val="000000" w:themeColor="text1"/>
      <w:kern w:val="2"/>
      <w:sz w:val="22"/>
      <w14:ligatures w14:val="standardContextual"/>
    </w:rPr>
  </w:style>
  <w:style w:type="paragraph" w:styleId="8">
    <w:name w:val="heading 8"/>
    <w:basedOn w:val="a"/>
    <w:next w:val="a"/>
    <w:link w:val="8Char"/>
    <w:uiPriority w:val="9"/>
    <w:semiHidden/>
    <w:unhideWhenUsed/>
    <w:qFormat/>
    <w:rsid w:val="00AA281B"/>
    <w:pPr>
      <w:keepNext/>
      <w:keepLines/>
      <w:widowControl w:val="0"/>
      <w:wordWrap w:val="0"/>
      <w:autoSpaceDE w:val="0"/>
      <w:autoSpaceDN w:val="0"/>
      <w:spacing w:before="80" w:after="40"/>
      <w:ind w:leftChars="400" w:left="400"/>
      <w:outlineLvl w:val="7"/>
    </w:pPr>
    <w:rPr>
      <w:rFonts w:asciiTheme="majorHAnsi" w:eastAsiaTheme="majorEastAsia" w:hAnsiTheme="majorHAnsi" w:cstheme="majorBidi"/>
      <w:color w:val="000000" w:themeColor="text1"/>
      <w:kern w:val="2"/>
      <w:sz w:val="22"/>
      <w14:ligatures w14:val="standardContextual"/>
    </w:rPr>
  </w:style>
  <w:style w:type="paragraph" w:styleId="9">
    <w:name w:val="heading 9"/>
    <w:basedOn w:val="a"/>
    <w:next w:val="a"/>
    <w:link w:val="9Char"/>
    <w:uiPriority w:val="9"/>
    <w:semiHidden/>
    <w:unhideWhenUsed/>
    <w:qFormat/>
    <w:rsid w:val="00AA281B"/>
    <w:pPr>
      <w:keepNext/>
      <w:keepLines/>
      <w:widowControl w:val="0"/>
      <w:wordWrap w:val="0"/>
      <w:autoSpaceDE w:val="0"/>
      <w:autoSpaceDN w:val="0"/>
      <w:spacing w:before="80" w:after="40"/>
      <w:ind w:leftChars="500" w:left="500"/>
      <w:outlineLvl w:val="8"/>
    </w:pPr>
    <w:rPr>
      <w:rFonts w:asciiTheme="majorHAnsi" w:eastAsiaTheme="majorEastAsia" w:hAnsiTheme="majorHAnsi" w:cstheme="majorBidi"/>
      <w:color w:val="000000" w:themeColor="text1"/>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AA281B"/>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AA281B"/>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AA281B"/>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AA281B"/>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AA281B"/>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AA281B"/>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AA281B"/>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AA281B"/>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AA281B"/>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AA281B"/>
    <w:pPr>
      <w:widowControl w:val="0"/>
      <w:wordWrap w:val="0"/>
      <w:autoSpaceDE w:val="0"/>
      <w:autoSpaceDN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Char">
    <w:name w:val="제목 Char"/>
    <w:basedOn w:val="a0"/>
    <w:link w:val="a3"/>
    <w:uiPriority w:val="10"/>
    <w:rsid w:val="00AA281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A281B"/>
    <w:pPr>
      <w:widowControl w:val="0"/>
      <w:numPr>
        <w:ilvl w:val="1"/>
      </w:numPr>
      <w:wordWrap w:val="0"/>
      <w:autoSpaceDE w:val="0"/>
      <w:autoSpaceDN w:val="0"/>
      <w:spacing w:after="160"/>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Char0">
    <w:name w:val="부제 Char"/>
    <w:basedOn w:val="a0"/>
    <w:link w:val="a4"/>
    <w:uiPriority w:val="11"/>
    <w:rsid w:val="00AA281B"/>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AA281B"/>
    <w:pPr>
      <w:widowControl w:val="0"/>
      <w:wordWrap w:val="0"/>
      <w:autoSpaceDE w:val="0"/>
      <w:autoSpaceDN w:val="0"/>
      <w:spacing w:before="160" w:after="160"/>
      <w:jc w:val="center"/>
    </w:pPr>
    <w:rPr>
      <w:rFonts w:asciiTheme="minorHAnsi" w:eastAsiaTheme="minorEastAsia" w:hAnsiTheme="minorHAnsi" w:cstheme="minorBidi"/>
      <w:i/>
      <w:iCs/>
      <w:color w:val="404040" w:themeColor="text1" w:themeTint="BF"/>
      <w:kern w:val="2"/>
      <w:sz w:val="22"/>
      <w14:ligatures w14:val="standardContextual"/>
    </w:rPr>
  </w:style>
  <w:style w:type="character" w:customStyle="1" w:styleId="Char1">
    <w:name w:val="인용 Char"/>
    <w:basedOn w:val="a0"/>
    <w:link w:val="a5"/>
    <w:uiPriority w:val="29"/>
    <w:rsid w:val="00AA281B"/>
    <w:rPr>
      <w:i/>
      <w:iCs/>
      <w:color w:val="404040" w:themeColor="text1" w:themeTint="BF"/>
    </w:rPr>
  </w:style>
  <w:style w:type="paragraph" w:styleId="a6">
    <w:name w:val="List Paragraph"/>
    <w:basedOn w:val="a"/>
    <w:uiPriority w:val="34"/>
    <w:qFormat/>
    <w:rsid w:val="00AA281B"/>
    <w:pPr>
      <w:widowControl w:val="0"/>
      <w:wordWrap w:val="0"/>
      <w:autoSpaceDE w:val="0"/>
      <w:autoSpaceDN w:val="0"/>
      <w:spacing w:after="160"/>
      <w:ind w:left="720"/>
      <w:contextualSpacing/>
    </w:pPr>
    <w:rPr>
      <w:rFonts w:asciiTheme="minorHAnsi" w:eastAsiaTheme="minorEastAsia" w:hAnsiTheme="minorHAnsi" w:cstheme="minorBidi"/>
      <w:kern w:val="2"/>
      <w:sz w:val="22"/>
      <w14:ligatures w14:val="standardContextual"/>
    </w:rPr>
  </w:style>
  <w:style w:type="character" w:styleId="a7">
    <w:name w:val="Intense Emphasis"/>
    <w:basedOn w:val="a0"/>
    <w:uiPriority w:val="21"/>
    <w:qFormat/>
    <w:rsid w:val="00AA281B"/>
    <w:rPr>
      <w:i/>
      <w:iCs/>
      <w:color w:val="0F4761" w:themeColor="accent1" w:themeShade="BF"/>
    </w:rPr>
  </w:style>
  <w:style w:type="paragraph" w:styleId="a8">
    <w:name w:val="Intense Quote"/>
    <w:basedOn w:val="a"/>
    <w:next w:val="a"/>
    <w:link w:val="Char2"/>
    <w:uiPriority w:val="30"/>
    <w:qFormat/>
    <w:rsid w:val="00AA281B"/>
    <w:pPr>
      <w:widowControl w:val="0"/>
      <w:pBdr>
        <w:top w:val="single" w:sz="4" w:space="10" w:color="0F4761" w:themeColor="accent1" w:themeShade="BF"/>
        <w:bottom w:val="single" w:sz="4" w:space="10" w:color="0F4761" w:themeColor="accent1" w:themeShade="BF"/>
      </w:pBdr>
      <w:wordWrap w:val="0"/>
      <w:autoSpaceDE w:val="0"/>
      <w:autoSpaceDN w:val="0"/>
      <w:spacing w:before="360" w:after="360"/>
      <w:ind w:left="864" w:right="864"/>
      <w:jc w:val="center"/>
    </w:pPr>
    <w:rPr>
      <w:rFonts w:asciiTheme="minorHAnsi" w:eastAsiaTheme="minorEastAsia" w:hAnsiTheme="minorHAnsi" w:cstheme="minorBidi"/>
      <w:i/>
      <w:iCs/>
      <w:color w:val="0F4761" w:themeColor="accent1" w:themeShade="BF"/>
      <w:kern w:val="2"/>
      <w:sz w:val="22"/>
      <w14:ligatures w14:val="standardContextual"/>
    </w:rPr>
  </w:style>
  <w:style w:type="character" w:customStyle="1" w:styleId="Char2">
    <w:name w:val="강한 인용 Char"/>
    <w:basedOn w:val="a0"/>
    <w:link w:val="a8"/>
    <w:uiPriority w:val="30"/>
    <w:rsid w:val="00AA281B"/>
    <w:rPr>
      <w:i/>
      <w:iCs/>
      <w:color w:val="0F4761" w:themeColor="accent1" w:themeShade="BF"/>
    </w:rPr>
  </w:style>
  <w:style w:type="character" w:styleId="a9">
    <w:name w:val="Intense Reference"/>
    <w:basedOn w:val="a0"/>
    <w:uiPriority w:val="32"/>
    <w:qFormat/>
    <w:rsid w:val="00AA281B"/>
    <w:rPr>
      <w:b/>
      <w:bCs/>
      <w:smallCaps/>
      <w:color w:val="0F4761" w:themeColor="accent1" w:themeShade="BF"/>
      <w:spacing w:val="5"/>
    </w:rPr>
  </w:style>
  <w:style w:type="character" w:styleId="aa">
    <w:name w:val="line number"/>
    <w:basedOn w:val="a0"/>
    <w:uiPriority w:val="99"/>
    <w:semiHidden/>
    <w:unhideWhenUsed/>
    <w:rsid w:val="00AA28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352</Words>
  <Characters>2009</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Jihyun Kim</dc:creator>
  <cp:keywords/>
  <dc:description/>
  <cp:lastModifiedBy>Jihyun Kim</cp:lastModifiedBy>
  <cp:revision>2</cp:revision>
  <dcterms:created xsi:type="dcterms:W3CDTF">2025-12-05T05:54:00Z</dcterms:created>
  <dcterms:modified xsi:type="dcterms:W3CDTF">2025-12-05T06:01:00Z</dcterms:modified>
</cp:coreProperties>
</file>