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354C2">
      <w:pPr>
        <w:jc w:val="center"/>
        <w:rPr>
          <w:rFonts w:hint="eastAsia"/>
          <w:lang w:val="en-US" w:eastAsia="zh-CN"/>
        </w:rPr>
      </w:pPr>
      <w:r>
        <w:rPr>
          <w:rFonts w:hint="eastAsia"/>
          <w:b/>
          <w:bCs/>
          <w:lang w:val="en-US" w:eastAsia="zh-CN"/>
        </w:rPr>
        <w:t>Supporting information</w:t>
      </w:r>
    </w:p>
    <w:p w14:paraId="5AA78848">
      <w:pPr>
        <w:spacing w:line="360" w:lineRule="auto"/>
        <w:rPr>
          <w:rFonts w:ascii="Times New Roman" w:hAnsi="Times New Roman"/>
          <w:b/>
          <w:bCs/>
          <w:color w:val="auto"/>
          <w:sz w:val="24"/>
        </w:rPr>
      </w:pPr>
      <w:r>
        <w:rPr>
          <w:rFonts w:ascii="Times New Roman" w:hAnsi="Times New Roman"/>
          <w:b/>
          <w:bCs/>
          <w:color w:val="auto"/>
          <w:sz w:val="24"/>
        </w:rPr>
        <w:t>Integrated Electrochemical Dechlorination and Mineralization of Diclofenac Using CN@PdNi Cathode and CN Anode for Enhanced Detoxification</w:t>
      </w:r>
    </w:p>
    <w:p w14:paraId="6D2918F4">
      <w:pPr>
        <w:spacing w:line="360" w:lineRule="auto"/>
        <w:rPr>
          <w:rFonts w:ascii="Times New Roman" w:hAnsi="Times New Roman"/>
          <w:color w:val="auto"/>
          <w:sz w:val="24"/>
          <w:vertAlign w:val="superscript"/>
        </w:rPr>
      </w:pPr>
      <w:r>
        <w:rPr>
          <w:rFonts w:hint="eastAsia" w:ascii="Times New Roman" w:hAnsi="Times New Roman" w:cs="Times New Roman"/>
          <w:color w:val="auto"/>
          <w:sz w:val="24"/>
          <w:szCs w:val="24"/>
          <w:vertAlign w:val="baseline"/>
          <w:lang w:val="en-US" w:eastAsia="zh-CN"/>
        </w:rPr>
        <w:t>Zutao Zhang</w:t>
      </w:r>
      <w:r>
        <w:rPr>
          <w:rFonts w:ascii="Times New Roman" w:hAnsi="Times New Roman" w:cs="Times New Roman"/>
          <w:color w:val="auto"/>
          <w:sz w:val="24"/>
          <w:szCs w:val="24"/>
          <w:vertAlign w:val="superscript"/>
        </w:rPr>
        <w:t>1,</w:t>
      </w:r>
      <w:r>
        <w:rPr>
          <w:rFonts w:hint="eastAsia" w:ascii="Times New Roman" w:hAnsi="Times New Roman" w:cs="Times New Roman"/>
          <w:color w:val="auto"/>
          <w:sz w:val="24"/>
          <w:szCs w:val="24"/>
          <w:vertAlign w:val="superscript"/>
          <w:lang w:val="en-US" w:eastAsia="zh-CN"/>
        </w:rPr>
        <w:t>2</w:t>
      </w:r>
      <w:r>
        <w:rPr>
          <w:rFonts w:ascii="Times New Roman" w:hAnsi="Times New Roman" w:eastAsia="楷体_GB2312" w:cs="Times New Roman"/>
          <w:color w:val="auto"/>
          <w:sz w:val="24"/>
          <w:szCs w:val="24"/>
          <w:vertAlign w:val="superscript"/>
        </w:rPr>
        <w:t>‡</w:t>
      </w:r>
      <w:r>
        <w:rPr>
          <w:rFonts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rPr>
        <w:t xml:space="preserve"> Peiyuan</w:t>
      </w:r>
      <w:r>
        <w:rPr>
          <w:rFonts w:hint="eastAsia"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rPr>
        <w:t>Xiao</w:t>
      </w:r>
      <w:r>
        <w:rPr>
          <w:rFonts w:hint="eastAsia" w:ascii="Times New Roman" w:hAnsi="Times New Roman" w:cs="Times New Roman"/>
          <w:color w:val="auto"/>
          <w:sz w:val="24"/>
          <w:szCs w:val="24"/>
          <w:vertAlign w:val="superscript"/>
          <w:lang w:val="en-US" w:eastAsia="zh-CN"/>
        </w:rPr>
        <w:t>2</w:t>
      </w:r>
      <w:r>
        <w:rPr>
          <w:rFonts w:ascii="Times New Roman" w:hAnsi="Times New Roman" w:eastAsia="楷体_GB2312" w:cs="Times New Roman"/>
          <w:color w:val="auto"/>
          <w:sz w:val="24"/>
          <w:szCs w:val="24"/>
          <w:highlight w:val="none"/>
          <w:vertAlign w:val="superscript"/>
        </w:rPr>
        <w:t>‡</w:t>
      </w:r>
      <w:r>
        <w:rPr>
          <w:rFonts w:ascii="Times New Roman" w:hAnsi="Times New Roman" w:eastAsia="楷体_GB2312" w:cs="Times New Roman"/>
          <w:color w:val="auto"/>
          <w:sz w:val="24"/>
          <w:szCs w:val="24"/>
        </w:rPr>
        <w:t>,</w:t>
      </w:r>
      <w:r>
        <w:rPr>
          <w:rFonts w:ascii="Times New Roman" w:hAnsi="Times New Roman" w:eastAsia="宋体" w:cs="Times New Roman"/>
          <w:color w:val="auto"/>
          <w:sz w:val="24"/>
          <w:szCs w:val="24"/>
        </w:rPr>
        <w:t xml:space="preserve"> </w:t>
      </w:r>
      <w:r>
        <w:rPr>
          <w:rFonts w:ascii="Times New Roman" w:hAnsi="Times New Roman" w:eastAsia="楷体_GB2312" w:cs="Times New Roman"/>
          <w:color w:val="auto"/>
          <w:sz w:val="24"/>
          <w:szCs w:val="24"/>
        </w:rPr>
        <w:t>Jin</w:t>
      </w:r>
      <w:r>
        <w:rPr>
          <w:rFonts w:ascii="Times New Roman" w:hAnsi="Times New Roman" w:eastAsia="楷体_GB2312" w:cs="Times New Roman"/>
          <w:color w:val="auto"/>
          <w:sz w:val="24"/>
          <w:szCs w:val="24"/>
          <w:highlight w:val="none"/>
        </w:rPr>
        <w:t>ping Mei</w:t>
      </w:r>
      <w:r>
        <w:rPr>
          <w:rFonts w:ascii="Times New Roman" w:hAnsi="Times New Roman" w:eastAsia="楷体_GB2312" w:cs="Times New Roman"/>
          <w:color w:val="auto"/>
          <w:sz w:val="24"/>
          <w:szCs w:val="24"/>
          <w:highlight w:val="none"/>
          <w:vertAlign w:val="superscript"/>
        </w:rPr>
        <w:t>1‡</w:t>
      </w:r>
      <w:r>
        <w:rPr>
          <w:rFonts w:ascii="Times New Roman" w:hAnsi="Times New Roman" w:eastAsia="楷体_GB2312" w:cs="Times New Roman"/>
          <w:color w:val="auto"/>
          <w:sz w:val="24"/>
          <w:szCs w:val="24"/>
        </w:rPr>
        <w:t>,</w:t>
      </w:r>
      <w:r>
        <w:rPr>
          <w:rFonts w:hint="eastAsia" w:ascii="Times New Roman" w:hAnsi="Times New Roman" w:eastAsia="楷体_GB2312" w:cs="Times New Roman"/>
          <w:color w:val="auto"/>
          <w:sz w:val="24"/>
          <w:szCs w:val="24"/>
          <w:lang w:val="en-US" w:eastAsia="zh-CN"/>
        </w:rPr>
        <w:t xml:space="preserve"> </w:t>
      </w:r>
      <w:r>
        <w:rPr>
          <w:rFonts w:hint="eastAsia" w:ascii="Times New Roman" w:hAnsi="Times New Roman" w:eastAsia="楷体_GB2312" w:cs="Times New Roman"/>
          <w:color w:val="auto"/>
          <w:sz w:val="24"/>
          <w:szCs w:val="24"/>
        </w:rPr>
        <w:t>Xinyu Zhang</w:t>
      </w:r>
      <w:r>
        <w:rPr>
          <w:rFonts w:hint="eastAsia" w:ascii="Times New Roman" w:hAnsi="Times New Roman" w:eastAsia="楷体_GB2312" w:cs="Times New Roman"/>
          <w:color w:val="auto"/>
          <w:sz w:val="24"/>
          <w:szCs w:val="24"/>
          <w:vertAlign w:val="superscript"/>
          <w:lang w:val="en-US" w:eastAsia="zh-CN"/>
        </w:rPr>
        <w:t>3</w:t>
      </w:r>
      <w:r>
        <w:rPr>
          <w:rFonts w:hint="eastAsia" w:ascii="Times New Roman" w:hAnsi="Times New Roman" w:eastAsia="楷体_GB2312" w:cs="Times New Roman"/>
          <w:color w:val="auto"/>
          <w:sz w:val="24"/>
          <w:szCs w:val="24"/>
          <w:lang w:val="en-US" w:eastAsia="zh-CN"/>
        </w:rPr>
        <w:t>,</w:t>
      </w:r>
      <w:r>
        <w:rPr>
          <w:rFonts w:ascii="Times New Roman" w:hAnsi="Times New Roman"/>
          <w:color w:val="auto"/>
          <w:sz w:val="24"/>
        </w:rPr>
        <w:t xml:space="preserve"> Anni Dai</w:t>
      </w:r>
      <w:r>
        <w:rPr>
          <w:rFonts w:ascii="Times New Roman" w:hAnsi="Times New Roman"/>
          <w:color w:val="auto"/>
          <w:sz w:val="24"/>
          <w:vertAlign w:val="superscript"/>
        </w:rPr>
        <w:t>1</w:t>
      </w:r>
      <w:r>
        <w:rPr>
          <w:rFonts w:ascii="Times New Roman" w:hAnsi="Times New Roman"/>
          <w:color w:val="auto"/>
          <w:sz w:val="24"/>
        </w:rPr>
        <w:t>, Lei Wang</w:t>
      </w:r>
      <w:r>
        <w:rPr>
          <w:rFonts w:ascii="Times New Roman" w:hAnsi="Times New Roman"/>
          <w:color w:val="auto"/>
          <w:sz w:val="24"/>
          <w:vertAlign w:val="superscript"/>
        </w:rPr>
        <w:t>1</w:t>
      </w:r>
      <w:r>
        <w:rPr>
          <w:rFonts w:ascii="Times New Roman" w:hAnsi="Times New Roman"/>
          <w:color w:val="auto"/>
          <w:sz w:val="24"/>
        </w:rPr>
        <w:t>,</w:t>
      </w:r>
      <w:r>
        <w:rPr>
          <w:rFonts w:hint="eastAsia" w:ascii="Times New Roman" w:hAnsi="Times New Roman"/>
          <w:color w:val="auto"/>
          <w:sz w:val="24"/>
        </w:rPr>
        <w:t xml:space="preserve"> </w:t>
      </w:r>
      <w:r>
        <w:rPr>
          <w:rFonts w:ascii="Times New Roman" w:hAnsi="Times New Roman"/>
          <w:color w:val="auto"/>
          <w:sz w:val="24"/>
        </w:rPr>
        <w:t xml:space="preserve">Qiufang Yao </w:t>
      </w:r>
      <w:r>
        <w:rPr>
          <w:rFonts w:ascii="Times New Roman" w:hAnsi="Times New Roman"/>
          <w:color w:val="auto"/>
          <w:sz w:val="24"/>
          <w:vertAlign w:val="superscript"/>
        </w:rPr>
        <w:t xml:space="preserve">1,2* </w:t>
      </w:r>
    </w:p>
    <w:p w14:paraId="49A3129B">
      <w:pPr>
        <w:spacing w:line="360" w:lineRule="auto"/>
        <w:rPr>
          <w:rFonts w:ascii="Times New Roman" w:hAnsi="Times New Roman"/>
          <w:color w:val="auto"/>
          <w:sz w:val="24"/>
          <w:vertAlign w:val="superscript"/>
        </w:rPr>
      </w:pPr>
      <w:r>
        <w:rPr>
          <w:rFonts w:ascii="Times New Roman" w:hAnsi="Times New Roman"/>
          <w:color w:val="auto"/>
          <w:sz w:val="24"/>
          <w:vertAlign w:val="superscript"/>
        </w:rPr>
        <w:t xml:space="preserve"> </w:t>
      </w:r>
    </w:p>
    <w:p w14:paraId="1FB4ED8C">
      <w:pPr>
        <w:spacing w:line="360" w:lineRule="auto"/>
        <w:rPr>
          <w:rFonts w:ascii="Times New Roman" w:hAnsi="Times New Roman" w:eastAsia="宋体" w:cs="Times New Roman"/>
          <w:color w:val="auto"/>
          <w:sz w:val="24"/>
          <w:szCs w:val="24"/>
        </w:rPr>
      </w:pPr>
      <w:r>
        <w:rPr>
          <w:rFonts w:ascii="Times New Roman" w:hAnsi="Times New Roman" w:eastAsia="宋体" w:cs="Times New Roman"/>
          <w:color w:val="auto"/>
          <w:sz w:val="24"/>
          <w:szCs w:val="24"/>
          <w:vertAlign w:val="superscript"/>
        </w:rPr>
        <w:t>1</w:t>
      </w:r>
      <w:r>
        <w:rPr>
          <w:rFonts w:ascii="Times New Roman" w:hAnsi="Times New Roman" w:eastAsia="宋体" w:cs="Times New Roman"/>
          <w:color w:val="auto"/>
          <w:sz w:val="24"/>
          <w:szCs w:val="24"/>
        </w:rPr>
        <w:t>College of Advanced Materials Engineering, Jiaxing Nanhu Univ</w:t>
      </w:r>
      <w:bookmarkStart w:id="26" w:name="_GoBack"/>
      <w:bookmarkEnd w:id="26"/>
      <w:r>
        <w:rPr>
          <w:rFonts w:ascii="Times New Roman" w:hAnsi="Times New Roman" w:eastAsia="宋体" w:cs="Times New Roman"/>
          <w:color w:val="auto"/>
          <w:sz w:val="24"/>
          <w:szCs w:val="24"/>
        </w:rPr>
        <w:t>ersity, 572 Yuexiu Road, Jiaxing</w:t>
      </w:r>
      <w:r>
        <w:rPr>
          <w:rFonts w:hint="eastAsia" w:ascii="Times New Roman" w:hAnsi="Times New Roman" w:eastAsia="宋体" w:cs="Times New Roman"/>
          <w:color w:val="auto"/>
          <w:sz w:val="24"/>
          <w:szCs w:val="24"/>
          <w:lang w:val="en-US" w:eastAsia="zh-CN"/>
        </w:rPr>
        <w:t>,</w:t>
      </w:r>
      <w:r>
        <w:rPr>
          <w:rFonts w:ascii="Times New Roman" w:hAnsi="Times New Roman" w:eastAsia="宋体" w:cs="Times New Roman"/>
          <w:color w:val="auto"/>
          <w:sz w:val="24"/>
          <w:szCs w:val="24"/>
        </w:rPr>
        <w:t xml:space="preserve"> 314001, China</w:t>
      </w:r>
    </w:p>
    <w:p w14:paraId="68A8FA35">
      <w:pPr>
        <w:spacing w:line="360" w:lineRule="auto"/>
        <w:rPr>
          <w:rFonts w:ascii="Times New Roman" w:hAnsi="Times New Roman" w:cs="Times New Roman"/>
          <w:color w:val="auto"/>
          <w:sz w:val="24"/>
          <w:szCs w:val="24"/>
        </w:rPr>
      </w:pPr>
      <w:r>
        <w:rPr>
          <w:rFonts w:ascii="Times New Roman" w:hAnsi="Times New Roman"/>
          <w:color w:val="auto"/>
          <w:sz w:val="24"/>
          <w:vertAlign w:val="superscript"/>
        </w:rPr>
        <w:t>2</w:t>
      </w:r>
      <w:r>
        <w:rPr>
          <w:rFonts w:ascii="Times New Roman" w:hAnsi="Times New Roman" w:cs="Times New Roman"/>
          <w:color w:val="auto"/>
          <w:sz w:val="24"/>
          <w:szCs w:val="24"/>
        </w:rPr>
        <w:t>College of Environmental Science and Engineering, Tongji University, Shanghai, 200092, China</w:t>
      </w:r>
    </w:p>
    <w:p w14:paraId="294AD0DF">
      <w:pPr>
        <w:spacing w:line="360" w:lineRule="auto"/>
        <w:rPr>
          <w:rFonts w:ascii="Times New Roman" w:hAnsi="Times New Roman" w:eastAsia="楷体_GB2312" w:cs="Times New Roman"/>
          <w:color w:val="auto"/>
          <w:sz w:val="24"/>
          <w:szCs w:val="24"/>
        </w:rPr>
      </w:pPr>
      <w:r>
        <w:rPr>
          <w:rFonts w:hint="eastAsia" w:ascii="Times New Roman" w:hAnsi="Times New Roman" w:eastAsia="楷体_GB2312" w:cs="Times New Roman"/>
          <w:color w:val="auto"/>
          <w:sz w:val="24"/>
          <w:szCs w:val="24"/>
          <w:vertAlign w:val="superscript"/>
          <w:lang w:val="en-US" w:eastAsia="zh-CN"/>
        </w:rPr>
        <w:t>3</w:t>
      </w:r>
      <w:r>
        <w:rPr>
          <w:rFonts w:hint="eastAsia" w:ascii="Times New Roman" w:hAnsi="Times New Roman" w:eastAsia="楷体_GB2312" w:cs="Times New Roman"/>
          <w:color w:val="auto"/>
          <w:sz w:val="24"/>
          <w:szCs w:val="24"/>
        </w:rPr>
        <w:t>Shanghai Chengtou Water Group Co., Ltd</w:t>
      </w:r>
      <w:r>
        <w:rPr>
          <w:rFonts w:ascii="Times New Roman" w:hAnsi="Times New Roman" w:eastAsia="楷体_GB2312" w:cs="Times New Roman"/>
          <w:color w:val="auto"/>
          <w:sz w:val="24"/>
          <w:szCs w:val="24"/>
        </w:rPr>
        <w:t xml:space="preserve">, </w:t>
      </w:r>
      <w:r>
        <w:rPr>
          <w:rFonts w:ascii="Times New Roman" w:hAnsi="Times New Roman"/>
          <w:color w:val="auto"/>
          <w:sz w:val="24"/>
        </w:rPr>
        <w:t>Shanghai, 200092, China</w:t>
      </w:r>
    </w:p>
    <w:p w14:paraId="6FAB6249">
      <w:pPr>
        <w:adjustRightInd w:val="0"/>
        <w:snapToGrid w:val="0"/>
        <w:spacing w:line="360" w:lineRule="auto"/>
        <w:rPr>
          <w:rFonts w:hint="default" w:ascii="Times New Roman" w:hAnsi="Times New Roman" w:eastAsia="楷体_GB2312" w:cs="Times New Roman"/>
          <w:color w:val="auto"/>
          <w:sz w:val="24"/>
          <w:szCs w:val="24"/>
          <w:vertAlign w:val="superscript"/>
        </w:rPr>
      </w:pPr>
    </w:p>
    <w:p w14:paraId="37497A45">
      <w:pPr>
        <w:adjustRightInd w:val="0"/>
        <w:snapToGrid w:val="0"/>
        <w:spacing w:line="360" w:lineRule="auto"/>
        <w:rPr>
          <w:rFonts w:hint="default" w:ascii="Times New Roman" w:hAnsi="Times New Roman" w:eastAsia="楷体_GB2312" w:cs="Times New Roman"/>
          <w:color w:val="auto"/>
          <w:sz w:val="24"/>
          <w:szCs w:val="24"/>
        </w:rPr>
      </w:pPr>
      <w:r>
        <w:rPr>
          <w:rFonts w:hint="default" w:ascii="Times New Roman" w:hAnsi="Times New Roman" w:eastAsia="楷体_GB2312" w:cs="Times New Roman"/>
          <w:color w:val="auto"/>
          <w:sz w:val="24"/>
          <w:szCs w:val="24"/>
          <w:vertAlign w:val="superscript"/>
        </w:rPr>
        <w:t>‡</w:t>
      </w:r>
      <w:r>
        <w:rPr>
          <w:rFonts w:hint="default" w:ascii="Times New Roman" w:hAnsi="Times New Roman" w:eastAsia="楷体_GB2312" w:cs="Times New Roman"/>
          <w:color w:val="auto"/>
          <w:sz w:val="24"/>
          <w:szCs w:val="24"/>
        </w:rPr>
        <w:t>These authors contributed equally to this work.</w:t>
      </w:r>
    </w:p>
    <w:p w14:paraId="48F93C6C">
      <w:pPr>
        <w:spacing w:line="360" w:lineRule="auto"/>
        <w:rPr>
          <w:rFonts w:ascii="Times New Roman" w:hAnsi="Times New Roman"/>
          <w:color w:val="auto"/>
          <w:sz w:val="24"/>
          <w:vertAlign w:val="superscript"/>
        </w:rPr>
      </w:pPr>
    </w:p>
    <w:p w14:paraId="4B7ADB91">
      <w:pPr>
        <w:spacing w:line="360" w:lineRule="auto"/>
        <w:rPr>
          <w:rFonts w:ascii="Times New Roman" w:hAnsi="Times New Roman"/>
          <w:color w:val="auto"/>
          <w:sz w:val="24"/>
        </w:rPr>
      </w:pPr>
      <w:r>
        <w:rPr>
          <w:rFonts w:hint="eastAsia" w:ascii="Times New Roman" w:hAnsi="Times New Roman"/>
          <w:color w:val="auto"/>
          <w:sz w:val="24"/>
        </w:rPr>
        <w:t>*</w:t>
      </w:r>
      <w:r>
        <w:rPr>
          <w:rFonts w:ascii="Times New Roman" w:hAnsi="Times New Roman"/>
          <w:color w:val="auto"/>
          <w:sz w:val="24"/>
        </w:rPr>
        <w:t>E-mail: qfyao@jxnhu.edu.cn (Q. Yao)</w:t>
      </w:r>
      <w:r>
        <w:rPr>
          <w:rFonts w:hint="eastAsia" w:ascii="Times New Roman" w:hAnsi="Times New Roman"/>
          <w:color w:val="auto"/>
          <w:sz w:val="24"/>
        </w:rPr>
        <w:t>.</w:t>
      </w:r>
      <w:r>
        <w:rPr>
          <w:rFonts w:ascii="Times New Roman" w:hAnsi="Times New Roman"/>
          <w:color w:val="auto"/>
          <w:sz w:val="24"/>
        </w:rPr>
        <w:t xml:space="preserve"> </w:t>
      </w:r>
    </w:p>
    <w:p w14:paraId="562205E2">
      <w:pPr>
        <w:rPr>
          <w:rFonts w:hint="eastAsia"/>
          <w:color w:val="auto"/>
        </w:rPr>
      </w:pPr>
    </w:p>
    <w:p w14:paraId="7AB5C189">
      <w:pPr>
        <w:rPr>
          <w:rFonts w:hint="eastAsia"/>
          <w:color w:val="auto"/>
        </w:rPr>
      </w:pPr>
      <w:r>
        <w:rPr>
          <w:rFonts w:hint="eastAsia"/>
          <w:color w:val="auto"/>
        </w:rPr>
        <w:br w:type="page"/>
      </w:r>
    </w:p>
    <w:p w14:paraId="4967DCA0">
      <w:pPr>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highlight w:val="none"/>
        </w:rPr>
        <w:t>Text S1</w:t>
      </w:r>
      <w:r>
        <w:rPr>
          <w:rFonts w:hint="default" w:ascii="Times New Roman" w:hAnsi="Times New Roman" w:cs="Times New Roman"/>
          <w:color w:val="auto"/>
          <w:sz w:val="24"/>
          <w:szCs w:val="24"/>
          <w:highlight w:val="none"/>
        </w:rPr>
        <w:t xml:space="preserve"> </w:t>
      </w:r>
      <w:r>
        <w:rPr>
          <w:rFonts w:hint="default" w:ascii="Times New Roman" w:hAnsi="Times New Roman" w:eastAsia="宋体" w:cs="Times New Roman"/>
          <w:b/>
          <w:bCs/>
          <w:color w:val="auto"/>
          <w:kern w:val="2"/>
          <w:sz w:val="24"/>
          <w:szCs w:val="24"/>
          <w:lang w:val="en-US" w:eastAsia="zh-CN" w:bidi="ar"/>
        </w:rPr>
        <w:t>Characterization Methods</w:t>
      </w:r>
    </w:p>
    <w:p w14:paraId="1FB7E454">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color w:val="auto"/>
          <w:sz w:val="24"/>
          <w:szCs w:val="24"/>
          <w:lang w:val="en-US"/>
        </w:rPr>
      </w:pPr>
      <w:r>
        <w:rPr>
          <w:rFonts w:hint="default" w:ascii="Times New Roman" w:hAnsi="Times New Roman" w:eastAsia="宋体" w:cs="Times New Roman"/>
          <w:color w:val="auto"/>
          <w:kern w:val="2"/>
          <w:sz w:val="24"/>
          <w:szCs w:val="24"/>
          <w:lang w:val="en-US" w:eastAsia="zh-CN" w:bidi="ar"/>
        </w:rPr>
        <w:t>Surface morphology and elemental distribution were examined using field-emission scannin</w:t>
      </w:r>
      <w:r>
        <w:rPr>
          <w:rFonts w:hint="default" w:ascii="Times New Roman" w:hAnsi="Times New Roman" w:eastAsia="宋体" w:cs="Times New Roman"/>
          <w:color w:val="auto"/>
          <w:kern w:val="2"/>
          <w:sz w:val="24"/>
          <w:szCs w:val="24"/>
          <w:highlight w:val="none"/>
          <w:lang w:val="en-US" w:eastAsia="zh-CN" w:bidi="ar"/>
        </w:rPr>
        <w:t>g electron microscopy (</w:t>
      </w:r>
      <w:r>
        <w:rPr>
          <w:rFonts w:hint="eastAsia" w:eastAsia="等线"/>
          <w:color w:val="auto"/>
          <w:highlight w:val="none"/>
        </w:rPr>
        <w:t>SEM, JEM 2010 FEF</w:t>
      </w:r>
      <w:r>
        <w:rPr>
          <w:rFonts w:hint="default" w:ascii="Times New Roman" w:hAnsi="Times New Roman" w:eastAsia="宋体" w:cs="Times New Roman"/>
          <w:color w:val="auto"/>
          <w:kern w:val="2"/>
          <w:sz w:val="24"/>
          <w:szCs w:val="24"/>
          <w:highlight w:val="none"/>
          <w:lang w:val="en-US" w:eastAsia="zh-CN" w:bidi="ar"/>
        </w:rPr>
        <w:t>) with energy-dispersive spectroscopy (EDS). Specific surface area was measured via the Brunauer-Emmett-Teller (BET) method on a TriStar 3000 system (Micromeritics Corp., USA), wit</w:t>
      </w:r>
      <w:r>
        <w:rPr>
          <w:rFonts w:hint="default" w:ascii="Times New Roman" w:hAnsi="Times New Roman" w:eastAsia="宋体" w:cs="Times New Roman"/>
          <w:color w:val="auto"/>
          <w:kern w:val="2"/>
          <w:sz w:val="24"/>
          <w:szCs w:val="24"/>
          <w:lang w:val="en-US" w:eastAsia="zh-CN" w:bidi="ar"/>
        </w:rPr>
        <w:t xml:space="preserve">h pore size distribution determined by the Barrett-Joyner-Halenda (BJH) method. Surface composition was analyzed by </w:t>
      </w:r>
      <w:r>
        <w:rPr>
          <w:rFonts w:eastAsia="等线"/>
          <w:color w:val="auto"/>
        </w:rPr>
        <w:t>Raman spectrometer</w:t>
      </w:r>
      <w:r>
        <w:rPr>
          <w:rFonts w:hint="eastAsia" w:eastAsia="等线"/>
          <w:color w:val="auto"/>
        </w:rPr>
        <w:t xml:space="preserve"> (</w:t>
      </w:r>
      <w:r>
        <w:rPr>
          <w:rFonts w:eastAsia="等线"/>
          <w:color w:val="auto"/>
        </w:rPr>
        <w:t>In Via Reflex</w:t>
      </w:r>
      <w:r>
        <w:rPr>
          <w:rFonts w:hint="eastAsia" w:eastAsia="等线"/>
          <w:color w:val="auto"/>
        </w:rPr>
        <w:t xml:space="preserve">, </w:t>
      </w:r>
      <w:r>
        <w:rPr>
          <w:rFonts w:eastAsia="等线"/>
          <w:color w:val="auto"/>
        </w:rPr>
        <w:t>Renishaw plc</w:t>
      </w:r>
      <w:r>
        <w:rPr>
          <w:rFonts w:eastAsia="等线"/>
          <w:color w:val="auto"/>
          <w:lang w:eastAsia="zh-CN"/>
        </w:rPr>
        <w:t>.</w:t>
      </w:r>
      <w:r>
        <w:rPr>
          <w:rFonts w:eastAsia="等线"/>
          <w:color w:val="auto"/>
        </w:rPr>
        <w:t xml:space="preserve"> Wotton-under-Edge, UK </w:t>
      </w:r>
      <w:r>
        <w:rPr>
          <w:rFonts w:hint="eastAsia" w:eastAsia="等线"/>
          <w:color w:val="auto"/>
        </w:rPr>
        <w:t xml:space="preserve">), </w:t>
      </w:r>
      <w:r>
        <w:rPr>
          <w:rFonts w:eastAsia="等线"/>
          <w:color w:val="auto"/>
        </w:rPr>
        <w:t>and X-ray photoelectron</w:t>
      </w:r>
      <w:r>
        <w:rPr>
          <w:rFonts w:hint="eastAsia" w:eastAsia="等线"/>
          <w:color w:val="auto"/>
        </w:rPr>
        <w:t xml:space="preserve"> </w:t>
      </w:r>
      <w:r>
        <w:rPr>
          <w:rFonts w:eastAsia="等线"/>
          <w:color w:val="auto"/>
        </w:rPr>
        <w:t>spectroscopy (XPS</w:t>
      </w:r>
      <w:r>
        <w:rPr>
          <w:rFonts w:hint="eastAsia" w:eastAsia="等线"/>
          <w:color w:val="auto"/>
        </w:rPr>
        <w:t xml:space="preserve">, </w:t>
      </w:r>
      <w:r>
        <w:rPr>
          <w:rFonts w:eastAsia="等线"/>
          <w:color w:val="auto"/>
        </w:rPr>
        <w:t>Thermal Fisher</w:t>
      </w:r>
      <w:r>
        <w:rPr>
          <w:rFonts w:eastAsia="等线"/>
          <w:color w:val="auto"/>
          <w:lang w:eastAsia="zh-CN"/>
        </w:rPr>
        <w:t xml:space="preserve"> Scientific</w:t>
      </w:r>
      <w:r>
        <w:rPr>
          <w:rFonts w:eastAsia="等线"/>
          <w:color w:val="auto"/>
        </w:rPr>
        <w:t xml:space="preserve">, Waltham, </w:t>
      </w:r>
      <w:bookmarkStart w:id="0" w:name="OLE_LINK11"/>
      <w:r>
        <w:rPr>
          <w:rFonts w:eastAsia="等线"/>
          <w:color w:val="auto"/>
        </w:rPr>
        <w:t>MA,</w:t>
      </w:r>
      <w:r>
        <w:rPr>
          <w:rFonts w:eastAsia="等线"/>
          <w:color w:val="auto"/>
          <w:lang w:eastAsia="zh-CN"/>
        </w:rPr>
        <w:t xml:space="preserve"> </w:t>
      </w:r>
      <w:r>
        <w:rPr>
          <w:rFonts w:eastAsia="等线"/>
          <w:color w:val="auto"/>
        </w:rPr>
        <w:t>USA</w:t>
      </w:r>
      <w:bookmarkEnd w:id="0"/>
      <w:r>
        <w:rPr>
          <w:rFonts w:eastAsia="等线"/>
          <w:color w:val="auto"/>
        </w:rPr>
        <w:t>)</w:t>
      </w:r>
      <w:r>
        <w:rPr>
          <w:rFonts w:hint="default" w:ascii="Times New Roman" w:hAnsi="Times New Roman" w:eastAsia="宋体" w:cs="Times New Roman"/>
          <w:color w:val="auto"/>
          <w:kern w:val="2"/>
          <w:sz w:val="24"/>
          <w:szCs w:val="24"/>
          <w:lang w:val="en-US" w:eastAsia="zh-CN" w:bidi="ar"/>
        </w:rPr>
        <w:t xml:space="preserve">. Crystallinity was evaluated by </w:t>
      </w:r>
      <w:r>
        <w:rPr>
          <w:rFonts w:eastAsia="等线"/>
          <w:color w:val="auto"/>
        </w:rPr>
        <w:t>powder X-ray diffraction (XRD</w:t>
      </w:r>
      <w:r>
        <w:rPr>
          <w:rFonts w:hint="eastAsia" w:eastAsia="等线"/>
          <w:color w:val="auto"/>
        </w:rPr>
        <w:t>,</w:t>
      </w:r>
      <w:r>
        <w:rPr>
          <w:rFonts w:eastAsia="等线"/>
          <w:color w:val="auto"/>
        </w:rPr>
        <w:t xml:space="preserve"> Bruke D8 Ad</w:t>
      </w:r>
      <w:r>
        <w:rPr>
          <w:rFonts w:hint="eastAsia" w:eastAsia="等线"/>
          <w:color w:val="auto"/>
        </w:rPr>
        <w:t>vance</w:t>
      </w:r>
      <w:r>
        <w:rPr>
          <w:rFonts w:hint="eastAsia" w:eastAsia="等线"/>
          <w:color w:val="auto"/>
          <w:lang w:eastAsia="zh-CN"/>
        </w:rPr>
        <w:t xml:space="preserve">, </w:t>
      </w:r>
      <w:r>
        <w:rPr>
          <w:rFonts w:eastAsia="等线"/>
          <w:color w:val="auto"/>
          <w:lang w:eastAsia="zh-CN"/>
        </w:rPr>
        <w:t>Bruker Corporation, Billerica, MA, USA</w:t>
      </w:r>
      <w:r>
        <w:rPr>
          <w:rFonts w:eastAsia="等线"/>
          <w:color w:val="auto"/>
        </w:rPr>
        <w:t>) patterns</w:t>
      </w:r>
      <w:r>
        <w:rPr>
          <w:rFonts w:hint="default" w:ascii="Times New Roman" w:hAnsi="Times New Roman" w:eastAsia="宋体" w:cs="Times New Roman"/>
          <w:color w:val="auto"/>
          <w:kern w:val="2"/>
          <w:sz w:val="24"/>
          <w:szCs w:val="24"/>
          <w:lang w:val="en-US" w:eastAsia="zh-CN" w:bidi="ar"/>
        </w:rPr>
        <w:t>. An inductive coupled plasma atomic mission spectrometer (ICP-MS, Agilent 7700, Agilent Technologies, Santa Clara, CA, USA) was quantified to metal leaching. The products were analyzed by Gas Chromatography (GC-14B, Shimadzu Corporation, Kyoto, Japan), Ion Chromatography (ICS-1100, Thermal Fisher Scientific, Waltham, MA, USA), and Ultraviolet-visible diffuse reflection spectrum (UV-6100S, Meipuda, Shanghai, China).</w:t>
      </w:r>
      <w:r>
        <w:rPr>
          <w:rFonts w:hint="eastAsia" w:cs="Times New Roman"/>
          <w:color w:val="auto"/>
          <w:kern w:val="2"/>
          <w:sz w:val="24"/>
          <w:szCs w:val="24"/>
          <w:lang w:val="en-US" w:eastAsia="zh-CN" w:bidi="ar"/>
        </w:rPr>
        <w:t xml:space="preserve"> </w:t>
      </w:r>
      <w:r>
        <w:rPr>
          <w:rFonts w:hint="eastAsia" w:ascii="Times New Roman" w:hAnsi="Times New Roman" w:eastAsia="宋体" w:cs="Times New Roman"/>
          <w:i w:val="0"/>
          <w:iCs w:val="0"/>
          <w:caps w:val="0"/>
          <w:color w:val="auto"/>
          <w:spacing w:val="0"/>
          <w:sz w:val="24"/>
          <w:szCs w:val="24"/>
          <w:shd w:val="clear" w:fill="FFFFFF"/>
          <w:lang w:val="en-US" w:eastAsia="zh-CN"/>
        </w:rPr>
        <w:t>The</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i w:val="0"/>
          <w:iCs w:val="0"/>
          <w:caps w:val="0"/>
          <w:color w:val="auto"/>
          <w:spacing w:val="0"/>
          <w:sz w:val="24"/>
          <w:szCs w:val="24"/>
          <w:shd w:val="clear" w:fill="FFFFFF"/>
          <w:lang w:val="en-US" w:eastAsia="zh-CN"/>
        </w:rPr>
        <w:t xml:space="preserve">*H was trapped using 5,5-dimethyl-1-pyrroline-N-oxide (DMPO), and the adducts were analyzed by </w:t>
      </w:r>
      <w:r>
        <w:rPr>
          <w:rFonts w:hint="eastAsia" w:cs="Times New Roman"/>
          <w:i w:val="0"/>
          <w:iCs w:val="0"/>
          <w:caps w:val="0"/>
          <w:color w:val="auto"/>
          <w:spacing w:val="0"/>
          <w:sz w:val="24"/>
          <w:szCs w:val="24"/>
          <w:shd w:val="clear" w:fill="FFFFFF"/>
          <w:lang w:val="en-US" w:eastAsia="zh-CN"/>
        </w:rPr>
        <w:t>e</w:t>
      </w:r>
      <w:r>
        <w:rPr>
          <w:rFonts w:hint="default" w:ascii="Times New Roman" w:hAnsi="Times New Roman" w:eastAsia="宋体" w:cs="Times New Roman"/>
          <w:i w:val="0"/>
          <w:iCs w:val="0"/>
          <w:caps w:val="0"/>
          <w:color w:val="auto"/>
          <w:spacing w:val="0"/>
          <w:sz w:val="24"/>
          <w:szCs w:val="24"/>
          <w:shd w:val="clear" w:fill="FFFFFF"/>
          <w:lang w:val="en-US" w:eastAsia="zh-CN"/>
        </w:rPr>
        <w:t xml:space="preserve">lectron paramagnetic resonance (EPR; JEOL JES-FA200, Japan). Spectra were acquired under standard conditions: 1 G modulation amplitude, 10 mW microwave power, 200 G sweep width, and 81.92 ms time constant. </w:t>
      </w:r>
    </w:p>
    <w:p w14:paraId="3F410C39">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bCs/>
          <w:color w:val="auto"/>
          <w:sz w:val="24"/>
          <w:szCs w:val="24"/>
          <w:lang w:val="en-US"/>
        </w:rPr>
      </w:pPr>
      <w:r>
        <w:rPr>
          <w:rFonts w:hint="default" w:ascii="Times New Roman" w:hAnsi="Times New Roman" w:eastAsia="宋体" w:cs="Times New Roman"/>
          <w:b/>
          <w:bCs/>
          <w:color w:val="auto"/>
          <w:kern w:val="2"/>
          <w:sz w:val="24"/>
          <w:szCs w:val="24"/>
          <w:lang w:val="en-US" w:eastAsia="zh-CN" w:bidi="ar"/>
        </w:rPr>
        <w:t>Chemical Analysis</w:t>
      </w:r>
    </w:p>
    <w:p w14:paraId="31D6D277">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color w:val="auto"/>
          <w:kern w:val="2"/>
          <w:sz w:val="24"/>
          <w:szCs w:val="24"/>
          <w:highlight w:val="none"/>
          <w:lang w:val="en-US" w:eastAsia="zh-CN" w:bidi="ar"/>
        </w:rPr>
      </w:pPr>
      <w:r>
        <w:rPr>
          <w:rFonts w:hint="default" w:ascii="Times New Roman" w:hAnsi="Times New Roman" w:eastAsia="宋体" w:cs="Times New Roman"/>
          <w:color w:val="auto"/>
          <w:kern w:val="2"/>
          <w:sz w:val="24"/>
          <w:szCs w:val="24"/>
          <w:highlight w:val="none"/>
          <w:lang w:val="en-US" w:eastAsia="zh-CN" w:bidi="ar"/>
        </w:rPr>
        <w:t xml:space="preserve">DCF and </w:t>
      </w:r>
      <w:r>
        <w:rPr>
          <w:rFonts w:hint="eastAsia" w:eastAsia="宋体" w:cs="Times New Roman"/>
          <w:color w:val="auto"/>
          <w:kern w:val="2"/>
          <w:sz w:val="24"/>
          <w:szCs w:val="24"/>
          <w:highlight w:val="none"/>
          <w:lang w:val="en-US" w:eastAsia="zh-CN" w:bidi="ar"/>
        </w:rPr>
        <w:t>t</w:t>
      </w:r>
      <w:r>
        <w:rPr>
          <w:rFonts w:hint="default" w:ascii="Times New Roman" w:hAnsi="Times New Roman" w:eastAsia="宋体" w:cs="Times New Roman"/>
          <w:color w:val="auto"/>
          <w:kern w:val="2"/>
          <w:sz w:val="24"/>
          <w:szCs w:val="24"/>
          <w:highlight w:val="none"/>
          <w:lang w:val="en-US" w:eastAsia="zh-CN" w:bidi="ar"/>
        </w:rPr>
        <w:t>he degradation intermediates were analyzed using ultra-performance liquid chromatography-ion mobility spectrometry-quadrupole time-of-flight mass spectrometry (UPLC-IMS-QTOF-MS; ACQUITY I-Class, Waters). Prior to analysis, samples were concentrated via solid-phase extraction (Oasis HLB cartridge, Waters) with 20 mL solution eluted by 2 mL methanol. Chromatographic separation was achieved on a BEH C18 column (100 × 2.1 mm, 1.7 μm) at 45°C using 0.1% formic acid in water (A) and acetonitrile (B) at 0.4 mL/min with the following gradient: 0 min (95% A), 8 min (100% B), 12.5 min (100% B), 15 min (5% A), held to 20 min. MS detection in negative ESI mode (m/z 50-1000) employed these parameters: capillary voltage 2 kV, cone voltage 40 V, source temperature 115°C, desolvation temperature 450°C (gas flow 900 L/h), cone gas 50 L/h, scan rate 0.2 s, and collision energy 6 eV (20-45 eV for MS/MS).</w:t>
      </w:r>
    </w:p>
    <w:p w14:paraId="51FD176E">
      <w:pPr>
        <w:rPr>
          <w:rFonts w:hint="default" w:ascii="Times New Roman" w:hAnsi="Times New Roman" w:eastAsia="宋体" w:cs="Times New Roman"/>
          <w:color w:val="auto"/>
          <w:kern w:val="2"/>
          <w:sz w:val="24"/>
          <w:szCs w:val="24"/>
          <w:highlight w:val="none"/>
          <w:lang w:val="en-US" w:eastAsia="zh-CN" w:bidi="ar"/>
        </w:rPr>
      </w:pPr>
      <w:r>
        <w:rPr>
          <w:rFonts w:hint="default" w:ascii="Times New Roman" w:hAnsi="Times New Roman" w:eastAsia="宋体" w:cs="Times New Roman"/>
          <w:color w:val="auto"/>
          <w:kern w:val="2"/>
          <w:sz w:val="24"/>
          <w:szCs w:val="24"/>
          <w:highlight w:val="none"/>
          <w:lang w:val="en-US" w:eastAsia="zh-CN" w:bidi="ar"/>
        </w:rPr>
        <w:t>Chloride ion concentration was quantified spectrophotometrically (UV-2550, Shimadzu) at 460 nm using a mercury thiocyanate method, where 2.0 mL samples were reacted with 1.0 mL each of ammonium ferric sulfate and mercury thiocyanate solutions. Dechlorination efficiency was calculated as the percentage of chloride ions released relative to the theoretical chlorine content in DCF.</w:t>
      </w:r>
    </w:p>
    <w:p w14:paraId="2B766229">
      <w:pPr>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
        </w:rPr>
        <w:t>Total organic carbon (TOC) was analyzed using a TOC-5050A analyzer (Shimadzu). Total iron concentration was determined spectrophotometrically at 510 nm via the 1,10-phenanthroline method.</w:t>
      </w:r>
    </w:p>
    <w:p w14:paraId="471C1CF3">
      <w:pPr>
        <w:pStyle w:val="8"/>
        <w:rPr>
          <w:b/>
          <w:bCs w:val="0"/>
          <w:color w:val="auto"/>
          <w:highlight w:val="none"/>
        </w:rPr>
      </w:pPr>
      <w:bookmarkStart w:id="1" w:name="_Toc27512"/>
      <w:bookmarkStart w:id="2" w:name="_Toc9498"/>
      <w:bookmarkStart w:id="3" w:name="_Toc11112"/>
      <w:bookmarkStart w:id="4" w:name="_Toc21650"/>
      <w:bookmarkStart w:id="5" w:name="_Toc15437"/>
      <w:bookmarkStart w:id="6" w:name="_Toc8257"/>
      <w:bookmarkStart w:id="7" w:name="_Hlk80470057"/>
      <w:bookmarkStart w:id="8" w:name="OLE_LINK26"/>
    </w:p>
    <w:p w14:paraId="799F1C67">
      <w:pPr>
        <w:pStyle w:val="8"/>
        <w:rPr>
          <w:b/>
          <w:bCs w:val="0"/>
          <w:color w:val="auto"/>
          <w:highlight w:val="none"/>
        </w:rPr>
      </w:pPr>
      <w:r>
        <w:rPr>
          <w:b/>
          <w:bCs w:val="0"/>
          <w:color w:val="auto"/>
          <w:highlight w:val="none"/>
        </w:rPr>
        <w:t>Text S</w:t>
      </w:r>
      <w:bookmarkEnd w:id="1"/>
      <w:r>
        <w:rPr>
          <w:rFonts w:hint="eastAsia"/>
          <w:b/>
          <w:bCs w:val="0"/>
          <w:color w:val="auto"/>
          <w:highlight w:val="none"/>
          <w:lang w:val="en-US" w:eastAsia="zh-CN"/>
        </w:rPr>
        <w:t>2</w:t>
      </w:r>
      <w:r>
        <w:rPr>
          <w:b/>
          <w:bCs w:val="0"/>
          <w:color w:val="auto"/>
          <w:highlight w:val="none"/>
        </w:rPr>
        <w:t xml:space="preserve"> Toxicity assessment</w:t>
      </w:r>
      <w:bookmarkEnd w:id="2"/>
      <w:bookmarkEnd w:id="3"/>
      <w:bookmarkEnd w:id="4"/>
      <w:bookmarkEnd w:id="5"/>
      <w:bookmarkEnd w:id="6"/>
      <w:r>
        <w:rPr>
          <w:b/>
          <w:bCs w:val="0"/>
          <w:color w:val="auto"/>
          <w:highlight w:val="none"/>
        </w:rPr>
        <w:t>.</w:t>
      </w:r>
    </w:p>
    <w:bookmarkEnd w:id="7"/>
    <w:p w14:paraId="3D5549A0">
      <w:pPr>
        <w:spacing w:line="480" w:lineRule="auto"/>
        <w:ind w:firstLine="480" w:firstLineChars="200"/>
        <w:rPr>
          <w:rFonts w:hint="eastAsia"/>
          <w:color w:val="auto"/>
          <w:sz w:val="24"/>
          <w:szCs w:val="24"/>
          <w:lang w:val="en-US" w:eastAsia="zh-CN"/>
        </w:rPr>
      </w:pPr>
      <w:r>
        <w:rPr>
          <w:rFonts w:hint="eastAsia" w:ascii="Times New Roman" w:hAnsi="Times New Roman"/>
          <w:color w:val="auto"/>
          <w:sz w:val="24"/>
          <w:szCs w:val="24"/>
        </w:rPr>
        <w:t>The Ecological Structure-Activity Relationship Model (ECOSAR) program was employed to perform Quantitative Structure-Activity Relationship (QSAR) analysis, estimating acute and chronic toxicity levels for aquatic organisms, including fish, daphnids, and green alga</w:t>
      </w:r>
      <w:r>
        <w:rPr>
          <w:rFonts w:hint="eastAsia" w:ascii="Times New Roman" w:hAnsi="Times New Roman"/>
          <w:color w:val="auto"/>
          <w:sz w:val="24"/>
          <w:szCs w:val="24"/>
          <w:highlight w:val="none"/>
          <w:vertAlign w:val="baseline"/>
        </w:rPr>
        <w:t>e</w:t>
      </w:r>
      <w:r>
        <w:rPr>
          <w:rFonts w:hint="eastAsia"/>
          <w:color w:val="auto"/>
          <w:sz w:val="24"/>
          <w:szCs w:val="24"/>
          <w:highlight w:val="none"/>
          <w:vertAlign w:val="baseline"/>
          <w:lang w:val="en-US" w:eastAsia="zh-CN"/>
        </w:rPr>
        <w:t xml:space="preserve"> [1]</w:t>
      </w:r>
      <w:r>
        <w:rPr>
          <w:rFonts w:hint="eastAsia" w:ascii="Times New Roman" w:hAnsi="Times New Roman"/>
          <w:color w:val="auto"/>
          <w:sz w:val="24"/>
          <w:szCs w:val="24"/>
          <w:highlight w:val="none"/>
          <w:vertAlign w:val="baseline"/>
        </w:rPr>
        <w:t>.</w:t>
      </w:r>
      <w:r>
        <w:rPr>
          <w:rFonts w:hint="eastAsia"/>
          <w:color w:val="auto"/>
          <w:sz w:val="24"/>
          <w:szCs w:val="24"/>
          <w:highlight w:val="none"/>
          <w:vertAlign w:val="baseline"/>
          <w:lang w:val="en-US" w:eastAsia="zh-CN"/>
        </w:rPr>
        <w:t xml:space="preserve"> </w:t>
      </w:r>
      <w:r>
        <w:rPr>
          <w:rFonts w:hint="eastAsia" w:ascii="Times New Roman" w:hAnsi="Times New Roman"/>
          <w:color w:val="auto"/>
          <w:sz w:val="24"/>
          <w:szCs w:val="24"/>
        </w:rPr>
        <w:t>Acute toxicity assessment was based on:</w:t>
      </w:r>
      <w:r>
        <w:rPr>
          <w:rFonts w:hint="eastAsia"/>
          <w:color w:val="auto"/>
          <w:sz w:val="24"/>
          <w:szCs w:val="24"/>
          <w:lang w:val="en-US" w:eastAsia="zh-CN"/>
        </w:rPr>
        <w:t xml:space="preserve"> </w:t>
      </w:r>
      <w:r>
        <w:rPr>
          <w:rFonts w:hint="eastAsia" w:ascii="Times New Roman" w:hAnsi="Times New Roman"/>
          <w:color w:val="auto"/>
          <w:sz w:val="24"/>
          <w:szCs w:val="24"/>
        </w:rPr>
        <w:t>96-hour EC</w:t>
      </w:r>
      <w:r>
        <w:rPr>
          <w:rFonts w:hint="eastAsia"/>
          <w:color w:val="auto"/>
          <w:sz w:val="24"/>
          <w:szCs w:val="24"/>
          <w:vertAlign w:val="subscript"/>
          <w:lang w:val="en-US" w:eastAsia="zh-CN"/>
        </w:rPr>
        <w:t>50</w:t>
      </w:r>
      <w:r>
        <w:rPr>
          <w:rFonts w:hint="eastAsia" w:ascii="Times New Roman" w:hAnsi="Times New Roman"/>
          <w:color w:val="auto"/>
          <w:sz w:val="24"/>
          <w:szCs w:val="24"/>
        </w:rPr>
        <w:t xml:space="preserve"> (Half Effective Concentration) for green algae (growth inhibition)</w:t>
      </w:r>
      <w:r>
        <w:rPr>
          <w:rFonts w:hint="eastAsia"/>
          <w:color w:val="auto"/>
          <w:sz w:val="24"/>
          <w:szCs w:val="24"/>
          <w:lang w:val="en-US" w:eastAsia="zh-CN"/>
        </w:rPr>
        <w:t xml:space="preserve">, </w:t>
      </w:r>
      <w:r>
        <w:rPr>
          <w:rFonts w:hint="eastAsia" w:ascii="Times New Roman" w:hAnsi="Times New Roman"/>
          <w:color w:val="auto"/>
          <w:sz w:val="24"/>
          <w:szCs w:val="24"/>
        </w:rPr>
        <w:t>48-hour LC</w:t>
      </w:r>
      <w:r>
        <w:rPr>
          <w:rFonts w:hint="eastAsia"/>
          <w:color w:val="auto"/>
          <w:sz w:val="24"/>
          <w:szCs w:val="24"/>
          <w:vertAlign w:val="subscript"/>
          <w:lang w:val="en-US" w:eastAsia="zh-CN"/>
        </w:rPr>
        <w:t>50</w:t>
      </w:r>
      <w:r>
        <w:rPr>
          <w:rFonts w:hint="eastAsia" w:ascii="Times New Roman" w:hAnsi="Times New Roman"/>
          <w:color w:val="auto"/>
          <w:sz w:val="24"/>
          <w:szCs w:val="24"/>
        </w:rPr>
        <w:t xml:space="preserve"> (Half Lethal Concentration) for daphnids</w:t>
      </w:r>
      <w:r>
        <w:rPr>
          <w:rFonts w:hint="eastAsia"/>
          <w:color w:val="auto"/>
          <w:sz w:val="24"/>
          <w:szCs w:val="24"/>
          <w:lang w:val="en-US" w:eastAsia="zh-CN"/>
        </w:rPr>
        <w:t xml:space="preserve"> </w:t>
      </w:r>
      <w:r>
        <w:rPr>
          <w:rFonts w:hint="eastAsia" w:ascii="Times New Roman" w:hAnsi="Times New Roman"/>
          <w:color w:val="auto"/>
          <w:sz w:val="24"/>
          <w:szCs w:val="24"/>
        </w:rPr>
        <w:t>96-hour LC</w:t>
      </w:r>
      <w:r>
        <w:rPr>
          <w:rFonts w:hint="eastAsia"/>
          <w:color w:val="auto"/>
          <w:sz w:val="24"/>
          <w:szCs w:val="24"/>
          <w:vertAlign w:val="subscript"/>
          <w:lang w:val="en-US" w:eastAsia="zh-CN"/>
        </w:rPr>
        <w:t>50</w:t>
      </w:r>
      <w:r>
        <w:rPr>
          <w:rFonts w:hint="eastAsia" w:ascii="Times New Roman" w:hAnsi="Times New Roman"/>
          <w:color w:val="auto"/>
          <w:sz w:val="24"/>
          <w:szCs w:val="24"/>
        </w:rPr>
        <w:t xml:space="preserve"> for fish (units: mg/L)</w:t>
      </w:r>
      <w:r>
        <w:rPr>
          <w:rFonts w:hint="eastAsia"/>
          <w:color w:val="auto"/>
          <w:sz w:val="24"/>
          <w:szCs w:val="24"/>
          <w:lang w:val="en-US" w:eastAsia="zh-CN"/>
        </w:rPr>
        <w:t>.</w:t>
      </w:r>
    </w:p>
    <w:p w14:paraId="564A8072">
      <w:pPr>
        <w:spacing w:line="48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For transformation products with uncertain substituent positions, toxicity levels were estimated by averaging the toxicities of all possible isomeric configurations.</w:t>
      </w:r>
      <w:r>
        <w:rPr>
          <w:rFonts w:hint="eastAsia"/>
          <w:color w:val="auto"/>
          <w:sz w:val="24"/>
          <w:szCs w:val="24"/>
          <w:lang w:val="en-US" w:eastAsia="zh-CN"/>
        </w:rPr>
        <w:t xml:space="preserve"> </w:t>
      </w:r>
      <w:r>
        <w:rPr>
          <w:rFonts w:hint="eastAsia" w:ascii="Times New Roman" w:hAnsi="Times New Roman"/>
          <w:color w:val="auto"/>
          <w:sz w:val="24"/>
          <w:szCs w:val="24"/>
        </w:rPr>
        <w:t>Key Definitions:</w:t>
      </w:r>
      <w:r>
        <w:rPr>
          <w:rFonts w:hint="eastAsia"/>
          <w:color w:val="auto"/>
          <w:sz w:val="24"/>
          <w:szCs w:val="24"/>
          <w:lang w:val="en-US" w:eastAsia="zh-CN"/>
        </w:rPr>
        <w:t xml:space="preserve"> </w:t>
      </w:r>
      <w:r>
        <w:rPr>
          <w:rFonts w:hint="eastAsia" w:ascii="Times New Roman" w:hAnsi="Times New Roman"/>
          <w:color w:val="auto"/>
          <w:sz w:val="24"/>
          <w:szCs w:val="24"/>
        </w:rPr>
        <w:t>LC</w:t>
      </w:r>
      <w:r>
        <w:rPr>
          <w:rFonts w:hint="eastAsia"/>
          <w:color w:val="auto"/>
          <w:sz w:val="24"/>
          <w:szCs w:val="24"/>
          <w:vertAlign w:val="subscript"/>
          <w:lang w:val="en-US" w:eastAsia="zh-CN"/>
        </w:rPr>
        <w:t>50</w:t>
      </w:r>
      <w:r>
        <w:rPr>
          <w:rFonts w:hint="eastAsia" w:ascii="Times New Roman" w:hAnsi="Times New Roman"/>
          <w:color w:val="auto"/>
          <w:sz w:val="24"/>
          <w:szCs w:val="24"/>
        </w:rPr>
        <w:t xml:space="preserve"> (Median Lethal Concentration): The concentration statistically expected to kill 50% of test organisms (units: mg/L).</w:t>
      </w:r>
      <w:r>
        <w:rPr>
          <w:rFonts w:hint="eastAsia"/>
          <w:color w:val="auto"/>
          <w:sz w:val="24"/>
          <w:szCs w:val="24"/>
          <w:lang w:val="en-US" w:eastAsia="zh-CN"/>
        </w:rPr>
        <w:t xml:space="preserve"> </w:t>
      </w:r>
      <w:r>
        <w:rPr>
          <w:rFonts w:hint="eastAsia" w:ascii="Times New Roman" w:hAnsi="Times New Roman"/>
          <w:color w:val="auto"/>
          <w:sz w:val="24"/>
          <w:szCs w:val="24"/>
        </w:rPr>
        <w:t>EC</w:t>
      </w:r>
      <w:r>
        <w:rPr>
          <w:rFonts w:hint="eastAsia"/>
          <w:color w:val="auto"/>
          <w:sz w:val="24"/>
          <w:szCs w:val="24"/>
          <w:vertAlign w:val="subscript"/>
          <w:lang w:val="en-US" w:eastAsia="zh-CN"/>
        </w:rPr>
        <w:t>50</w:t>
      </w:r>
      <w:r>
        <w:rPr>
          <w:rFonts w:hint="eastAsia" w:ascii="Times New Roman" w:hAnsi="Times New Roman"/>
          <w:color w:val="auto"/>
          <w:sz w:val="24"/>
          <w:szCs w:val="24"/>
        </w:rPr>
        <w:t xml:space="preserve"> (Median Effect Concentration): The concentration causing a specific effect (e.g., growth inhibition) in 50% of test organisms (units: mg/L).</w:t>
      </w:r>
      <w:r>
        <w:rPr>
          <w:rFonts w:hint="eastAsia"/>
          <w:color w:val="auto"/>
          <w:sz w:val="24"/>
          <w:szCs w:val="24"/>
          <w:lang w:val="en-US" w:eastAsia="zh-CN"/>
        </w:rPr>
        <w:t xml:space="preserve"> </w:t>
      </w:r>
      <w:r>
        <w:rPr>
          <w:rFonts w:hint="eastAsia" w:ascii="Times New Roman" w:hAnsi="Times New Roman"/>
          <w:color w:val="auto"/>
          <w:sz w:val="24"/>
          <w:szCs w:val="24"/>
        </w:rPr>
        <w:t>ChV (Chronic Value): Represents chronic toxicity, calculated as the geometric mean of the lowest observed effect concentration (LOEC) and no observed effect concentration (NOEC).</w:t>
      </w:r>
    </w:p>
    <w:p w14:paraId="4ADDF8A2">
      <w:pPr>
        <w:keepNext w:val="0"/>
        <w:keepLines w:val="0"/>
        <w:pageBreakBefore w:val="0"/>
        <w:kinsoku/>
        <w:wordWrap/>
        <w:overflowPunct/>
        <w:topLinePunct w:val="0"/>
        <w:autoSpaceDE/>
        <w:autoSpaceDN/>
        <w:bidi w:val="0"/>
        <w:adjustRightInd/>
        <w:snapToGrid/>
        <w:spacing w:line="360" w:lineRule="auto"/>
        <w:ind w:left="482" w:hanging="482" w:hangingChars="200"/>
        <w:textAlignment w:val="auto"/>
        <w:rPr>
          <w:rFonts w:ascii="Times New Roman" w:hAnsi="Times New Roman"/>
          <w:b/>
          <w:color w:val="auto"/>
          <w:sz w:val="24"/>
          <w:szCs w:val="24"/>
        </w:rPr>
      </w:pPr>
    </w:p>
    <w:tbl>
      <w:tblPr>
        <w:tblStyle w:val="3"/>
        <w:tblpPr w:leftFromText="180" w:rightFromText="180" w:vertAnchor="text" w:horzAnchor="page" w:tblpX="1531" w:tblpY="1861"/>
        <w:tblOverlap w:val="never"/>
        <w:tblW w:w="5526" w:type="pct"/>
        <w:tblInd w:w="0" w:type="dxa"/>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82"/>
        <w:gridCol w:w="1293"/>
        <w:gridCol w:w="1303"/>
        <w:gridCol w:w="1134"/>
        <w:gridCol w:w="1369"/>
        <w:gridCol w:w="1369"/>
        <w:gridCol w:w="1469"/>
      </w:tblGrid>
      <w:tr w14:paraId="089D074C">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86" w:type="pct"/>
            <w:vMerge w:val="restart"/>
            <w:tcBorders>
              <w:top w:val="single" w:color="auto" w:sz="12" w:space="0"/>
              <w:left w:val="nil"/>
              <w:bottom w:val="single" w:color="auto" w:sz="4" w:space="0"/>
              <w:right w:val="nil"/>
            </w:tcBorders>
            <w:noWrap/>
          </w:tcPr>
          <w:p w14:paraId="6F6FFE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720" w:lineRule="auto"/>
              <w:ind w:left="0" w:right="0" w:firstLine="0" w:firstLineChars="0"/>
              <w:jc w:val="left"/>
              <w:textAlignment w:val="auto"/>
              <w:rPr>
                <w:rFonts w:hint="default" w:ascii="Times New Roman" w:hAnsi="Times New Roman"/>
                <w:color w:val="auto"/>
                <w:szCs w:val="21"/>
              </w:rPr>
            </w:pPr>
            <w:r>
              <w:rPr>
                <w:rFonts w:hint="default" w:ascii="Times New Roman" w:hAnsi="Times New Roman"/>
                <w:color w:val="auto"/>
                <w:szCs w:val="21"/>
              </w:rPr>
              <w:t>Compound</w:t>
            </w:r>
          </w:p>
        </w:tc>
        <w:tc>
          <w:tcPr>
            <w:tcW w:w="1980" w:type="pct"/>
            <w:gridSpan w:val="3"/>
            <w:tcBorders>
              <w:top w:val="single" w:color="auto" w:sz="12" w:space="0"/>
              <w:left w:val="nil"/>
              <w:bottom w:val="single" w:color="auto" w:sz="4" w:space="0"/>
              <w:right w:val="nil"/>
            </w:tcBorders>
            <w:noWrap/>
          </w:tcPr>
          <w:p w14:paraId="35711B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color w:val="auto"/>
                <w:szCs w:val="21"/>
              </w:rPr>
            </w:pPr>
            <w:r>
              <w:rPr>
                <w:rFonts w:hint="default" w:ascii="Times New Roman" w:hAnsi="Times New Roman"/>
                <w:color w:val="auto"/>
                <w:szCs w:val="21"/>
              </w:rPr>
              <w:t xml:space="preserve">Acute toxicity </w:t>
            </w:r>
            <w:r>
              <w:rPr>
                <w:rFonts w:hint="default" w:ascii="Times New Roman" w:hAnsi="Times New Roman"/>
                <w:color w:val="auto"/>
                <w:szCs w:val="21"/>
                <w:vertAlign w:val="superscript"/>
              </w:rPr>
              <w:t>a</w:t>
            </w:r>
          </w:p>
        </w:tc>
        <w:tc>
          <w:tcPr>
            <w:tcW w:w="2233" w:type="pct"/>
            <w:gridSpan w:val="3"/>
            <w:tcBorders>
              <w:top w:val="single" w:color="auto" w:sz="12" w:space="0"/>
              <w:left w:val="nil"/>
              <w:bottom w:val="single" w:color="auto" w:sz="4" w:space="0"/>
              <w:right w:val="nil"/>
            </w:tcBorders>
            <w:noWrap/>
          </w:tcPr>
          <w:p w14:paraId="67F84D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color w:val="auto"/>
                <w:szCs w:val="21"/>
              </w:rPr>
            </w:pPr>
            <w:bookmarkStart w:id="9" w:name="_Hlk80267384"/>
            <w:r>
              <w:rPr>
                <w:rFonts w:hint="default" w:ascii="Times New Roman" w:hAnsi="Times New Roman"/>
                <w:color w:val="auto"/>
                <w:szCs w:val="21"/>
              </w:rPr>
              <w:t xml:space="preserve">Chronic </w:t>
            </w:r>
            <w:bookmarkEnd w:id="9"/>
            <w:r>
              <w:rPr>
                <w:rFonts w:hint="default" w:ascii="Times New Roman" w:hAnsi="Times New Roman"/>
                <w:color w:val="auto"/>
                <w:szCs w:val="21"/>
              </w:rPr>
              <w:t xml:space="preserve">toxicity </w:t>
            </w:r>
            <w:r>
              <w:rPr>
                <w:rFonts w:hint="default" w:ascii="Times New Roman" w:hAnsi="Times New Roman"/>
                <w:color w:val="auto"/>
                <w:szCs w:val="21"/>
                <w:vertAlign w:val="superscript"/>
              </w:rPr>
              <w:t>a</w:t>
            </w:r>
          </w:p>
        </w:tc>
      </w:tr>
      <w:tr w14:paraId="0C5FCAC2">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86" w:type="pct"/>
            <w:vMerge w:val="continue"/>
            <w:tcBorders>
              <w:top w:val="single" w:color="auto" w:sz="12" w:space="0"/>
              <w:left w:val="nil"/>
              <w:bottom w:val="single" w:color="auto" w:sz="4" w:space="0"/>
              <w:right w:val="nil"/>
            </w:tcBorders>
            <w:vAlign w:val="center"/>
          </w:tcPr>
          <w:p w14:paraId="3FF313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color w:val="auto"/>
                <w:szCs w:val="21"/>
              </w:rPr>
            </w:pPr>
          </w:p>
        </w:tc>
        <w:tc>
          <w:tcPr>
            <w:tcW w:w="686" w:type="pct"/>
            <w:tcBorders>
              <w:top w:val="single" w:color="auto" w:sz="4" w:space="0"/>
              <w:left w:val="nil"/>
              <w:bottom w:val="single" w:color="auto" w:sz="4" w:space="0"/>
              <w:right w:val="nil"/>
            </w:tcBorders>
            <w:noWrap/>
          </w:tcPr>
          <w:p w14:paraId="1F66CF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color w:val="auto"/>
                <w:szCs w:val="21"/>
              </w:rPr>
            </w:pPr>
            <w:r>
              <w:rPr>
                <w:rFonts w:hint="default" w:ascii="Times New Roman" w:hAnsi="Times New Roman"/>
                <w:color w:val="auto"/>
                <w:szCs w:val="21"/>
              </w:rPr>
              <w:t>Fish</w:t>
            </w:r>
          </w:p>
          <w:p w14:paraId="7C7677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color w:val="auto"/>
                <w:szCs w:val="21"/>
              </w:rPr>
            </w:pPr>
            <w:bookmarkStart w:id="10" w:name="OLE_LINK778"/>
            <w:r>
              <w:rPr>
                <w:rFonts w:hint="default" w:ascii="Times New Roman" w:hAnsi="Times New Roman"/>
                <w:color w:val="auto"/>
                <w:szCs w:val="21"/>
              </w:rPr>
              <w:t>(96-h LC</w:t>
            </w:r>
            <w:r>
              <w:rPr>
                <w:rFonts w:hint="default" w:ascii="Times New Roman" w:hAnsi="Times New Roman"/>
                <w:color w:val="auto"/>
                <w:szCs w:val="21"/>
                <w:vertAlign w:val="subscript"/>
              </w:rPr>
              <w:t>50</w:t>
            </w:r>
            <w:r>
              <w:rPr>
                <w:rFonts w:hint="default" w:ascii="Times New Roman" w:hAnsi="Times New Roman"/>
                <w:color w:val="auto"/>
                <w:szCs w:val="21"/>
              </w:rPr>
              <w:t>)</w:t>
            </w:r>
            <w:bookmarkEnd w:id="10"/>
          </w:p>
        </w:tc>
        <w:tc>
          <w:tcPr>
            <w:tcW w:w="691" w:type="pct"/>
            <w:tcBorders>
              <w:top w:val="single" w:color="auto" w:sz="4" w:space="0"/>
              <w:left w:val="nil"/>
              <w:bottom w:val="single" w:color="auto" w:sz="4" w:space="0"/>
              <w:right w:val="nil"/>
            </w:tcBorders>
          </w:tcPr>
          <w:p w14:paraId="09206D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color w:val="auto"/>
                <w:szCs w:val="21"/>
              </w:rPr>
            </w:pPr>
            <w:bookmarkStart w:id="11" w:name="_Hlk67838807"/>
            <w:bookmarkStart w:id="12" w:name="OLE_LINK783"/>
            <w:r>
              <w:rPr>
                <w:rFonts w:hint="default" w:ascii="Times New Roman" w:hAnsi="Times New Roman"/>
                <w:color w:val="auto"/>
                <w:szCs w:val="21"/>
              </w:rPr>
              <w:t>Daphnid</w:t>
            </w:r>
            <w:bookmarkEnd w:id="11"/>
            <w:bookmarkEnd w:id="12"/>
            <w:r>
              <w:rPr>
                <w:rFonts w:hint="default" w:ascii="Times New Roman" w:hAnsi="Times New Roman"/>
                <w:color w:val="auto"/>
                <w:szCs w:val="21"/>
              </w:rPr>
              <w:t xml:space="preserve"> </w:t>
            </w:r>
          </w:p>
          <w:p w14:paraId="20149E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color w:val="auto"/>
                <w:szCs w:val="21"/>
              </w:rPr>
            </w:pPr>
            <w:bookmarkStart w:id="13" w:name="OLE_LINK779"/>
            <w:r>
              <w:rPr>
                <w:rFonts w:hint="default" w:ascii="Times New Roman" w:hAnsi="Times New Roman"/>
                <w:color w:val="auto"/>
                <w:szCs w:val="21"/>
              </w:rPr>
              <w:t>(48-h LC</w:t>
            </w:r>
            <w:r>
              <w:rPr>
                <w:rFonts w:hint="default" w:ascii="Times New Roman" w:hAnsi="Times New Roman"/>
                <w:color w:val="auto"/>
                <w:szCs w:val="21"/>
                <w:vertAlign w:val="subscript"/>
              </w:rPr>
              <w:t>50</w:t>
            </w:r>
            <w:r>
              <w:rPr>
                <w:rFonts w:hint="default" w:ascii="Times New Roman" w:hAnsi="Times New Roman"/>
                <w:color w:val="auto"/>
                <w:szCs w:val="21"/>
              </w:rPr>
              <w:t>)</w:t>
            </w:r>
            <w:bookmarkEnd w:id="13"/>
          </w:p>
        </w:tc>
        <w:tc>
          <w:tcPr>
            <w:tcW w:w="601" w:type="pct"/>
            <w:tcBorders>
              <w:top w:val="single" w:color="auto" w:sz="4" w:space="0"/>
              <w:left w:val="nil"/>
              <w:bottom w:val="single" w:color="auto" w:sz="4" w:space="0"/>
              <w:right w:val="nil"/>
            </w:tcBorders>
          </w:tcPr>
          <w:p w14:paraId="4B47A0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color w:val="auto"/>
                <w:szCs w:val="21"/>
              </w:rPr>
            </w:pPr>
            <w:bookmarkStart w:id="14" w:name="_Hlk513641125"/>
            <w:r>
              <w:rPr>
                <w:rFonts w:hint="default" w:ascii="Times New Roman" w:hAnsi="Times New Roman"/>
                <w:color w:val="auto"/>
                <w:szCs w:val="21"/>
              </w:rPr>
              <w:t>Green algae</w:t>
            </w:r>
            <w:bookmarkEnd w:id="14"/>
          </w:p>
          <w:p w14:paraId="3248BC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color w:val="auto"/>
                <w:szCs w:val="21"/>
              </w:rPr>
            </w:pPr>
            <w:bookmarkStart w:id="15" w:name="OLE_LINK780"/>
            <w:r>
              <w:rPr>
                <w:rFonts w:hint="default" w:ascii="Times New Roman" w:hAnsi="Times New Roman"/>
                <w:color w:val="auto"/>
                <w:szCs w:val="21"/>
              </w:rPr>
              <w:t>(96-h EC</w:t>
            </w:r>
            <w:r>
              <w:rPr>
                <w:rFonts w:hint="default" w:ascii="Times New Roman" w:hAnsi="Times New Roman"/>
                <w:color w:val="auto"/>
                <w:szCs w:val="21"/>
                <w:vertAlign w:val="subscript"/>
              </w:rPr>
              <w:t>50</w:t>
            </w:r>
            <w:r>
              <w:rPr>
                <w:rFonts w:hint="default" w:ascii="Times New Roman" w:hAnsi="Times New Roman"/>
                <w:color w:val="auto"/>
                <w:szCs w:val="21"/>
              </w:rPr>
              <w:t>)</w:t>
            </w:r>
            <w:bookmarkEnd w:id="15"/>
          </w:p>
        </w:tc>
        <w:tc>
          <w:tcPr>
            <w:tcW w:w="726" w:type="pct"/>
            <w:tcBorders>
              <w:top w:val="single" w:color="auto" w:sz="4" w:space="0"/>
              <w:left w:val="nil"/>
              <w:bottom w:val="single" w:color="auto" w:sz="4" w:space="0"/>
              <w:right w:val="nil"/>
            </w:tcBorders>
            <w:noWrap/>
          </w:tcPr>
          <w:p w14:paraId="4E34D7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color w:val="auto"/>
                <w:szCs w:val="21"/>
              </w:rPr>
            </w:pPr>
            <w:r>
              <w:rPr>
                <w:rFonts w:hint="default" w:ascii="Times New Roman" w:hAnsi="Times New Roman"/>
                <w:color w:val="auto"/>
                <w:szCs w:val="21"/>
              </w:rPr>
              <w:t>Fish</w:t>
            </w:r>
          </w:p>
          <w:p w14:paraId="17D2D4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color w:val="auto"/>
                <w:szCs w:val="21"/>
              </w:rPr>
            </w:pPr>
            <w:bookmarkStart w:id="16" w:name="OLE_LINK781"/>
            <w:bookmarkStart w:id="17" w:name="OLE_LINK782"/>
            <w:r>
              <w:rPr>
                <w:rFonts w:hint="default" w:ascii="Times New Roman" w:hAnsi="Times New Roman"/>
                <w:color w:val="auto"/>
                <w:szCs w:val="21"/>
              </w:rPr>
              <w:t>(ChV)</w:t>
            </w:r>
            <w:bookmarkEnd w:id="16"/>
            <w:bookmarkEnd w:id="17"/>
          </w:p>
        </w:tc>
        <w:tc>
          <w:tcPr>
            <w:tcW w:w="726" w:type="pct"/>
            <w:tcBorders>
              <w:top w:val="single" w:color="auto" w:sz="4" w:space="0"/>
              <w:left w:val="nil"/>
              <w:bottom w:val="single" w:color="auto" w:sz="4" w:space="0"/>
              <w:right w:val="nil"/>
            </w:tcBorders>
            <w:noWrap/>
          </w:tcPr>
          <w:p w14:paraId="607071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color w:val="auto"/>
                <w:szCs w:val="21"/>
              </w:rPr>
            </w:pPr>
            <w:r>
              <w:rPr>
                <w:rFonts w:hint="default" w:ascii="Times New Roman" w:hAnsi="Times New Roman"/>
                <w:color w:val="auto"/>
                <w:szCs w:val="21"/>
              </w:rPr>
              <w:t>Daphnid</w:t>
            </w:r>
          </w:p>
          <w:p w14:paraId="4D6E97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color w:val="auto"/>
                <w:szCs w:val="21"/>
              </w:rPr>
            </w:pPr>
            <w:r>
              <w:rPr>
                <w:rFonts w:hint="default" w:ascii="Times New Roman" w:hAnsi="Times New Roman"/>
                <w:color w:val="auto"/>
                <w:szCs w:val="21"/>
              </w:rPr>
              <w:t>(ChV)</w:t>
            </w:r>
          </w:p>
        </w:tc>
        <w:tc>
          <w:tcPr>
            <w:tcW w:w="779" w:type="pct"/>
            <w:tcBorders>
              <w:top w:val="single" w:color="auto" w:sz="4" w:space="0"/>
              <w:left w:val="nil"/>
              <w:bottom w:val="single" w:color="auto" w:sz="4" w:space="0"/>
              <w:right w:val="nil"/>
            </w:tcBorders>
            <w:noWrap/>
          </w:tcPr>
          <w:p w14:paraId="50B4CF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color w:val="auto"/>
                <w:szCs w:val="21"/>
              </w:rPr>
            </w:pPr>
            <w:bookmarkStart w:id="18" w:name="OLE_LINK784"/>
            <w:r>
              <w:rPr>
                <w:rFonts w:hint="default" w:ascii="Times New Roman" w:hAnsi="Times New Roman"/>
                <w:color w:val="auto"/>
                <w:szCs w:val="21"/>
              </w:rPr>
              <w:t>Green algae</w:t>
            </w:r>
          </w:p>
          <w:bookmarkEnd w:id="18"/>
          <w:p w14:paraId="14A68F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color w:val="auto"/>
                <w:szCs w:val="21"/>
              </w:rPr>
            </w:pPr>
            <w:r>
              <w:rPr>
                <w:rFonts w:hint="default" w:ascii="Times New Roman" w:hAnsi="Times New Roman"/>
                <w:color w:val="auto"/>
                <w:szCs w:val="21"/>
              </w:rPr>
              <w:t>(ChV)</w:t>
            </w:r>
          </w:p>
        </w:tc>
      </w:tr>
      <w:tr w14:paraId="771D0EA7">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86" w:type="pct"/>
            <w:tcBorders>
              <w:top w:val="single" w:color="auto" w:sz="4" w:space="0"/>
              <w:left w:val="nil"/>
              <w:bottom w:val="nil"/>
              <w:right w:val="nil"/>
            </w:tcBorders>
          </w:tcPr>
          <w:p w14:paraId="6135D3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eastAsia="宋体"/>
                <w:color w:val="auto"/>
                <w:szCs w:val="21"/>
                <w:lang w:val="en-US" w:eastAsia="zh-CN"/>
              </w:rPr>
            </w:pPr>
            <w:bookmarkStart w:id="19" w:name="_Hlk166694610"/>
            <w:r>
              <w:rPr>
                <w:rFonts w:hint="eastAsia"/>
                <w:color w:val="auto"/>
                <w:szCs w:val="21"/>
                <w:lang w:val="en-US" w:eastAsia="zh-CN"/>
              </w:rPr>
              <w:t>DCF</w:t>
            </w:r>
          </w:p>
        </w:tc>
        <w:tc>
          <w:tcPr>
            <w:tcW w:w="686" w:type="pct"/>
            <w:tcBorders>
              <w:top w:val="single" w:color="auto" w:sz="4" w:space="0"/>
              <w:left w:val="nil"/>
              <w:bottom w:val="nil"/>
              <w:right w:val="nil"/>
            </w:tcBorders>
          </w:tcPr>
          <w:p w14:paraId="615371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37.65</w:t>
            </w:r>
          </w:p>
        </w:tc>
        <w:tc>
          <w:tcPr>
            <w:tcW w:w="691" w:type="pct"/>
            <w:tcBorders>
              <w:top w:val="single" w:color="auto" w:sz="4" w:space="0"/>
              <w:left w:val="nil"/>
              <w:bottom w:val="nil"/>
              <w:right w:val="nil"/>
            </w:tcBorders>
          </w:tcPr>
          <w:p w14:paraId="058269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25.75</w:t>
            </w:r>
          </w:p>
        </w:tc>
        <w:tc>
          <w:tcPr>
            <w:tcW w:w="601" w:type="pct"/>
            <w:tcBorders>
              <w:top w:val="single" w:color="auto" w:sz="4" w:space="0"/>
              <w:left w:val="nil"/>
              <w:bottom w:val="nil"/>
              <w:right w:val="nil"/>
            </w:tcBorders>
          </w:tcPr>
          <w:p w14:paraId="36C22E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41.41</w:t>
            </w:r>
          </w:p>
        </w:tc>
        <w:tc>
          <w:tcPr>
            <w:tcW w:w="726" w:type="pct"/>
            <w:tcBorders>
              <w:top w:val="single" w:color="auto" w:sz="4" w:space="0"/>
              <w:left w:val="nil"/>
              <w:bottom w:val="nil"/>
              <w:right w:val="nil"/>
            </w:tcBorders>
          </w:tcPr>
          <w:p w14:paraId="78BD0E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4.58</w:t>
            </w:r>
          </w:p>
        </w:tc>
        <w:tc>
          <w:tcPr>
            <w:tcW w:w="726" w:type="pct"/>
            <w:tcBorders>
              <w:top w:val="single" w:color="auto" w:sz="4" w:space="0"/>
              <w:left w:val="nil"/>
              <w:bottom w:val="nil"/>
              <w:right w:val="nil"/>
            </w:tcBorders>
          </w:tcPr>
          <w:p w14:paraId="4C54E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4.21</w:t>
            </w:r>
          </w:p>
        </w:tc>
        <w:tc>
          <w:tcPr>
            <w:tcW w:w="779" w:type="pct"/>
            <w:tcBorders>
              <w:top w:val="single" w:color="auto" w:sz="4" w:space="0"/>
              <w:left w:val="nil"/>
              <w:bottom w:val="nil"/>
              <w:right w:val="nil"/>
            </w:tcBorders>
          </w:tcPr>
          <w:p w14:paraId="57161A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16.41</w:t>
            </w:r>
          </w:p>
        </w:tc>
      </w:tr>
      <w:tr w14:paraId="6150CD40">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786" w:type="pct"/>
            <w:tcBorders>
              <w:top w:val="nil"/>
              <w:left w:val="nil"/>
              <w:bottom w:val="nil"/>
              <w:right w:val="nil"/>
            </w:tcBorders>
          </w:tcPr>
          <w:p w14:paraId="7F52A0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color w:val="auto"/>
                <w:szCs w:val="21"/>
                <w:lang w:eastAsia="zh-CN"/>
              </w:rPr>
            </w:pPr>
            <w:r>
              <w:rPr>
                <w:rFonts w:hint="default" w:ascii="Times New Roman" w:hAnsi="Times New Roman"/>
                <w:color w:val="auto"/>
                <w:szCs w:val="21"/>
              </w:rPr>
              <w:t>P</w:t>
            </w:r>
            <w:r>
              <w:rPr>
                <w:rFonts w:hint="eastAsia"/>
                <w:color w:val="auto"/>
                <w:szCs w:val="21"/>
                <w:lang w:val="en-US" w:eastAsia="zh-CN"/>
              </w:rPr>
              <w:t>1</w:t>
            </w:r>
          </w:p>
        </w:tc>
        <w:tc>
          <w:tcPr>
            <w:tcW w:w="686" w:type="pct"/>
            <w:tcBorders>
              <w:top w:val="nil"/>
              <w:left w:val="nil"/>
              <w:bottom w:val="nil"/>
              <w:right w:val="nil"/>
            </w:tcBorders>
          </w:tcPr>
          <w:p w14:paraId="5A628B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126.17</w:t>
            </w:r>
          </w:p>
        </w:tc>
        <w:tc>
          <w:tcPr>
            <w:tcW w:w="691" w:type="pct"/>
            <w:tcBorders>
              <w:top w:val="nil"/>
              <w:left w:val="nil"/>
              <w:bottom w:val="nil"/>
              <w:right w:val="nil"/>
            </w:tcBorders>
          </w:tcPr>
          <w:p w14:paraId="72F41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eastAsia="zh-CN"/>
              </w:rPr>
            </w:pPr>
            <w:r>
              <w:rPr>
                <w:rFonts w:hint="eastAsia"/>
                <w:color w:val="auto"/>
              </w:rPr>
              <w:t>81.3</w:t>
            </w:r>
            <w:r>
              <w:rPr>
                <w:rFonts w:hint="eastAsia"/>
                <w:color w:val="auto"/>
                <w:lang w:val="en-US" w:eastAsia="zh-CN"/>
              </w:rPr>
              <w:t>1</w:t>
            </w:r>
          </w:p>
        </w:tc>
        <w:tc>
          <w:tcPr>
            <w:tcW w:w="601" w:type="pct"/>
            <w:tcBorders>
              <w:top w:val="nil"/>
              <w:left w:val="nil"/>
              <w:bottom w:val="nil"/>
              <w:right w:val="nil"/>
            </w:tcBorders>
          </w:tcPr>
          <w:p w14:paraId="185742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eastAsia="zh-CN"/>
              </w:rPr>
            </w:pPr>
            <w:r>
              <w:rPr>
                <w:rFonts w:hint="eastAsia"/>
                <w:color w:val="auto"/>
              </w:rPr>
              <w:t>102.2</w:t>
            </w:r>
            <w:r>
              <w:rPr>
                <w:rFonts w:hint="eastAsia"/>
                <w:color w:val="auto"/>
                <w:lang w:val="en-US" w:eastAsia="zh-CN"/>
              </w:rPr>
              <w:t>3</w:t>
            </w:r>
          </w:p>
        </w:tc>
        <w:tc>
          <w:tcPr>
            <w:tcW w:w="726" w:type="pct"/>
            <w:tcBorders>
              <w:top w:val="nil"/>
              <w:left w:val="nil"/>
              <w:bottom w:val="nil"/>
              <w:right w:val="nil"/>
            </w:tcBorders>
          </w:tcPr>
          <w:p w14:paraId="4E9FEE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val="en-US" w:eastAsia="zh-CN"/>
              </w:rPr>
            </w:pPr>
            <w:r>
              <w:rPr>
                <w:rFonts w:hint="eastAsia"/>
                <w:color w:val="auto"/>
              </w:rPr>
              <w:t>14.3</w:t>
            </w:r>
            <w:r>
              <w:rPr>
                <w:rFonts w:hint="eastAsia"/>
                <w:color w:val="auto"/>
                <w:lang w:val="en-US" w:eastAsia="zh-CN"/>
              </w:rPr>
              <w:t>2</w:t>
            </w:r>
          </w:p>
        </w:tc>
        <w:tc>
          <w:tcPr>
            <w:tcW w:w="726" w:type="pct"/>
            <w:tcBorders>
              <w:top w:val="nil"/>
              <w:left w:val="nil"/>
              <w:bottom w:val="nil"/>
              <w:right w:val="nil"/>
            </w:tcBorders>
          </w:tcPr>
          <w:p w14:paraId="6D5586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11.2</w:t>
            </w:r>
            <w:r>
              <w:rPr>
                <w:rFonts w:hint="eastAsia"/>
                <w:color w:val="auto"/>
                <w:lang w:val="en-US" w:eastAsia="zh-CN"/>
              </w:rPr>
              <w:t>8</w:t>
            </w:r>
          </w:p>
        </w:tc>
        <w:tc>
          <w:tcPr>
            <w:tcW w:w="779" w:type="pct"/>
            <w:tcBorders>
              <w:top w:val="nil"/>
              <w:left w:val="nil"/>
              <w:bottom w:val="nil"/>
              <w:right w:val="nil"/>
            </w:tcBorders>
          </w:tcPr>
          <w:p w14:paraId="7916E4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35.49</w:t>
            </w:r>
          </w:p>
        </w:tc>
      </w:tr>
      <w:tr w14:paraId="1C2D89ED">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86" w:type="pct"/>
            <w:tcBorders>
              <w:top w:val="nil"/>
              <w:left w:val="nil"/>
              <w:bottom w:val="nil"/>
              <w:right w:val="nil"/>
            </w:tcBorders>
          </w:tcPr>
          <w:p w14:paraId="1C3BB0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color w:val="auto"/>
                <w:szCs w:val="21"/>
                <w:lang w:eastAsia="zh-CN"/>
              </w:rPr>
            </w:pPr>
            <w:r>
              <w:rPr>
                <w:rFonts w:hint="default" w:ascii="Times New Roman" w:hAnsi="Times New Roman"/>
                <w:color w:val="auto"/>
                <w:szCs w:val="21"/>
              </w:rPr>
              <w:t>P</w:t>
            </w:r>
            <w:r>
              <w:rPr>
                <w:rFonts w:hint="eastAsia"/>
                <w:color w:val="auto"/>
                <w:szCs w:val="21"/>
                <w:lang w:val="en-US" w:eastAsia="zh-CN"/>
              </w:rPr>
              <w:t>2</w:t>
            </w:r>
          </w:p>
        </w:tc>
        <w:tc>
          <w:tcPr>
            <w:tcW w:w="686" w:type="pct"/>
            <w:tcBorders>
              <w:top w:val="nil"/>
              <w:left w:val="nil"/>
              <w:bottom w:val="nil"/>
              <w:right w:val="nil"/>
            </w:tcBorders>
          </w:tcPr>
          <w:p w14:paraId="5E66B9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eastAsia="zh-CN"/>
              </w:rPr>
            </w:pPr>
            <w:r>
              <w:rPr>
                <w:rFonts w:hint="eastAsia"/>
                <w:color w:val="auto"/>
              </w:rPr>
              <w:t>415.4</w:t>
            </w:r>
            <w:r>
              <w:rPr>
                <w:rFonts w:hint="eastAsia"/>
                <w:color w:val="auto"/>
                <w:lang w:val="en-US" w:eastAsia="zh-CN"/>
              </w:rPr>
              <w:t>2</w:t>
            </w:r>
          </w:p>
        </w:tc>
        <w:tc>
          <w:tcPr>
            <w:tcW w:w="691" w:type="pct"/>
            <w:tcBorders>
              <w:top w:val="nil"/>
              <w:left w:val="nil"/>
              <w:bottom w:val="nil"/>
              <w:right w:val="nil"/>
            </w:tcBorders>
          </w:tcPr>
          <w:p w14:paraId="5C05E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eastAsia="zh-CN"/>
              </w:rPr>
            </w:pPr>
            <w:r>
              <w:rPr>
                <w:rFonts w:hint="eastAsia"/>
                <w:color w:val="auto"/>
              </w:rPr>
              <w:t>252.2</w:t>
            </w:r>
            <w:r>
              <w:rPr>
                <w:rFonts w:hint="eastAsia"/>
                <w:color w:val="auto"/>
                <w:lang w:val="en-US" w:eastAsia="zh-CN"/>
              </w:rPr>
              <w:t>5</w:t>
            </w:r>
          </w:p>
        </w:tc>
        <w:tc>
          <w:tcPr>
            <w:tcW w:w="601" w:type="pct"/>
            <w:tcBorders>
              <w:top w:val="nil"/>
              <w:left w:val="nil"/>
              <w:bottom w:val="nil"/>
              <w:right w:val="nil"/>
            </w:tcBorders>
          </w:tcPr>
          <w:p w14:paraId="44CA33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eastAsia="zh-CN"/>
              </w:rPr>
            </w:pPr>
            <w:r>
              <w:rPr>
                <w:rFonts w:hint="eastAsia"/>
                <w:color w:val="auto"/>
              </w:rPr>
              <w:t>247.9</w:t>
            </w:r>
            <w:r>
              <w:rPr>
                <w:rFonts w:hint="eastAsia"/>
                <w:color w:val="auto"/>
                <w:lang w:val="en-US" w:eastAsia="zh-CN"/>
              </w:rPr>
              <w:t>8</w:t>
            </w:r>
          </w:p>
        </w:tc>
        <w:tc>
          <w:tcPr>
            <w:tcW w:w="726" w:type="pct"/>
            <w:tcBorders>
              <w:top w:val="nil"/>
              <w:left w:val="nil"/>
              <w:bottom w:val="nil"/>
              <w:right w:val="nil"/>
            </w:tcBorders>
          </w:tcPr>
          <w:p w14:paraId="000A02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eastAsia="zh-CN"/>
              </w:rPr>
            </w:pPr>
            <w:r>
              <w:rPr>
                <w:rFonts w:hint="eastAsia"/>
                <w:color w:val="auto"/>
              </w:rPr>
              <w:t>43.9</w:t>
            </w:r>
            <w:r>
              <w:rPr>
                <w:rFonts w:hint="eastAsia"/>
                <w:color w:val="auto"/>
                <w:lang w:val="en-US" w:eastAsia="zh-CN"/>
              </w:rPr>
              <w:t>5</w:t>
            </w:r>
          </w:p>
        </w:tc>
        <w:tc>
          <w:tcPr>
            <w:tcW w:w="726" w:type="pct"/>
            <w:tcBorders>
              <w:top w:val="nil"/>
              <w:left w:val="nil"/>
              <w:bottom w:val="nil"/>
              <w:right w:val="nil"/>
            </w:tcBorders>
          </w:tcPr>
          <w:p w14:paraId="5CB095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29.6</w:t>
            </w:r>
            <w:r>
              <w:rPr>
                <w:rFonts w:hint="eastAsia"/>
                <w:color w:val="auto"/>
                <w:lang w:val="en-US" w:eastAsia="zh-CN"/>
              </w:rPr>
              <w:t>5</w:t>
            </w:r>
          </w:p>
        </w:tc>
        <w:tc>
          <w:tcPr>
            <w:tcW w:w="779" w:type="pct"/>
            <w:tcBorders>
              <w:top w:val="nil"/>
              <w:left w:val="nil"/>
              <w:bottom w:val="nil"/>
              <w:right w:val="nil"/>
            </w:tcBorders>
          </w:tcPr>
          <w:p w14:paraId="14E8D6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eastAsia="zh-CN"/>
              </w:rPr>
            </w:pPr>
            <w:r>
              <w:rPr>
                <w:rFonts w:hint="eastAsia"/>
                <w:color w:val="auto"/>
              </w:rPr>
              <w:t>75.4</w:t>
            </w:r>
            <w:r>
              <w:rPr>
                <w:rFonts w:hint="eastAsia"/>
                <w:color w:val="auto"/>
                <w:lang w:val="en-US" w:eastAsia="zh-CN"/>
              </w:rPr>
              <w:t>1</w:t>
            </w:r>
          </w:p>
        </w:tc>
      </w:tr>
      <w:tr w14:paraId="7F797FB2">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786" w:type="pct"/>
            <w:tcBorders>
              <w:top w:val="nil"/>
              <w:left w:val="nil"/>
              <w:bottom w:val="nil"/>
              <w:right w:val="nil"/>
            </w:tcBorders>
          </w:tcPr>
          <w:p w14:paraId="0BA001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color w:val="auto"/>
                <w:szCs w:val="21"/>
              </w:rPr>
            </w:pPr>
            <w:r>
              <w:rPr>
                <w:rFonts w:hint="default" w:ascii="Times New Roman" w:hAnsi="Times New Roman"/>
                <w:color w:val="auto"/>
                <w:szCs w:val="21"/>
              </w:rPr>
              <w:t>P3</w:t>
            </w:r>
          </w:p>
        </w:tc>
        <w:tc>
          <w:tcPr>
            <w:tcW w:w="686" w:type="pct"/>
            <w:tcBorders>
              <w:top w:val="nil"/>
              <w:left w:val="nil"/>
              <w:bottom w:val="nil"/>
              <w:right w:val="nil"/>
            </w:tcBorders>
          </w:tcPr>
          <w:p w14:paraId="6A772F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736.39</w:t>
            </w:r>
          </w:p>
        </w:tc>
        <w:tc>
          <w:tcPr>
            <w:tcW w:w="691" w:type="pct"/>
            <w:tcBorders>
              <w:top w:val="nil"/>
              <w:left w:val="nil"/>
              <w:bottom w:val="nil"/>
              <w:right w:val="nil"/>
            </w:tcBorders>
          </w:tcPr>
          <w:p w14:paraId="4875E9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10608.0</w:t>
            </w:r>
            <w:r>
              <w:rPr>
                <w:rFonts w:hint="eastAsia"/>
                <w:color w:val="auto"/>
                <w:lang w:val="en-US" w:eastAsia="zh-CN"/>
              </w:rPr>
              <w:t>1</w:t>
            </w:r>
          </w:p>
        </w:tc>
        <w:tc>
          <w:tcPr>
            <w:tcW w:w="601" w:type="pct"/>
            <w:tcBorders>
              <w:top w:val="nil"/>
              <w:left w:val="nil"/>
              <w:bottom w:val="nil"/>
              <w:right w:val="nil"/>
            </w:tcBorders>
          </w:tcPr>
          <w:p w14:paraId="1BEEA0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eastAsia="zh-CN"/>
              </w:rPr>
            </w:pPr>
            <w:r>
              <w:rPr>
                <w:rFonts w:hint="eastAsia"/>
                <w:color w:val="auto"/>
              </w:rPr>
              <w:t>116.1</w:t>
            </w:r>
            <w:r>
              <w:rPr>
                <w:rFonts w:hint="eastAsia"/>
                <w:color w:val="auto"/>
                <w:lang w:val="en-US" w:eastAsia="zh-CN"/>
              </w:rPr>
              <w:t>1</w:t>
            </w:r>
          </w:p>
        </w:tc>
        <w:tc>
          <w:tcPr>
            <w:tcW w:w="726" w:type="pct"/>
            <w:tcBorders>
              <w:top w:val="nil"/>
              <w:left w:val="nil"/>
              <w:bottom w:val="nil"/>
              <w:right w:val="nil"/>
            </w:tcBorders>
          </w:tcPr>
          <w:p w14:paraId="7CF0C5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511.77</w:t>
            </w:r>
          </w:p>
        </w:tc>
        <w:tc>
          <w:tcPr>
            <w:tcW w:w="726" w:type="pct"/>
            <w:tcBorders>
              <w:top w:val="nil"/>
              <w:left w:val="nil"/>
              <w:bottom w:val="nil"/>
              <w:right w:val="nil"/>
            </w:tcBorders>
          </w:tcPr>
          <w:p w14:paraId="518032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eastAsia="zh-CN"/>
              </w:rPr>
            </w:pPr>
            <w:r>
              <w:rPr>
                <w:rFonts w:hint="eastAsia"/>
                <w:color w:val="auto"/>
              </w:rPr>
              <w:t>4353.3</w:t>
            </w:r>
            <w:r>
              <w:rPr>
                <w:rFonts w:hint="eastAsia"/>
                <w:color w:val="auto"/>
                <w:lang w:val="en-US" w:eastAsia="zh-CN"/>
              </w:rPr>
              <w:t>7</w:t>
            </w:r>
          </w:p>
        </w:tc>
        <w:tc>
          <w:tcPr>
            <w:tcW w:w="779" w:type="pct"/>
            <w:tcBorders>
              <w:top w:val="nil"/>
              <w:left w:val="nil"/>
              <w:bottom w:val="nil"/>
              <w:right w:val="nil"/>
            </w:tcBorders>
          </w:tcPr>
          <w:p w14:paraId="6F553B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eastAsia="zh-CN"/>
              </w:rPr>
            </w:pPr>
            <w:r>
              <w:rPr>
                <w:rFonts w:hint="eastAsia"/>
                <w:color w:val="auto"/>
              </w:rPr>
              <w:t>12.3</w:t>
            </w:r>
            <w:r>
              <w:rPr>
                <w:rFonts w:hint="eastAsia"/>
                <w:color w:val="auto"/>
                <w:lang w:val="en-US" w:eastAsia="zh-CN"/>
              </w:rPr>
              <w:t>9</w:t>
            </w:r>
          </w:p>
        </w:tc>
      </w:tr>
      <w:tr w14:paraId="2EE49E41">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786" w:type="pct"/>
            <w:tcBorders>
              <w:top w:val="nil"/>
              <w:left w:val="nil"/>
              <w:bottom w:val="nil"/>
              <w:right w:val="nil"/>
            </w:tcBorders>
          </w:tcPr>
          <w:p w14:paraId="0831F5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color w:val="auto"/>
                <w:szCs w:val="21"/>
                <w:lang w:eastAsia="zh-CN"/>
              </w:rPr>
            </w:pPr>
            <w:bookmarkStart w:id="20" w:name="_Hlk144322471"/>
            <w:r>
              <w:rPr>
                <w:rFonts w:hint="default" w:ascii="Times New Roman" w:hAnsi="Times New Roman"/>
                <w:color w:val="auto"/>
                <w:szCs w:val="21"/>
              </w:rPr>
              <w:t>P</w:t>
            </w:r>
            <w:r>
              <w:rPr>
                <w:rFonts w:hint="eastAsia"/>
                <w:color w:val="auto"/>
                <w:szCs w:val="21"/>
                <w:lang w:val="en-US" w:eastAsia="zh-CN"/>
              </w:rPr>
              <w:t>4</w:t>
            </w:r>
          </w:p>
        </w:tc>
        <w:tc>
          <w:tcPr>
            <w:tcW w:w="686" w:type="pct"/>
            <w:tcBorders>
              <w:top w:val="nil"/>
              <w:left w:val="nil"/>
              <w:bottom w:val="nil"/>
              <w:right w:val="nil"/>
            </w:tcBorders>
          </w:tcPr>
          <w:p w14:paraId="7ED1B2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1096.47</w:t>
            </w:r>
          </w:p>
        </w:tc>
        <w:tc>
          <w:tcPr>
            <w:tcW w:w="691" w:type="pct"/>
            <w:tcBorders>
              <w:top w:val="nil"/>
              <w:left w:val="nil"/>
              <w:bottom w:val="nil"/>
              <w:right w:val="nil"/>
            </w:tcBorders>
          </w:tcPr>
          <w:p w14:paraId="01B7E7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eastAsia="zh-CN"/>
              </w:rPr>
            </w:pPr>
            <w:r>
              <w:rPr>
                <w:rFonts w:hint="eastAsia"/>
                <w:color w:val="auto"/>
              </w:rPr>
              <w:t>295.3</w:t>
            </w:r>
            <w:r>
              <w:rPr>
                <w:rFonts w:hint="eastAsia"/>
                <w:color w:val="auto"/>
                <w:lang w:val="en-US" w:eastAsia="zh-CN"/>
              </w:rPr>
              <w:t>5</w:t>
            </w:r>
          </w:p>
        </w:tc>
        <w:tc>
          <w:tcPr>
            <w:tcW w:w="601" w:type="pct"/>
            <w:tcBorders>
              <w:top w:val="nil"/>
              <w:left w:val="nil"/>
              <w:bottom w:val="nil"/>
              <w:right w:val="nil"/>
            </w:tcBorders>
          </w:tcPr>
          <w:p w14:paraId="7BF769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eastAsia="zh-CN"/>
              </w:rPr>
            </w:pPr>
            <w:r>
              <w:rPr>
                <w:rFonts w:hint="eastAsia"/>
                <w:color w:val="auto"/>
              </w:rPr>
              <w:t>92.7</w:t>
            </w:r>
            <w:r>
              <w:rPr>
                <w:rFonts w:hint="eastAsia"/>
                <w:color w:val="auto"/>
                <w:lang w:val="en-US" w:eastAsia="zh-CN"/>
              </w:rPr>
              <w:t>6</w:t>
            </w:r>
          </w:p>
        </w:tc>
        <w:tc>
          <w:tcPr>
            <w:tcW w:w="726" w:type="pct"/>
            <w:tcBorders>
              <w:top w:val="nil"/>
              <w:left w:val="nil"/>
              <w:bottom w:val="nil"/>
              <w:right w:val="nil"/>
            </w:tcBorders>
          </w:tcPr>
          <w:p w14:paraId="49F79A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eastAsia="zh-CN"/>
              </w:rPr>
            </w:pPr>
            <w:r>
              <w:rPr>
                <w:rFonts w:hint="eastAsia"/>
                <w:color w:val="auto"/>
              </w:rPr>
              <w:t>97.5</w:t>
            </w:r>
            <w:r>
              <w:rPr>
                <w:rFonts w:hint="eastAsia"/>
                <w:color w:val="auto"/>
                <w:lang w:val="en-US" w:eastAsia="zh-CN"/>
              </w:rPr>
              <w:t>7</w:t>
            </w:r>
          </w:p>
        </w:tc>
        <w:tc>
          <w:tcPr>
            <w:tcW w:w="726" w:type="pct"/>
            <w:tcBorders>
              <w:top w:val="nil"/>
              <w:left w:val="nil"/>
              <w:bottom w:val="nil"/>
              <w:right w:val="nil"/>
            </w:tcBorders>
            <w:noWrap/>
          </w:tcPr>
          <w:p w14:paraId="21E399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eastAsia="zh-CN"/>
              </w:rPr>
            </w:pPr>
            <w:r>
              <w:rPr>
                <w:rFonts w:hint="eastAsia"/>
                <w:color w:val="auto"/>
              </w:rPr>
              <w:t>26.9</w:t>
            </w:r>
            <w:r>
              <w:rPr>
                <w:rFonts w:hint="eastAsia"/>
                <w:color w:val="auto"/>
                <w:lang w:val="en-US" w:eastAsia="zh-CN"/>
              </w:rPr>
              <w:t>1</w:t>
            </w:r>
          </w:p>
        </w:tc>
        <w:tc>
          <w:tcPr>
            <w:tcW w:w="779" w:type="pct"/>
            <w:tcBorders>
              <w:top w:val="nil"/>
              <w:left w:val="nil"/>
              <w:bottom w:val="nil"/>
              <w:right w:val="nil"/>
            </w:tcBorders>
            <w:noWrap/>
          </w:tcPr>
          <w:p w14:paraId="36F41C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153.28</w:t>
            </w:r>
          </w:p>
        </w:tc>
      </w:tr>
      <w:tr w14:paraId="07C74477">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786" w:type="pct"/>
            <w:tcBorders>
              <w:top w:val="nil"/>
              <w:left w:val="nil"/>
              <w:bottom w:val="nil"/>
              <w:right w:val="nil"/>
            </w:tcBorders>
          </w:tcPr>
          <w:p w14:paraId="4A2007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color w:val="auto"/>
                <w:szCs w:val="21"/>
                <w:lang w:eastAsia="zh-CN"/>
              </w:rPr>
            </w:pPr>
            <w:bookmarkStart w:id="21" w:name="_Hlk70020297"/>
            <w:r>
              <w:rPr>
                <w:rFonts w:hint="default" w:ascii="Times New Roman" w:hAnsi="Times New Roman"/>
                <w:color w:val="auto"/>
                <w:szCs w:val="21"/>
              </w:rPr>
              <w:t>P</w:t>
            </w:r>
            <w:r>
              <w:rPr>
                <w:rFonts w:hint="eastAsia"/>
                <w:color w:val="auto"/>
                <w:szCs w:val="21"/>
                <w:lang w:val="en-US" w:eastAsia="zh-CN"/>
              </w:rPr>
              <w:t>5</w:t>
            </w:r>
          </w:p>
        </w:tc>
        <w:tc>
          <w:tcPr>
            <w:tcW w:w="686" w:type="pct"/>
            <w:tcBorders>
              <w:top w:val="nil"/>
              <w:left w:val="nil"/>
              <w:bottom w:val="nil"/>
              <w:right w:val="nil"/>
            </w:tcBorders>
            <w:noWrap/>
          </w:tcPr>
          <w:p w14:paraId="1B2AEA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702408.25</w:t>
            </w:r>
          </w:p>
        </w:tc>
        <w:tc>
          <w:tcPr>
            <w:tcW w:w="691" w:type="pct"/>
            <w:tcBorders>
              <w:top w:val="nil"/>
              <w:left w:val="nil"/>
              <w:bottom w:val="nil"/>
              <w:right w:val="nil"/>
            </w:tcBorders>
            <w:noWrap/>
          </w:tcPr>
          <w:p w14:paraId="2EC0F4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295562.16</w:t>
            </w:r>
          </w:p>
        </w:tc>
        <w:tc>
          <w:tcPr>
            <w:tcW w:w="601" w:type="pct"/>
            <w:tcBorders>
              <w:top w:val="nil"/>
              <w:left w:val="nil"/>
              <w:bottom w:val="nil"/>
              <w:right w:val="nil"/>
            </w:tcBorders>
            <w:noWrap/>
          </w:tcPr>
          <w:p w14:paraId="12A326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63776.67</w:t>
            </w:r>
          </w:p>
        </w:tc>
        <w:tc>
          <w:tcPr>
            <w:tcW w:w="726" w:type="pct"/>
            <w:tcBorders>
              <w:top w:val="nil"/>
              <w:left w:val="nil"/>
              <w:bottom w:val="nil"/>
              <w:right w:val="nil"/>
            </w:tcBorders>
            <w:noWrap/>
          </w:tcPr>
          <w:p w14:paraId="7071BA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48215</w:t>
            </w:r>
          </w:p>
        </w:tc>
        <w:tc>
          <w:tcPr>
            <w:tcW w:w="726" w:type="pct"/>
            <w:tcBorders>
              <w:top w:val="nil"/>
              <w:left w:val="nil"/>
              <w:bottom w:val="nil"/>
              <w:right w:val="nil"/>
            </w:tcBorders>
          </w:tcPr>
          <w:p w14:paraId="2C4780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12518.791</w:t>
            </w:r>
          </w:p>
        </w:tc>
        <w:tc>
          <w:tcPr>
            <w:tcW w:w="779" w:type="pct"/>
            <w:tcBorders>
              <w:top w:val="nil"/>
              <w:left w:val="nil"/>
              <w:bottom w:val="nil"/>
              <w:right w:val="nil"/>
            </w:tcBorders>
            <w:noWrap/>
          </w:tcPr>
          <w:p w14:paraId="11B482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8569.344</w:t>
            </w:r>
          </w:p>
        </w:tc>
      </w:tr>
      <w:tr w14:paraId="75A105AD">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786" w:type="pct"/>
            <w:tcBorders>
              <w:top w:val="nil"/>
              <w:left w:val="nil"/>
              <w:bottom w:val="nil"/>
              <w:right w:val="nil"/>
            </w:tcBorders>
          </w:tcPr>
          <w:p w14:paraId="2303DC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color w:val="auto"/>
                <w:szCs w:val="21"/>
                <w:lang w:eastAsia="zh-CN"/>
              </w:rPr>
            </w:pPr>
            <w:r>
              <w:rPr>
                <w:rFonts w:hint="default" w:ascii="Times New Roman" w:hAnsi="Times New Roman"/>
                <w:color w:val="auto"/>
                <w:szCs w:val="21"/>
              </w:rPr>
              <w:t>P</w:t>
            </w:r>
            <w:r>
              <w:rPr>
                <w:rFonts w:hint="eastAsia"/>
                <w:color w:val="auto"/>
                <w:szCs w:val="21"/>
                <w:lang w:val="en-US" w:eastAsia="zh-CN"/>
              </w:rPr>
              <w:t>6</w:t>
            </w:r>
          </w:p>
        </w:tc>
        <w:tc>
          <w:tcPr>
            <w:tcW w:w="686" w:type="pct"/>
            <w:tcBorders>
              <w:top w:val="nil"/>
              <w:left w:val="nil"/>
              <w:bottom w:val="nil"/>
              <w:right w:val="nil"/>
            </w:tcBorders>
            <w:noWrap/>
          </w:tcPr>
          <w:p w14:paraId="5F639A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2230000</w:t>
            </w:r>
          </w:p>
        </w:tc>
        <w:tc>
          <w:tcPr>
            <w:tcW w:w="691" w:type="pct"/>
            <w:tcBorders>
              <w:top w:val="nil"/>
              <w:left w:val="nil"/>
              <w:bottom w:val="nil"/>
              <w:right w:val="nil"/>
            </w:tcBorders>
            <w:noWrap/>
          </w:tcPr>
          <w:p w14:paraId="20EC2A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900873.9</w:t>
            </w:r>
          </w:p>
        </w:tc>
        <w:tc>
          <w:tcPr>
            <w:tcW w:w="601" w:type="pct"/>
            <w:tcBorders>
              <w:top w:val="nil"/>
              <w:left w:val="nil"/>
              <w:bottom w:val="nil"/>
              <w:right w:val="nil"/>
            </w:tcBorders>
            <w:noWrap/>
          </w:tcPr>
          <w:p w14:paraId="0F7F21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164596.7</w:t>
            </w:r>
          </w:p>
        </w:tc>
        <w:tc>
          <w:tcPr>
            <w:tcW w:w="726" w:type="pct"/>
            <w:tcBorders>
              <w:top w:val="nil"/>
              <w:left w:val="nil"/>
              <w:bottom w:val="nil"/>
              <w:right w:val="nil"/>
            </w:tcBorders>
            <w:noWrap/>
          </w:tcPr>
          <w:p w14:paraId="5E08F3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145901.39</w:t>
            </w:r>
          </w:p>
        </w:tc>
        <w:tc>
          <w:tcPr>
            <w:tcW w:w="726" w:type="pct"/>
            <w:tcBorders>
              <w:top w:val="nil"/>
              <w:left w:val="nil"/>
              <w:bottom w:val="nil"/>
              <w:right w:val="nil"/>
            </w:tcBorders>
          </w:tcPr>
          <w:p w14:paraId="48DDB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34114.742</w:t>
            </w:r>
          </w:p>
        </w:tc>
        <w:tc>
          <w:tcPr>
            <w:tcW w:w="779" w:type="pct"/>
            <w:tcBorders>
              <w:top w:val="nil"/>
              <w:left w:val="nil"/>
              <w:bottom w:val="nil"/>
              <w:right w:val="nil"/>
            </w:tcBorders>
            <w:noWrap/>
          </w:tcPr>
          <w:p w14:paraId="744077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20220.414</w:t>
            </w:r>
          </w:p>
        </w:tc>
      </w:tr>
      <w:tr w14:paraId="143261EF">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786" w:type="pct"/>
            <w:tcBorders>
              <w:top w:val="nil"/>
              <w:left w:val="nil"/>
              <w:bottom w:val="single" w:color="auto" w:sz="12" w:space="0"/>
              <w:right w:val="nil"/>
            </w:tcBorders>
          </w:tcPr>
          <w:p w14:paraId="5FBC24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color w:val="auto"/>
                <w:szCs w:val="21"/>
                <w:lang w:eastAsia="zh-CN"/>
              </w:rPr>
            </w:pPr>
            <w:r>
              <w:rPr>
                <w:rFonts w:hint="default" w:ascii="Times New Roman" w:hAnsi="Times New Roman"/>
                <w:color w:val="auto"/>
                <w:szCs w:val="21"/>
              </w:rPr>
              <w:t>P</w:t>
            </w:r>
            <w:r>
              <w:rPr>
                <w:rFonts w:hint="eastAsia"/>
                <w:color w:val="auto"/>
                <w:szCs w:val="21"/>
                <w:lang w:val="en-US" w:eastAsia="zh-CN"/>
              </w:rPr>
              <w:t>7</w:t>
            </w:r>
          </w:p>
        </w:tc>
        <w:tc>
          <w:tcPr>
            <w:tcW w:w="686" w:type="pct"/>
            <w:tcBorders>
              <w:top w:val="nil"/>
              <w:left w:val="nil"/>
              <w:bottom w:val="single" w:color="auto" w:sz="12" w:space="0"/>
              <w:right w:val="nil"/>
            </w:tcBorders>
            <w:noWrap/>
          </w:tcPr>
          <w:p w14:paraId="2E6CA3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167790.03</w:t>
            </w:r>
          </w:p>
        </w:tc>
        <w:tc>
          <w:tcPr>
            <w:tcW w:w="691" w:type="pct"/>
            <w:tcBorders>
              <w:top w:val="nil"/>
              <w:left w:val="nil"/>
              <w:bottom w:val="single" w:color="auto" w:sz="12" w:space="0"/>
              <w:right w:val="nil"/>
            </w:tcBorders>
            <w:noWrap/>
          </w:tcPr>
          <w:p w14:paraId="64A63B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val="en-US" w:eastAsia="zh-CN"/>
              </w:rPr>
            </w:pPr>
            <w:r>
              <w:rPr>
                <w:rFonts w:hint="eastAsia"/>
                <w:color w:val="auto"/>
              </w:rPr>
              <w:t>67473.3</w:t>
            </w:r>
            <w:r>
              <w:rPr>
                <w:rFonts w:hint="eastAsia"/>
                <w:color w:val="auto"/>
                <w:lang w:val="en-US" w:eastAsia="zh-CN"/>
              </w:rPr>
              <w:t>4</w:t>
            </w:r>
          </w:p>
        </w:tc>
        <w:tc>
          <w:tcPr>
            <w:tcW w:w="601" w:type="pct"/>
            <w:tcBorders>
              <w:top w:val="nil"/>
              <w:left w:val="nil"/>
              <w:bottom w:val="single" w:color="auto" w:sz="12" w:space="0"/>
              <w:right w:val="nil"/>
            </w:tcBorders>
            <w:noWrap/>
          </w:tcPr>
          <w:p w14:paraId="00AFDD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eastAsia="zh-CN"/>
              </w:rPr>
            </w:pPr>
            <w:r>
              <w:rPr>
                <w:rFonts w:hint="eastAsia"/>
                <w:color w:val="auto"/>
              </w:rPr>
              <w:t>12070.3</w:t>
            </w:r>
            <w:r>
              <w:rPr>
                <w:rFonts w:hint="eastAsia"/>
                <w:color w:val="auto"/>
                <w:lang w:val="en-US" w:eastAsia="zh-CN"/>
              </w:rPr>
              <w:t>7</w:t>
            </w:r>
          </w:p>
        </w:tc>
        <w:tc>
          <w:tcPr>
            <w:tcW w:w="726" w:type="pct"/>
            <w:tcBorders>
              <w:top w:val="nil"/>
              <w:left w:val="nil"/>
              <w:bottom w:val="single" w:color="auto" w:sz="12" w:space="0"/>
              <w:right w:val="nil"/>
            </w:tcBorders>
            <w:noWrap/>
          </w:tcPr>
          <w:p w14:paraId="1E8B1B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10917.6</w:t>
            </w:r>
            <w:r>
              <w:rPr>
                <w:rFonts w:hint="eastAsia"/>
                <w:color w:val="auto"/>
                <w:lang w:val="en-US" w:eastAsia="zh-CN"/>
              </w:rPr>
              <w:t>6</w:t>
            </w:r>
          </w:p>
        </w:tc>
        <w:tc>
          <w:tcPr>
            <w:tcW w:w="726" w:type="pct"/>
            <w:tcBorders>
              <w:top w:val="nil"/>
              <w:left w:val="nil"/>
              <w:bottom w:val="single" w:color="auto" w:sz="12" w:space="0"/>
              <w:right w:val="nil"/>
            </w:tcBorders>
          </w:tcPr>
          <w:p w14:paraId="6DF485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default" w:ascii="Times New Roman" w:hAnsi="Times New Roman"/>
                <w:b/>
                <w:color w:val="auto"/>
                <w:szCs w:val="21"/>
              </w:rPr>
            </w:pPr>
            <w:r>
              <w:rPr>
                <w:rFonts w:hint="eastAsia"/>
                <w:color w:val="auto"/>
              </w:rPr>
              <w:t>2519.06</w:t>
            </w:r>
          </w:p>
        </w:tc>
        <w:tc>
          <w:tcPr>
            <w:tcW w:w="779" w:type="pct"/>
            <w:tcBorders>
              <w:top w:val="nil"/>
              <w:left w:val="nil"/>
              <w:bottom w:val="single" w:color="auto" w:sz="12" w:space="0"/>
              <w:right w:val="nil"/>
            </w:tcBorders>
            <w:noWrap/>
          </w:tcPr>
          <w:p w14:paraId="26773E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imes New Roman" w:hAnsi="Times New Roman" w:eastAsia="宋体"/>
                <w:b/>
                <w:color w:val="auto"/>
                <w:szCs w:val="21"/>
                <w:lang w:eastAsia="zh-CN"/>
              </w:rPr>
            </w:pPr>
            <w:r>
              <w:rPr>
                <w:rFonts w:hint="eastAsia"/>
                <w:color w:val="auto"/>
              </w:rPr>
              <w:t>1466.0</w:t>
            </w:r>
            <w:r>
              <w:rPr>
                <w:rFonts w:hint="eastAsia"/>
                <w:color w:val="auto"/>
                <w:lang w:val="en-US" w:eastAsia="zh-CN"/>
              </w:rPr>
              <w:t>6</w:t>
            </w:r>
          </w:p>
        </w:tc>
      </w:tr>
      <w:bookmarkEnd w:id="19"/>
      <w:bookmarkEnd w:id="20"/>
      <w:bookmarkEnd w:id="21"/>
    </w:tbl>
    <w:p w14:paraId="04BAADB1">
      <w:pPr>
        <w:spacing w:line="480" w:lineRule="auto"/>
        <w:rPr>
          <w:rFonts w:ascii="Times New Roman" w:hAnsi="Times New Roman"/>
          <w:b/>
          <w:color w:val="auto"/>
          <w:sz w:val="24"/>
          <w:szCs w:val="24"/>
        </w:rPr>
      </w:pPr>
      <w:r>
        <w:rPr>
          <w:rFonts w:ascii="Times New Roman" w:hAnsi="Times New Roman"/>
          <w:b/>
          <w:color w:val="auto"/>
          <w:sz w:val="24"/>
          <w:szCs w:val="24"/>
        </w:rPr>
        <w:t>Table S</w:t>
      </w:r>
      <w:r>
        <w:rPr>
          <w:rFonts w:hint="eastAsia"/>
          <w:b/>
          <w:color w:val="auto"/>
          <w:sz w:val="24"/>
          <w:szCs w:val="24"/>
          <w:lang w:val="en-US" w:eastAsia="zh-CN"/>
        </w:rPr>
        <w:t>1</w:t>
      </w:r>
      <w:r>
        <w:rPr>
          <w:rFonts w:ascii="Times New Roman" w:hAnsi="Times New Roman"/>
          <w:color w:val="auto"/>
          <w:sz w:val="24"/>
          <w:szCs w:val="24"/>
        </w:rPr>
        <w:t xml:space="preserve"> </w:t>
      </w:r>
      <w:bookmarkStart w:id="22" w:name="_Hlk166702759"/>
      <w:bookmarkStart w:id="23" w:name="OLE_LINK785"/>
      <w:r>
        <w:rPr>
          <w:rFonts w:ascii="Times New Roman" w:hAnsi="Times New Roman"/>
          <w:color w:val="auto"/>
          <w:sz w:val="24"/>
          <w:szCs w:val="24"/>
        </w:rPr>
        <w:t xml:space="preserve">Estimated </w:t>
      </w:r>
      <w:bookmarkStart w:id="24" w:name="OLE_LINK776"/>
      <w:bookmarkStart w:id="25" w:name="OLE_LINK777"/>
      <w:r>
        <w:rPr>
          <w:rFonts w:ascii="Times New Roman" w:hAnsi="Times New Roman"/>
          <w:color w:val="auto"/>
          <w:sz w:val="24"/>
          <w:szCs w:val="24"/>
        </w:rPr>
        <w:t>acute and chronic toxicity</w:t>
      </w:r>
      <w:bookmarkEnd w:id="24"/>
      <w:bookmarkEnd w:id="25"/>
      <w:r>
        <w:rPr>
          <w:rFonts w:ascii="Times New Roman" w:hAnsi="Times New Roman"/>
          <w:color w:val="auto"/>
          <w:sz w:val="24"/>
          <w:szCs w:val="24"/>
        </w:rPr>
        <w:t xml:space="preserve"> for fish, daphnid and green algae of </w:t>
      </w:r>
      <w:r>
        <w:rPr>
          <w:rFonts w:hint="eastAsia"/>
          <w:color w:val="auto"/>
          <w:sz w:val="24"/>
          <w:szCs w:val="24"/>
          <w:lang w:val="en-US" w:eastAsia="zh-CN"/>
        </w:rPr>
        <w:t>DCF</w:t>
      </w:r>
      <w:r>
        <w:rPr>
          <w:rFonts w:ascii="Times New Roman" w:hAnsi="Times New Roman"/>
          <w:color w:val="auto"/>
          <w:sz w:val="24"/>
          <w:szCs w:val="24"/>
        </w:rPr>
        <w:t xml:space="preserve"> and transformation products by ECOSAR</w:t>
      </w:r>
      <w:bookmarkEnd w:id="22"/>
      <w:bookmarkEnd w:id="23"/>
      <w:r>
        <w:rPr>
          <w:rFonts w:ascii="Times New Roman" w:hAnsi="Times New Roman"/>
          <w:color w:val="auto"/>
          <w:sz w:val="24"/>
          <w:szCs w:val="24"/>
        </w:rPr>
        <w:t>.</w:t>
      </w:r>
    </w:p>
    <w:p w14:paraId="14606B63">
      <w:pPr>
        <w:spacing w:line="480" w:lineRule="auto"/>
        <w:rPr>
          <w:rFonts w:ascii="Times New Roman" w:hAnsi="Times New Roman"/>
          <w:color w:val="auto"/>
          <w:szCs w:val="21"/>
        </w:rPr>
      </w:pPr>
      <w:r>
        <w:rPr>
          <w:rFonts w:ascii="Times New Roman" w:hAnsi="Times New Roman"/>
          <w:color w:val="auto"/>
          <w:szCs w:val="21"/>
          <w:vertAlign w:val="superscript"/>
        </w:rPr>
        <w:t>a</w:t>
      </w:r>
      <w:r>
        <w:rPr>
          <w:rFonts w:ascii="Times New Roman" w:hAnsi="Times New Roman"/>
          <w:color w:val="auto"/>
          <w:szCs w:val="21"/>
        </w:rPr>
        <w:t xml:space="preserve"> Unit = mg·L</w:t>
      </w:r>
      <w:r>
        <w:rPr>
          <w:rFonts w:ascii="Times New Roman" w:hAnsi="Times New Roman"/>
          <w:color w:val="auto"/>
          <w:szCs w:val="21"/>
          <w:vertAlign w:val="superscript"/>
        </w:rPr>
        <w:t>-1</w:t>
      </w:r>
      <w:r>
        <w:rPr>
          <w:rFonts w:ascii="Times New Roman" w:hAnsi="Times New Roman"/>
          <w:color w:val="auto"/>
          <w:szCs w:val="21"/>
        </w:rPr>
        <w:t>.</w:t>
      </w:r>
    </w:p>
    <w:p w14:paraId="52047EC5">
      <w:pPr>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LC</w:t>
      </w:r>
      <w:r>
        <w:rPr>
          <w:rFonts w:ascii="Times New Roman" w:hAnsi="Times New Roman" w:cs="Times New Roman"/>
          <w:color w:val="auto"/>
          <w:sz w:val="24"/>
          <w:szCs w:val="24"/>
          <w:vertAlign w:val="subscript"/>
        </w:rPr>
        <w:t>50</w:t>
      </w:r>
      <w:r>
        <w:rPr>
          <w:rFonts w:ascii="Times New Roman" w:hAnsi="Times New Roman" w:cs="Times New Roman"/>
          <w:color w:val="auto"/>
          <w:sz w:val="24"/>
          <w:szCs w:val="24"/>
        </w:rPr>
        <w:t>/EC</w:t>
      </w:r>
      <w:r>
        <w:rPr>
          <w:rFonts w:ascii="Times New Roman" w:hAnsi="Times New Roman" w:cs="Times New Roman"/>
          <w:color w:val="auto"/>
          <w:sz w:val="24"/>
          <w:szCs w:val="24"/>
          <w:vertAlign w:val="subscript"/>
        </w:rPr>
        <w:t>50</w:t>
      </w:r>
      <w:r>
        <w:rPr>
          <w:rFonts w:ascii="Times New Roman" w:hAnsi="Times New Roman" w:cs="Times New Roman"/>
          <w:color w:val="auto"/>
          <w:sz w:val="24"/>
          <w:szCs w:val="24"/>
        </w:rPr>
        <w:t>/ChV ≤ 1</w:t>
      </w:r>
      <w:r>
        <w:rPr>
          <w:rFonts w:ascii="Times New Roman" w:hAnsi="Times New Roman" w:cs="Times New Roman"/>
          <w:color w:val="auto"/>
          <w:sz w:val="24"/>
          <w:szCs w:val="24"/>
        </w:rPr>
        <w:tab/>
      </w:r>
      <w:r>
        <w:rPr>
          <w:rFonts w:ascii="Times New Roman" w:hAnsi="Times New Roman" w:cs="Times New Roman"/>
          <w:b/>
          <w:bCs/>
          <w:color w:val="auto"/>
          <w:sz w:val="24"/>
          <w:szCs w:val="24"/>
        </w:rPr>
        <w:t>Very toxic</w:t>
      </w:r>
    </w:p>
    <w:p w14:paraId="11802230">
      <w:pPr>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1 &lt; LC</w:t>
      </w:r>
      <w:r>
        <w:rPr>
          <w:rFonts w:ascii="Times New Roman" w:hAnsi="Times New Roman" w:cs="Times New Roman"/>
          <w:color w:val="auto"/>
          <w:sz w:val="24"/>
          <w:szCs w:val="24"/>
          <w:vertAlign w:val="subscript"/>
        </w:rPr>
        <w:t>50</w:t>
      </w:r>
      <w:r>
        <w:rPr>
          <w:rFonts w:ascii="Times New Roman" w:hAnsi="Times New Roman" w:cs="Times New Roman"/>
          <w:color w:val="auto"/>
          <w:sz w:val="24"/>
          <w:szCs w:val="24"/>
        </w:rPr>
        <w:t>/EC</w:t>
      </w:r>
      <w:r>
        <w:rPr>
          <w:rFonts w:ascii="Times New Roman" w:hAnsi="Times New Roman" w:cs="Times New Roman"/>
          <w:color w:val="auto"/>
          <w:sz w:val="24"/>
          <w:szCs w:val="24"/>
          <w:vertAlign w:val="subscript"/>
        </w:rPr>
        <w:t>50</w:t>
      </w:r>
      <w:r>
        <w:rPr>
          <w:rFonts w:ascii="Times New Roman" w:hAnsi="Times New Roman" w:cs="Times New Roman"/>
          <w:color w:val="auto"/>
          <w:sz w:val="24"/>
          <w:szCs w:val="24"/>
        </w:rPr>
        <w:t>/ChV ≤ 10</w:t>
      </w:r>
      <w:r>
        <w:rPr>
          <w:rFonts w:ascii="Times New Roman" w:hAnsi="Times New Roman" w:cs="Times New Roman"/>
          <w:color w:val="auto"/>
          <w:sz w:val="24"/>
          <w:szCs w:val="24"/>
        </w:rPr>
        <w:tab/>
      </w:r>
      <w:r>
        <w:rPr>
          <w:rFonts w:ascii="Times New Roman" w:hAnsi="Times New Roman" w:cs="Times New Roman"/>
          <w:b/>
          <w:bCs/>
          <w:color w:val="auto"/>
          <w:sz w:val="24"/>
          <w:szCs w:val="24"/>
        </w:rPr>
        <w:t>Toxic</w:t>
      </w:r>
    </w:p>
    <w:p w14:paraId="7BAC3E03">
      <w:pPr>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10 &lt; LC</w:t>
      </w:r>
      <w:r>
        <w:rPr>
          <w:rFonts w:ascii="Times New Roman" w:hAnsi="Times New Roman" w:cs="Times New Roman"/>
          <w:color w:val="auto"/>
          <w:sz w:val="24"/>
          <w:szCs w:val="24"/>
          <w:vertAlign w:val="subscript"/>
        </w:rPr>
        <w:t>50</w:t>
      </w:r>
      <w:r>
        <w:rPr>
          <w:rFonts w:ascii="Times New Roman" w:hAnsi="Times New Roman" w:cs="Times New Roman"/>
          <w:color w:val="auto"/>
          <w:sz w:val="24"/>
          <w:szCs w:val="24"/>
        </w:rPr>
        <w:t>/EC</w:t>
      </w:r>
      <w:r>
        <w:rPr>
          <w:rFonts w:ascii="Times New Roman" w:hAnsi="Times New Roman" w:cs="Times New Roman"/>
          <w:color w:val="auto"/>
          <w:sz w:val="24"/>
          <w:szCs w:val="24"/>
          <w:vertAlign w:val="subscript"/>
        </w:rPr>
        <w:t>50</w:t>
      </w:r>
      <w:r>
        <w:rPr>
          <w:rFonts w:ascii="Times New Roman" w:hAnsi="Times New Roman" w:cs="Times New Roman"/>
          <w:color w:val="auto"/>
          <w:sz w:val="24"/>
          <w:szCs w:val="24"/>
        </w:rPr>
        <w:t>/ChV ≤ 100</w:t>
      </w:r>
      <w:r>
        <w:rPr>
          <w:rFonts w:ascii="Times New Roman" w:hAnsi="Times New Roman" w:cs="Times New Roman"/>
          <w:color w:val="auto"/>
          <w:sz w:val="24"/>
          <w:szCs w:val="24"/>
        </w:rPr>
        <w:tab/>
      </w:r>
      <w:r>
        <w:rPr>
          <w:rFonts w:ascii="Times New Roman" w:hAnsi="Times New Roman" w:cs="Times New Roman"/>
          <w:b/>
          <w:bCs/>
          <w:color w:val="auto"/>
          <w:sz w:val="24"/>
          <w:szCs w:val="24"/>
        </w:rPr>
        <w:t>Harmful</w:t>
      </w:r>
    </w:p>
    <w:p w14:paraId="19D3EA3C">
      <w:pPr>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LC</w:t>
      </w:r>
      <w:r>
        <w:rPr>
          <w:rFonts w:ascii="Times New Roman" w:hAnsi="Times New Roman" w:cs="Times New Roman"/>
          <w:color w:val="auto"/>
          <w:sz w:val="24"/>
          <w:szCs w:val="24"/>
          <w:vertAlign w:val="subscript"/>
        </w:rPr>
        <w:t>50</w:t>
      </w:r>
      <w:r>
        <w:rPr>
          <w:rFonts w:ascii="Times New Roman" w:hAnsi="Times New Roman" w:cs="Times New Roman"/>
          <w:color w:val="auto"/>
          <w:sz w:val="24"/>
          <w:szCs w:val="24"/>
        </w:rPr>
        <w:t>/EC</w:t>
      </w:r>
      <w:r>
        <w:rPr>
          <w:rFonts w:ascii="Times New Roman" w:hAnsi="Times New Roman" w:cs="Times New Roman"/>
          <w:color w:val="auto"/>
          <w:sz w:val="24"/>
          <w:szCs w:val="24"/>
          <w:vertAlign w:val="subscript"/>
        </w:rPr>
        <w:t>50</w:t>
      </w:r>
      <w:r>
        <w:rPr>
          <w:rFonts w:ascii="Times New Roman" w:hAnsi="Times New Roman" w:cs="Times New Roman"/>
          <w:color w:val="auto"/>
          <w:sz w:val="24"/>
          <w:szCs w:val="24"/>
        </w:rPr>
        <w:t>/ChV &gt; 100</w:t>
      </w:r>
      <w:r>
        <w:rPr>
          <w:rFonts w:ascii="Times New Roman" w:hAnsi="Times New Roman" w:cs="Times New Roman"/>
          <w:color w:val="auto"/>
          <w:sz w:val="24"/>
          <w:szCs w:val="24"/>
        </w:rPr>
        <w:tab/>
      </w:r>
      <w:r>
        <w:rPr>
          <w:rFonts w:ascii="Times New Roman" w:hAnsi="Times New Roman" w:cs="Times New Roman"/>
          <w:b/>
          <w:bCs/>
          <w:color w:val="auto"/>
          <w:sz w:val="24"/>
          <w:szCs w:val="24"/>
        </w:rPr>
        <w:t>Not harmful</w:t>
      </w:r>
    </w:p>
    <w:bookmarkEnd w:id="8"/>
    <w:p w14:paraId="691853D0">
      <w:pPr>
        <w:rPr>
          <w:rFonts w:hint="eastAsia"/>
          <w:color w:val="auto"/>
        </w:rPr>
      </w:pPr>
    </w:p>
    <w:p w14:paraId="1E8ABC49">
      <w:pPr>
        <w:rPr>
          <w:rFonts w:hint="eastAsia"/>
          <w:color w:val="auto"/>
        </w:rPr>
      </w:pPr>
    </w:p>
    <w:p w14:paraId="0B32513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宋体"/>
          <w:color w:val="auto"/>
          <w:lang w:eastAsia="zh-CN"/>
        </w:rPr>
      </w:pPr>
      <w:r>
        <w:rPr>
          <w:rFonts w:hint="eastAsia" w:eastAsia="宋体"/>
          <w:color w:val="auto"/>
          <w:lang w:eastAsia="zh-CN"/>
        </w:rPr>
        <w:drawing>
          <wp:inline distT="0" distB="0" distL="114300" distR="114300">
            <wp:extent cx="4815205" cy="1918335"/>
            <wp:effectExtent l="0" t="0" r="4445" b="5715"/>
            <wp:docPr id="20" name="图片 20" descr="fig S5 ECH U  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ig S5 ECH U  C "/>
                    <pic:cNvPicPr>
                      <a:picLocks noChangeAspect="1"/>
                    </pic:cNvPicPr>
                  </pic:nvPicPr>
                  <pic:blipFill>
                    <a:blip r:embed="rId6"/>
                    <a:stretch>
                      <a:fillRect/>
                    </a:stretch>
                  </pic:blipFill>
                  <pic:spPr>
                    <a:xfrm>
                      <a:off x="0" y="0"/>
                      <a:ext cx="4815205" cy="1918335"/>
                    </a:xfrm>
                    <a:prstGeom prst="rect">
                      <a:avLst/>
                    </a:prstGeom>
                  </pic:spPr>
                </pic:pic>
              </a:graphicData>
            </a:graphic>
          </wp:inline>
        </w:drawing>
      </w:r>
    </w:p>
    <w:p w14:paraId="10E19945">
      <w:pPr>
        <w:rPr>
          <w:color w:val="auto"/>
        </w:rPr>
      </w:pPr>
      <w:r>
        <w:rPr>
          <w:rFonts w:hint="eastAsia"/>
          <w:color w:val="auto"/>
        </w:rPr>
        <w:t xml:space="preserve">Figure </w:t>
      </w:r>
      <w:r>
        <w:rPr>
          <w:rFonts w:hint="eastAsia"/>
          <w:color w:val="auto"/>
          <w:lang w:val="en-US" w:eastAsia="zh-CN"/>
        </w:rPr>
        <w:t xml:space="preserve">S1 </w:t>
      </w:r>
      <w:r>
        <w:rPr>
          <w:rFonts w:hint="eastAsia"/>
          <w:color w:val="auto"/>
        </w:rPr>
        <w:t>Influence of cathode potentials (</w:t>
      </w:r>
      <w:r>
        <w:rPr>
          <w:rFonts w:hint="eastAsia"/>
          <w:color w:val="auto"/>
          <w:lang w:val="en-US" w:eastAsia="zh-CN"/>
        </w:rPr>
        <w:t>a</w:t>
      </w:r>
      <w:r>
        <w:rPr>
          <w:rFonts w:hint="eastAsia"/>
          <w:color w:val="auto"/>
        </w:rPr>
        <w:t>),</w:t>
      </w:r>
      <w:r>
        <w:rPr>
          <w:rFonts w:hint="eastAsia"/>
          <w:color w:val="auto"/>
          <w:lang w:val="en-US" w:eastAsia="zh-CN"/>
        </w:rPr>
        <w:t xml:space="preserve"> </w:t>
      </w:r>
      <w:r>
        <w:rPr>
          <w:rFonts w:hint="eastAsia"/>
          <w:color w:val="auto"/>
        </w:rPr>
        <w:t>initial DCF concentrations</w:t>
      </w:r>
      <w:r>
        <w:rPr>
          <w:rFonts w:hint="eastAsia"/>
          <w:color w:val="auto"/>
          <w:lang w:val="en-US" w:eastAsia="zh-CN"/>
        </w:rPr>
        <w:t xml:space="preserve"> </w:t>
      </w:r>
      <w:r>
        <w:rPr>
          <w:rFonts w:hint="eastAsia"/>
          <w:color w:val="auto"/>
        </w:rPr>
        <w:t>(</w:t>
      </w:r>
      <w:r>
        <w:rPr>
          <w:rFonts w:hint="eastAsia"/>
          <w:color w:val="auto"/>
          <w:lang w:val="en-US" w:eastAsia="zh-CN"/>
        </w:rPr>
        <w:t>b</w:t>
      </w:r>
      <w:r>
        <w:rPr>
          <w:rFonts w:hint="eastAsia"/>
          <w:color w:val="auto"/>
        </w:rPr>
        <w:t>)</w:t>
      </w:r>
      <w:r>
        <w:rPr>
          <w:rFonts w:hint="eastAsia"/>
          <w:color w:val="auto"/>
          <w:lang w:val="en-US" w:eastAsia="zh-CN"/>
        </w:rPr>
        <w:t xml:space="preserve"> </w:t>
      </w:r>
      <w:r>
        <w:rPr>
          <w:rFonts w:hint="eastAsia"/>
          <w:color w:val="auto"/>
        </w:rPr>
        <w:t>on the DCF</w:t>
      </w:r>
      <w:r>
        <w:rPr>
          <w:rFonts w:hint="eastAsia"/>
          <w:color w:val="auto"/>
          <w:lang w:val="en-US" w:eastAsia="zh-CN"/>
        </w:rPr>
        <w:t xml:space="preserve"> degradation</w:t>
      </w:r>
      <w:r>
        <w:rPr>
          <w:rFonts w:hint="eastAsia"/>
          <w:color w:val="auto"/>
        </w:rPr>
        <w:t xml:space="preserve"> using the </w:t>
      </w:r>
      <w:r>
        <w:rPr>
          <w:rFonts w:hint="eastAsia"/>
          <w:color w:val="auto"/>
          <w:lang w:val="en-US" w:eastAsia="zh-CN"/>
        </w:rPr>
        <w:t>CN@PdNi cathode</w:t>
      </w:r>
      <w:r>
        <w:rPr>
          <w:rFonts w:hint="eastAsia"/>
          <w:color w:val="auto"/>
        </w:rPr>
        <w:t>.</w:t>
      </w:r>
    </w:p>
    <w:p w14:paraId="0352E818">
      <w:pPr>
        <w:rPr>
          <w:rFonts w:hint="default" w:eastAsia="宋体"/>
          <w:color w:val="auto"/>
          <w:lang w:val="en-US" w:eastAsia="zh-CN"/>
        </w:rPr>
      </w:pPr>
    </w:p>
    <w:p w14:paraId="79D3869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宋体"/>
          <w:color w:val="auto"/>
          <w:lang w:eastAsia="zh-CN"/>
        </w:rPr>
      </w:pPr>
      <w:r>
        <w:rPr>
          <w:rFonts w:hint="eastAsia" w:eastAsia="宋体"/>
          <w:color w:val="auto"/>
          <w:lang w:eastAsia="zh-CN"/>
        </w:rPr>
        <w:drawing>
          <wp:inline distT="0" distB="0" distL="114300" distR="114300">
            <wp:extent cx="5365750" cy="1560195"/>
            <wp:effectExtent l="0" t="0" r="6350" b="1905"/>
            <wp:docPr id="21" name="图片 21" descr="fig S6 ECH PH ION shuiti cy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ig S6 ECH PH ION shuiti cycle "/>
                    <pic:cNvPicPr>
                      <a:picLocks noChangeAspect="1"/>
                    </pic:cNvPicPr>
                  </pic:nvPicPr>
                  <pic:blipFill>
                    <a:blip r:embed="rId7"/>
                    <a:stretch>
                      <a:fillRect/>
                    </a:stretch>
                  </pic:blipFill>
                  <pic:spPr>
                    <a:xfrm>
                      <a:off x="0" y="0"/>
                      <a:ext cx="5365750" cy="1560195"/>
                    </a:xfrm>
                    <a:prstGeom prst="rect">
                      <a:avLst/>
                    </a:prstGeom>
                  </pic:spPr>
                </pic:pic>
              </a:graphicData>
            </a:graphic>
          </wp:inline>
        </w:drawing>
      </w:r>
    </w:p>
    <w:p w14:paraId="410E7FC9">
      <w:pPr>
        <w:rPr>
          <w:rFonts w:hint="default" w:eastAsia="宋体"/>
          <w:color w:val="auto"/>
          <w:lang w:val="en-US" w:eastAsia="zh-CN"/>
        </w:rPr>
      </w:pPr>
      <w:r>
        <w:rPr>
          <w:rFonts w:hint="eastAsia"/>
          <w:color w:val="auto"/>
        </w:rPr>
        <w:t xml:space="preserve">Figure </w:t>
      </w:r>
      <w:r>
        <w:rPr>
          <w:rFonts w:hint="eastAsia"/>
          <w:color w:val="auto"/>
          <w:lang w:val="en-US" w:eastAsia="zh-CN"/>
        </w:rPr>
        <w:t xml:space="preserve">S2 </w:t>
      </w:r>
      <w:r>
        <w:rPr>
          <w:rFonts w:hint="eastAsia"/>
          <w:color w:val="auto"/>
        </w:rPr>
        <w:t>(a)</w:t>
      </w:r>
      <w:r>
        <w:rPr>
          <w:rFonts w:hint="eastAsia"/>
          <w:color w:val="auto"/>
          <w:lang w:val="en-US" w:eastAsia="zh-CN"/>
        </w:rPr>
        <w:t>.</w:t>
      </w:r>
      <w:r>
        <w:rPr>
          <w:rFonts w:hint="eastAsia"/>
          <w:color w:val="auto"/>
        </w:rPr>
        <w:t xml:space="preserve"> Influence of initial electrolyte pH (c), i</w:t>
      </w:r>
      <w:r>
        <w:rPr>
          <w:rFonts w:hint="eastAsia"/>
          <w:color w:val="auto"/>
          <w:lang w:val="en-US" w:eastAsia="zh-CN"/>
        </w:rPr>
        <w:t xml:space="preserve">ons (b), different water matrices </w:t>
      </w:r>
      <w:r>
        <w:rPr>
          <w:rFonts w:hint="eastAsia"/>
          <w:color w:val="auto"/>
        </w:rPr>
        <w:t>on the DCF</w:t>
      </w:r>
      <w:r>
        <w:rPr>
          <w:rFonts w:hint="eastAsia"/>
          <w:color w:val="auto"/>
          <w:lang w:val="en-US" w:eastAsia="zh-CN"/>
        </w:rPr>
        <w:t xml:space="preserve"> degradation</w:t>
      </w:r>
      <w:r>
        <w:rPr>
          <w:rFonts w:hint="eastAsia"/>
          <w:color w:val="auto"/>
        </w:rPr>
        <w:t xml:space="preserve"> using the </w:t>
      </w:r>
      <w:r>
        <w:rPr>
          <w:rFonts w:hint="eastAsia"/>
          <w:color w:val="auto"/>
          <w:lang w:val="en-US" w:eastAsia="zh-CN"/>
        </w:rPr>
        <w:t>CN@PdNi cathode</w:t>
      </w:r>
      <w:r>
        <w:rPr>
          <w:rFonts w:hint="eastAsia"/>
          <w:color w:val="auto"/>
        </w:rPr>
        <w:t>.</w:t>
      </w:r>
      <w:r>
        <w:rPr>
          <w:rFonts w:hint="eastAsia"/>
          <w:color w:val="auto"/>
          <w:lang w:val="en-US" w:eastAsia="zh-CN"/>
        </w:rPr>
        <w:t xml:space="preserve"> </w:t>
      </w:r>
    </w:p>
    <w:p w14:paraId="754A8106">
      <w:pPr>
        <w:rPr>
          <w:color w:val="auto"/>
        </w:rPr>
      </w:pPr>
    </w:p>
    <w:p w14:paraId="0BF92DFE">
      <w:pPr>
        <w:rPr>
          <w:color w:val="auto"/>
        </w:rPr>
      </w:pPr>
    </w:p>
    <w:p w14:paraId="45B925E3">
      <w:pPr>
        <w:ind w:left="0" w:leftChars="0" w:firstLine="0" w:firstLineChars="0"/>
        <w:rPr>
          <w:rFonts w:hint="default"/>
          <w:b/>
          <w:bCs/>
          <w:color w:val="auto"/>
          <w:lang w:val="en-US" w:eastAsia="zh-CN"/>
        </w:rPr>
      </w:pPr>
      <w:r>
        <w:rPr>
          <w:rFonts w:hint="eastAsia"/>
          <w:b/>
          <w:bCs/>
          <w:color w:val="auto"/>
          <w:lang w:val="en-US" w:eastAsia="zh-CN"/>
        </w:rPr>
        <w:t>Reference</w:t>
      </w:r>
    </w:p>
    <w:p w14:paraId="178B3248">
      <w:pPr>
        <w:pStyle w:val="6"/>
        <w:keepNext w:val="0"/>
        <w:keepLines w:val="0"/>
        <w:pageBreakBefore w:val="0"/>
        <w:kinsoku/>
        <w:wordWrap/>
        <w:overflowPunct/>
        <w:topLinePunct w:val="0"/>
        <w:autoSpaceDE/>
        <w:autoSpaceDN/>
        <w:bidi w:val="0"/>
        <w:adjustRightInd/>
        <w:snapToGrid/>
        <w:spacing w:line="360" w:lineRule="auto"/>
        <w:ind w:left="482" w:hanging="480" w:hanging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Zhang, R.; Yang, Y.; Huang, C. H.; Li, N.; Liu, H.; Zhao, L.; Sun, P. UV/H</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O</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 xml:space="preserve"> and UV/PDS Treatment of Trimethoprim and Sulfamethoxazole in Synthetic Human Urine: Transformation Products and Toxicity. </w:t>
      </w:r>
      <w:r>
        <w:rPr>
          <w:rFonts w:ascii="Times New Roman" w:hAnsi="Times New Roman" w:cs="Times New Roman"/>
          <w:i/>
          <w:color w:val="auto"/>
          <w:sz w:val="24"/>
          <w:szCs w:val="24"/>
          <w:highlight w:val="none"/>
        </w:rPr>
        <w:t>Environ. Sci. Technol</w:t>
      </w:r>
      <w:r>
        <w:rPr>
          <w:rFonts w:ascii="Times New Roman" w:hAnsi="Times New Roman" w:cs="Times New Roman"/>
          <w:color w:val="auto"/>
          <w:sz w:val="24"/>
          <w:szCs w:val="24"/>
          <w:highlight w:val="none"/>
        </w:rPr>
        <w:t>.</w:t>
      </w:r>
      <w:r>
        <w:rPr>
          <w:rFonts w:hint="default" w:ascii="Times New Roman" w:hAnsi="Times New Roman" w:cs="Times New Roman"/>
          <w:i/>
          <w:color w:val="auto"/>
          <w:sz w:val="24"/>
          <w:szCs w:val="24"/>
          <w:highlight w:val="none"/>
        </w:rPr>
        <w:t xml:space="preserve"> </w:t>
      </w:r>
      <w:r>
        <w:rPr>
          <w:rFonts w:hint="default" w:ascii="Times New Roman" w:hAnsi="Times New Roman" w:cs="Times New Roman"/>
          <w:b/>
          <w:color w:val="auto"/>
          <w:sz w:val="24"/>
          <w:szCs w:val="24"/>
          <w:highlight w:val="none"/>
        </w:rPr>
        <w:t>2016,</w:t>
      </w:r>
      <w:r>
        <w:rPr>
          <w:rFonts w:hint="default" w:ascii="Times New Roman" w:hAnsi="Times New Roman" w:cs="Times New Roman"/>
          <w:color w:val="auto"/>
          <w:sz w:val="24"/>
          <w:szCs w:val="24"/>
          <w:highlight w:val="none"/>
        </w:rPr>
        <w:t xml:space="preserve"> </w:t>
      </w:r>
      <w:r>
        <w:rPr>
          <w:rFonts w:hint="default" w:ascii="Times New Roman" w:hAnsi="Times New Roman" w:cs="Times New Roman"/>
          <w:i/>
          <w:color w:val="auto"/>
          <w:sz w:val="24"/>
          <w:szCs w:val="24"/>
          <w:highlight w:val="none"/>
        </w:rPr>
        <w:t>50</w:t>
      </w:r>
      <w:r>
        <w:rPr>
          <w:rFonts w:hint="default" w:ascii="Times New Roman" w:hAnsi="Times New Roman" w:cs="Times New Roman"/>
          <w:color w:val="auto"/>
          <w:sz w:val="24"/>
          <w:szCs w:val="24"/>
          <w:highlight w:val="none"/>
        </w:rPr>
        <w:t>, (5), 2573-</w:t>
      </w:r>
      <w:r>
        <w:rPr>
          <w:rFonts w:ascii="Times New Roman" w:hAnsi="Times New Roman" w:cs="Times New Roman"/>
          <w:color w:val="auto"/>
          <w:sz w:val="24"/>
          <w:szCs w:val="24"/>
          <w:highlight w:val="none"/>
        </w:rPr>
        <w:t>25</w:t>
      </w:r>
      <w:r>
        <w:rPr>
          <w:rFonts w:hint="default" w:ascii="Times New Roman" w:hAnsi="Times New Roman" w:cs="Times New Roman"/>
          <w:color w:val="auto"/>
          <w:sz w:val="24"/>
          <w:szCs w:val="24"/>
          <w:highlight w:val="none"/>
        </w:rPr>
        <w:t>83.</w:t>
      </w:r>
    </w:p>
    <w:p w14:paraId="7FA43880">
      <w:pPr>
        <w:rPr>
          <w:rFonts w:hint="eastAsia" w:eastAsia="宋体"/>
          <w:lang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Materials Science Eng 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w5e9z5upw0whe55xg525eiv22rppzs5ewa&quot;&gt;PdNi  My EndNote Library&lt;record-ids&gt;&lt;item&gt;1&lt;/item&gt;&lt;item&gt;2&lt;/item&gt;&lt;item&gt;4&lt;/item&gt;&lt;item&gt;5&lt;/item&gt;&lt;item&gt;6&lt;/item&gt;&lt;/record-ids&gt;&lt;/item&gt;&lt;/Libraries&gt;"/>
  </w:docVars>
  <w:rsids>
    <w:rsidRoot w:val="23245418"/>
    <w:rsid w:val="000969AD"/>
    <w:rsid w:val="002235CA"/>
    <w:rsid w:val="00292BAB"/>
    <w:rsid w:val="00296707"/>
    <w:rsid w:val="00354BC3"/>
    <w:rsid w:val="003752C8"/>
    <w:rsid w:val="005539A0"/>
    <w:rsid w:val="0058523E"/>
    <w:rsid w:val="00893649"/>
    <w:rsid w:val="009E70F5"/>
    <w:rsid w:val="00BD03D1"/>
    <w:rsid w:val="00BE7797"/>
    <w:rsid w:val="00FB2B5A"/>
    <w:rsid w:val="01001B5E"/>
    <w:rsid w:val="016C71F3"/>
    <w:rsid w:val="0179546C"/>
    <w:rsid w:val="017C407C"/>
    <w:rsid w:val="01A87AFF"/>
    <w:rsid w:val="01AA1AC9"/>
    <w:rsid w:val="01B82438"/>
    <w:rsid w:val="01BB3CD7"/>
    <w:rsid w:val="01EB45BC"/>
    <w:rsid w:val="01F42D45"/>
    <w:rsid w:val="01FB0577"/>
    <w:rsid w:val="021138F7"/>
    <w:rsid w:val="02353A89"/>
    <w:rsid w:val="024141DC"/>
    <w:rsid w:val="024B6E08"/>
    <w:rsid w:val="02650658"/>
    <w:rsid w:val="02906F11"/>
    <w:rsid w:val="0297204E"/>
    <w:rsid w:val="02C866AB"/>
    <w:rsid w:val="02D2752A"/>
    <w:rsid w:val="02D54924"/>
    <w:rsid w:val="02D713E1"/>
    <w:rsid w:val="02DF39F5"/>
    <w:rsid w:val="02F079B0"/>
    <w:rsid w:val="03086AA8"/>
    <w:rsid w:val="031C69F7"/>
    <w:rsid w:val="03351867"/>
    <w:rsid w:val="033E696D"/>
    <w:rsid w:val="03555A65"/>
    <w:rsid w:val="036D1000"/>
    <w:rsid w:val="038D16A3"/>
    <w:rsid w:val="038F0F77"/>
    <w:rsid w:val="03C52BEB"/>
    <w:rsid w:val="045D1075"/>
    <w:rsid w:val="04706FFA"/>
    <w:rsid w:val="048B5BE2"/>
    <w:rsid w:val="049727D9"/>
    <w:rsid w:val="04A15406"/>
    <w:rsid w:val="04B54A0D"/>
    <w:rsid w:val="04B74C29"/>
    <w:rsid w:val="04BD1B14"/>
    <w:rsid w:val="04C9670A"/>
    <w:rsid w:val="04DD5D12"/>
    <w:rsid w:val="04FA68C4"/>
    <w:rsid w:val="050339CA"/>
    <w:rsid w:val="051C2CDE"/>
    <w:rsid w:val="052676B9"/>
    <w:rsid w:val="05402104"/>
    <w:rsid w:val="054162A1"/>
    <w:rsid w:val="054B35C3"/>
    <w:rsid w:val="05595CE0"/>
    <w:rsid w:val="056703FD"/>
    <w:rsid w:val="056A1C9B"/>
    <w:rsid w:val="057523EE"/>
    <w:rsid w:val="05852631"/>
    <w:rsid w:val="05940AC6"/>
    <w:rsid w:val="05CA098C"/>
    <w:rsid w:val="05CF7D50"/>
    <w:rsid w:val="05DE1D42"/>
    <w:rsid w:val="05FE23E4"/>
    <w:rsid w:val="062F07EF"/>
    <w:rsid w:val="063B3638"/>
    <w:rsid w:val="063E0A32"/>
    <w:rsid w:val="06562220"/>
    <w:rsid w:val="06EC048E"/>
    <w:rsid w:val="06F2019A"/>
    <w:rsid w:val="06F86E33"/>
    <w:rsid w:val="06FC4B75"/>
    <w:rsid w:val="06FF01C2"/>
    <w:rsid w:val="07041C7C"/>
    <w:rsid w:val="070659F4"/>
    <w:rsid w:val="070954E4"/>
    <w:rsid w:val="072D11D3"/>
    <w:rsid w:val="07322345"/>
    <w:rsid w:val="073A569E"/>
    <w:rsid w:val="07666493"/>
    <w:rsid w:val="07837045"/>
    <w:rsid w:val="07852DBD"/>
    <w:rsid w:val="07966D78"/>
    <w:rsid w:val="07A07BF6"/>
    <w:rsid w:val="07A34FF1"/>
    <w:rsid w:val="07A80859"/>
    <w:rsid w:val="07B40FAC"/>
    <w:rsid w:val="07C476FE"/>
    <w:rsid w:val="07CD6512"/>
    <w:rsid w:val="080A1514"/>
    <w:rsid w:val="08444A26"/>
    <w:rsid w:val="08685824"/>
    <w:rsid w:val="086F1377"/>
    <w:rsid w:val="087370B9"/>
    <w:rsid w:val="089D3320"/>
    <w:rsid w:val="08A059D4"/>
    <w:rsid w:val="08A76D63"/>
    <w:rsid w:val="08AC4379"/>
    <w:rsid w:val="08BF40AC"/>
    <w:rsid w:val="08C07E24"/>
    <w:rsid w:val="091A5787"/>
    <w:rsid w:val="091D5DB0"/>
    <w:rsid w:val="092B4317"/>
    <w:rsid w:val="09420839"/>
    <w:rsid w:val="09523172"/>
    <w:rsid w:val="09646A02"/>
    <w:rsid w:val="09727371"/>
    <w:rsid w:val="097906FF"/>
    <w:rsid w:val="098B3F8E"/>
    <w:rsid w:val="099A2423"/>
    <w:rsid w:val="09A80FE4"/>
    <w:rsid w:val="09C3197A"/>
    <w:rsid w:val="09DC2A3C"/>
    <w:rsid w:val="0A051F93"/>
    <w:rsid w:val="0A0F2E11"/>
    <w:rsid w:val="0A2368BD"/>
    <w:rsid w:val="0A375EC4"/>
    <w:rsid w:val="0A560A40"/>
    <w:rsid w:val="0A6273E5"/>
    <w:rsid w:val="0A894972"/>
    <w:rsid w:val="0A8A693C"/>
    <w:rsid w:val="0A8E01DA"/>
    <w:rsid w:val="0A995273"/>
    <w:rsid w:val="0AC77248"/>
    <w:rsid w:val="0ADB7197"/>
    <w:rsid w:val="0AE24082"/>
    <w:rsid w:val="0B0A4392"/>
    <w:rsid w:val="0B224DC6"/>
    <w:rsid w:val="0B2621C1"/>
    <w:rsid w:val="0B5A78B0"/>
    <w:rsid w:val="0B642CE9"/>
    <w:rsid w:val="0B7849E6"/>
    <w:rsid w:val="0B7E024F"/>
    <w:rsid w:val="0B7F5D75"/>
    <w:rsid w:val="0BB55B0D"/>
    <w:rsid w:val="0BB7550F"/>
    <w:rsid w:val="0BD065D0"/>
    <w:rsid w:val="0BDE2A9B"/>
    <w:rsid w:val="0BE45BD8"/>
    <w:rsid w:val="0BED2CDE"/>
    <w:rsid w:val="0BF027CF"/>
    <w:rsid w:val="0C0B3D36"/>
    <w:rsid w:val="0C281F69"/>
    <w:rsid w:val="0C2F1549"/>
    <w:rsid w:val="0C7451AE"/>
    <w:rsid w:val="0C774C9E"/>
    <w:rsid w:val="0C8353F1"/>
    <w:rsid w:val="0C874EE1"/>
    <w:rsid w:val="0C9E047D"/>
    <w:rsid w:val="0CA02447"/>
    <w:rsid w:val="0CA11297"/>
    <w:rsid w:val="0CBB4B8B"/>
    <w:rsid w:val="0CD10852"/>
    <w:rsid w:val="0CEA36C2"/>
    <w:rsid w:val="0CEC568C"/>
    <w:rsid w:val="0CF12CA2"/>
    <w:rsid w:val="0CF34325"/>
    <w:rsid w:val="0D0504FC"/>
    <w:rsid w:val="0D1D75F3"/>
    <w:rsid w:val="0D240982"/>
    <w:rsid w:val="0D6C2329"/>
    <w:rsid w:val="0D7C6A10"/>
    <w:rsid w:val="0D9A0C44"/>
    <w:rsid w:val="0DA90E87"/>
    <w:rsid w:val="0DD4721B"/>
    <w:rsid w:val="0DED346A"/>
    <w:rsid w:val="0E1C5AFD"/>
    <w:rsid w:val="0E3665B7"/>
    <w:rsid w:val="0E4B1F3E"/>
    <w:rsid w:val="0E4D4F80"/>
    <w:rsid w:val="0E6D45AA"/>
    <w:rsid w:val="0E924011"/>
    <w:rsid w:val="0EA16002"/>
    <w:rsid w:val="0EC71F0D"/>
    <w:rsid w:val="0ED10695"/>
    <w:rsid w:val="0ED168E7"/>
    <w:rsid w:val="0ED62150"/>
    <w:rsid w:val="0EDB32C2"/>
    <w:rsid w:val="0EE26D46"/>
    <w:rsid w:val="0EFF16A6"/>
    <w:rsid w:val="0F056591"/>
    <w:rsid w:val="0F072309"/>
    <w:rsid w:val="0F2033CB"/>
    <w:rsid w:val="0F242140"/>
    <w:rsid w:val="0F696B20"/>
    <w:rsid w:val="0F704352"/>
    <w:rsid w:val="0F7B6853"/>
    <w:rsid w:val="0F8676D2"/>
    <w:rsid w:val="0F8E47D8"/>
    <w:rsid w:val="0FD61CDB"/>
    <w:rsid w:val="0FDD306A"/>
    <w:rsid w:val="0FF3288D"/>
    <w:rsid w:val="10141182"/>
    <w:rsid w:val="101A606C"/>
    <w:rsid w:val="1021564D"/>
    <w:rsid w:val="102173FB"/>
    <w:rsid w:val="10246EEB"/>
    <w:rsid w:val="103A04BC"/>
    <w:rsid w:val="104A6951"/>
    <w:rsid w:val="10B95885"/>
    <w:rsid w:val="10E2302E"/>
    <w:rsid w:val="10E70644"/>
    <w:rsid w:val="10EC17B7"/>
    <w:rsid w:val="10ED552F"/>
    <w:rsid w:val="110805BA"/>
    <w:rsid w:val="110F36F7"/>
    <w:rsid w:val="11274EE5"/>
    <w:rsid w:val="11292A0B"/>
    <w:rsid w:val="1134315E"/>
    <w:rsid w:val="11393235"/>
    <w:rsid w:val="113B0990"/>
    <w:rsid w:val="113B3543"/>
    <w:rsid w:val="113D2012"/>
    <w:rsid w:val="11457119"/>
    <w:rsid w:val="11473D3D"/>
    <w:rsid w:val="114A0BD3"/>
    <w:rsid w:val="11553800"/>
    <w:rsid w:val="11675EC5"/>
    <w:rsid w:val="11692E07"/>
    <w:rsid w:val="117B0D8C"/>
    <w:rsid w:val="11812847"/>
    <w:rsid w:val="118E0AC0"/>
    <w:rsid w:val="11955942"/>
    <w:rsid w:val="119836EC"/>
    <w:rsid w:val="11B322D4"/>
    <w:rsid w:val="11BB562D"/>
    <w:rsid w:val="11E701D0"/>
    <w:rsid w:val="11FA43A7"/>
    <w:rsid w:val="121511E1"/>
    <w:rsid w:val="12202107"/>
    <w:rsid w:val="122D464D"/>
    <w:rsid w:val="124F64A1"/>
    <w:rsid w:val="1283614B"/>
    <w:rsid w:val="12863E8D"/>
    <w:rsid w:val="133631BD"/>
    <w:rsid w:val="135B2C24"/>
    <w:rsid w:val="136A2E67"/>
    <w:rsid w:val="13EC5F71"/>
    <w:rsid w:val="13F05A62"/>
    <w:rsid w:val="14060DE1"/>
    <w:rsid w:val="1437543F"/>
    <w:rsid w:val="14432035"/>
    <w:rsid w:val="144E09DA"/>
    <w:rsid w:val="14B940A6"/>
    <w:rsid w:val="14BB6070"/>
    <w:rsid w:val="14C03686"/>
    <w:rsid w:val="14D507B4"/>
    <w:rsid w:val="14FE5F5C"/>
    <w:rsid w:val="15003A82"/>
    <w:rsid w:val="151632A6"/>
    <w:rsid w:val="151B6B0E"/>
    <w:rsid w:val="152F25BA"/>
    <w:rsid w:val="157955E3"/>
    <w:rsid w:val="15842905"/>
    <w:rsid w:val="1585042C"/>
    <w:rsid w:val="158D0509"/>
    <w:rsid w:val="15A9236C"/>
    <w:rsid w:val="15B11221"/>
    <w:rsid w:val="15D54F0F"/>
    <w:rsid w:val="15D8055B"/>
    <w:rsid w:val="15F1161D"/>
    <w:rsid w:val="15F64E85"/>
    <w:rsid w:val="16443755"/>
    <w:rsid w:val="16610551"/>
    <w:rsid w:val="166E2C6E"/>
    <w:rsid w:val="169528F0"/>
    <w:rsid w:val="169923E1"/>
    <w:rsid w:val="16B33CF3"/>
    <w:rsid w:val="16D36F75"/>
    <w:rsid w:val="16E82A20"/>
    <w:rsid w:val="16FC64CC"/>
    <w:rsid w:val="17101F77"/>
    <w:rsid w:val="171E28E6"/>
    <w:rsid w:val="17285513"/>
    <w:rsid w:val="173C2D6C"/>
    <w:rsid w:val="175064E0"/>
    <w:rsid w:val="17575DF8"/>
    <w:rsid w:val="1759391E"/>
    <w:rsid w:val="179901BE"/>
    <w:rsid w:val="17AA4179"/>
    <w:rsid w:val="17DD00AB"/>
    <w:rsid w:val="17EC02EE"/>
    <w:rsid w:val="181C2D35"/>
    <w:rsid w:val="185F6D12"/>
    <w:rsid w:val="18711556"/>
    <w:rsid w:val="189E3CDE"/>
    <w:rsid w:val="18F16D85"/>
    <w:rsid w:val="19080C81"/>
    <w:rsid w:val="19235F91"/>
    <w:rsid w:val="194859F8"/>
    <w:rsid w:val="195F1EB6"/>
    <w:rsid w:val="196640D0"/>
    <w:rsid w:val="197B5DCD"/>
    <w:rsid w:val="198527A8"/>
    <w:rsid w:val="19B60BB4"/>
    <w:rsid w:val="19C01A32"/>
    <w:rsid w:val="19DE635C"/>
    <w:rsid w:val="19ED0C23"/>
    <w:rsid w:val="19F85AB4"/>
    <w:rsid w:val="19FD67E3"/>
    <w:rsid w:val="1A0A4C53"/>
    <w:rsid w:val="1A475CB0"/>
    <w:rsid w:val="1A6B4094"/>
    <w:rsid w:val="1A7016AA"/>
    <w:rsid w:val="1A7171D0"/>
    <w:rsid w:val="1A7F5449"/>
    <w:rsid w:val="1AB8095B"/>
    <w:rsid w:val="1ADD3E4A"/>
    <w:rsid w:val="1B087B35"/>
    <w:rsid w:val="1B222279"/>
    <w:rsid w:val="1B244243"/>
    <w:rsid w:val="1B486183"/>
    <w:rsid w:val="1B542D7A"/>
    <w:rsid w:val="1BC81072"/>
    <w:rsid w:val="1BF14125"/>
    <w:rsid w:val="1BFE6842"/>
    <w:rsid w:val="1C1442B7"/>
    <w:rsid w:val="1C2C7853"/>
    <w:rsid w:val="1C654B13"/>
    <w:rsid w:val="1C6C7C4F"/>
    <w:rsid w:val="1C6E7E6B"/>
    <w:rsid w:val="1C715266"/>
    <w:rsid w:val="1C962F1E"/>
    <w:rsid w:val="1C980A44"/>
    <w:rsid w:val="1C99656B"/>
    <w:rsid w:val="1C9D42AD"/>
    <w:rsid w:val="1CAA0778"/>
    <w:rsid w:val="1CCA15F3"/>
    <w:rsid w:val="1CCE4466"/>
    <w:rsid w:val="1CEC2B3E"/>
    <w:rsid w:val="1D0D31E0"/>
    <w:rsid w:val="1D107E8D"/>
    <w:rsid w:val="1D37200B"/>
    <w:rsid w:val="1D6B43AB"/>
    <w:rsid w:val="1DA43419"/>
    <w:rsid w:val="1DA67191"/>
    <w:rsid w:val="1DA8115B"/>
    <w:rsid w:val="1DBC4C07"/>
    <w:rsid w:val="1DC046F7"/>
    <w:rsid w:val="1DC35F95"/>
    <w:rsid w:val="1DF42A93"/>
    <w:rsid w:val="1E036392"/>
    <w:rsid w:val="1E116D00"/>
    <w:rsid w:val="1E1265D5"/>
    <w:rsid w:val="1E200CF1"/>
    <w:rsid w:val="1E2D1660"/>
    <w:rsid w:val="1E592455"/>
    <w:rsid w:val="1E834C72"/>
    <w:rsid w:val="1EAC4C7B"/>
    <w:rsid w:val="1EB53B30"/>
    <w:rsid w:val="1EE2244B"/>
    <w:rsid w:val="1EF74148"/>
    <w:rsid w:val="1EFD54D7"/>
    <w:rsid w:val="1F06438B"/>
    <w:rsid w:val="1F095C2A"/>
    <w:rsid w:val="1F130856"/>
    <w:rsid w:val="1F2760B0"/>
    <w:rsid w:val="1F3F789D"/>
    <w:rsid w:val="1F4849A4"/>
    <w:rsid w:val="1F6115C2"/>
    <w:rsid w:val="1F7237CF"/>
    <w:rsid w:val="1F8654CC"/>
    <w:rsid w:val="1F973235"/>
    <w:rsid w:val="1FA15E62"/>
    <w:rsid w:val="1FA37E2C"/>
    <w:rsid w:val="1FC326F8"/>
    <w:rsid w:val="1FD55B0C"/>
    <w:rsid w:val="1FEC17D3"/>
    <w:rsid w:val="1FF468DA"/>
    <w:rsid w:val="1FFB7C68"/>
    <w:rsid w:val="2011123A"/>
    <w:rsid w:val="205E01F7"/>
    <w:rsid w:val="20672C08"/>
    <w:rsid w:val="206A26F8"/>
    <w:rsid w:val="207E43F5"/>
    <w:rsid w:val="20825C93"/>
    <w:rsid w:val="20CE712B"/>
    <w:rsid w:val="20DB75CF"/>
    <w:rsid w:val="20FA1CCE"/>
    <w:rsid w:val="21130FE1"/>
    <w:rsid w:val="211865F8"/>
    <w:rsid w:val="21260D15"/>
    <w:rsid w:val="216332BA"/>
    <w:rsid w:val="217E39FA"/>
    <w:rsid w:val="21871088"/>
    <w:rsid w:val="21935C7E"/>
    <w:rsid w:val="2199558B"/>
    <w:rsid w:val="21C81DCC"/>
    <w:rsid w:val="21CB5418"/>
    <w:rsid w:val="21E07116"/>
    <w:rsid w:val="21EB1616"/>
    <w:rsid w:val="21F7445F"/>
    <w:rsid w:val="2210107D"/>
    <w:rsid w:val="2217065D"/>
    <w:rsid w:val="222F59A7"/>
    <w:rsid w:val="2245341D"/>
    <w:rsid w:val="22576CAC"/>
    <w:rsid w:val="22833F45"/>
    <w:rsid w:val="228E4DC3"/>
    <w:rsid w:val="229A208F"/>
    <w:rsid w:val="22BD1205"/>
    <w:rsid w:val="22C34341"/>
    <w:rsid w:val="22C5630B"/>
    <w:rsid w:val="22DB168B"/>
    <w:rsid w:val="22DD3655"/>
    <w:rsid w:val="23151041"/>
    <w:rsid w:val="2318468D"/>
    <w:rsid w:val="23245418"/>
    <w:rsid w:val="23360FB7"/>
    <w:rsid w:val="235651B5"/>
    <w:rsid w:val="23566F63"/>
    <w:rsid w:val="236E69A3"/>
    <w:rsid w:val="23735D67"/>
    <w:rsid w:val="238166D6"/>
    <w:rsid w:val="238B1303"/>
    <w:rsid w:val="23A91789"/>
    <w:rsid w:val="23BF0FAD"/>
    <w:rsid w:val="23CD24BD"/>
    <w:rsid w:val="23F46EA8"/>
    <w:rsid w:val="23FA3D93"/>
    <w:rsid w:val="242B219E"/>
    <w:rsid w:val="243948BB"/>
    <w:rsid w:val="245254CF"/>
    <w:rsid w:val="24572B1C"/>
    <w:rsid w:val="24724271"/>
    <w:rsid w:val="24AA3A0B"/>
    <w:rsid w:val="24B2466D"/>
    <w:rsid w:val="24D32F62"/>
    <w:rsid w:val="24D42836"/>
    <w:rsid w:val="25056E93"/>
    <w:rsid w:val="251D242F"/>
    <w:rsid w:val="251F7F55"/>
    <w:rsid w:val="25207829"/>
    <w:rsid w:val="252512E3"/>
    <w:rsid w:val="252F3F10"/>
    <w:rsid w:val="25657932"/>
    <w:rsid w:val="25714529"/>
    <w:rsid w:val="2584425C"/>
    <w:rsid w:val="258B7398"/>
    <w:rsid w:val="25AE752B"/>
    <w:rsid w:val="25B368EF"/>
    <w:rsid w:val="25C1725E"/>
    <w:rsid w:val="25E66CC5"/>
    <w:rsid w:val="25E92311"/>
    <w:rsid w:val="25EE5B79"/>
    <w:rsid w:val="26086C3B"/>
    <w:rsid w:val="261C4494"/>
    <w:rsid w:val="261F5D33"/>
    <w:rsid w:val="26265313"/>
    <w:rsid w:val="263E08AF"/>
    <w:rsid w:val="2650413E"/>
    <w:rsid w:val="26541E80"/>
    <w:rsid w:val="265579A6"/>
    <w:rsid w:val="265F25D3"/>
    <w:rsid w:val="26997893"/>
    <w:rsid w:val="26A76454"/>
    <w:rsid w:val="26AD63BE"/>
    <w:rsid w:val="26C37006"/>
    <w:rsid w:val="26D905D7"/>
    <w:rsid w:val="26E52AD8"/>
    <w:rsid w:val="26F92A28"/>
    <w:rsid w:val="26FE1DEC"/>
    <w:rsid w:val="272E26D1"/>
    <w:rsid w:val="273D0B66"/>
    <w:rsid w:val="274041B2"/>
    <w:rsid w:val="275D2FB6"/>
    <w:rsid w:val="27702CEA"/>
    <w:rsid w:val="277F4CDB"/>
    <w:rsid w:val="27D05536"/>
    <w:rsid w:val="27D52B4D"/>
    <w:rsid w:val="27E72880"/>
    <w:rsid w:val="27F136FF"/>
    <w:rsid w:val="28033B5E"/>
    <w:rsid w:val="280478D6"/>
    <w:rsid w:val="280B47C0"/>
    <w:rsid w:val="28137B19"/>
    <w:rsid w:val="2886653D"/>
    <w:rsid w:val="288A7DDB"/>
    <w:rsid w:val="288B5901"/>
    <w:rsid w:val="288D3427"/>
    <w:rsid w:val="288D78CB"/>
    <w:rsid w:val="28A10C81"/>
    <w:rsid w:val="28AB21B3"/>
    <w:rsid w:val="28B704A4"/>
    <w:rsid w:val="28BC1F5F"/>
    <w:rsid w:val="28BD0D4F"/>
    <w:rsid w:val="28C332ED"/>
    <w:rsid w:val="28D252DE"/>
    <w:rsid w:val="28DE3C83"/>
    <w:rsid w:val="28E15521"/>
    <w:rsid w:val="291476A5"/>
    <w:rsid w:val="294066EC"/>
    <w:rsid w:val="295D5210"/>
    <w:rsid w:val="29673C78"/>
    <w:rsid w:val="29791BFE"/>
    <w:rsid w:val="29BD5F8E"/>
    <w:rsid w:val="29D46E34"/>
    <w:rsid w:val="29D532D8"/>
    <w:rsid w:val="29F80D74"/>
    <w:rsid w:val="2A0F7F3F"/>
    <w:rsid w:val="2A135BAE"/>
    <w:rsid w:val="2A16744D"/>
    <w:rsid w:val="2A426494"/>
    <w:rsid w:val="2A645E48"/>
    <w:rsid w:val="2A781EB5"/>
    <w:rsid w:val="2A810D6A"/>
    <w:rsid w:val="2A846AAC"/>
    <w:rsid w:val="2AC11AAE"/>
    <w:rsid w:val="2AC450FA"/>
    <w:rsid w:val="2AE86267"/>
    <w:rsid w:val="2AF14141"/>
    <w:rsid w:val="2AF91248"/>
    <w:rsid w:val="2B043088"/>
    <w:rsid w:val="2B3C2EE3"/>
    <w:rsid w:val="2B473D61"/>
    <w:rsid w:val="2B5446D0"/>
    <w:rsid w:val="2BA70CA4"/>
    <w:rsid w:val="2BB313F7"/>
    <w:rsid w:val="2BBD4024"/>
    <w:rsid w:val="2BE47802"/>
    <w:rsid w:val="2BEC66B7"/>
    <w:rsid w:val="2BFD08C4"/>
    <w:rsid w:val="2C0F23A5"/>
    <w:rsid w:val="2C163734"/>
    <w:rsid w:val="2C267E1B"/>
    <w:rsid w:val="2C567FD4"/>
    <w:rsid w:val="2C646B95"/>
    <w:rsid w:val="2C701096"/>
    <w:rsid w:val="2C83526D"/>
    <w:rsid w:val="2C8D1C48"/>
    <w:rsid w:val="2C931228"/>
    <w:rsid w:val="2C9B33FA"/>
    <w:rsid w:val="2C9D5C03"/>
    <w:rsid w:val="2CB847EB"/>
    <w:rsid w:val="2CDE06F5"/>
    <w:rsid w:val="2D0A3299"/>
    <w:rsid w:val="2D177764"/>
    <w:rsid w:val="2D5664DE"/>
    <w:rsid w:val="2D984D48"/>
    <w:rsid w:val="2DA82AB1"/>
    <w:rsid w:val="2DC86CB0"/>
    <w:rsid w:val="2DDB69E3"/>
    <w:rsid w:val="2DDD275B"/>
    <w:rsid w:val="2DE24215"/>
    <w:rsid w:val="2E530C6F"/>
    <w:rsid w:val="2E725599"/>
    <w:rsid w:val="2E9F3EB4"/>
    <w:rsid w:val="2EBC4A66"/>
    <w:rsid w:val="2EC41B6D"/>
    <w:rsid w:val="2EC431FB"/>
    <w:rsid w:val="2EC61641"/>
    <w:rsid w:val="2EE61AE3"/>
    <w:rsid w:val="2EED4C20"/>
    <w:rsid w:val="2F1321AD"/>
    <w:rsid w:val="2F1536F3"/>
    <w:rsid w:val="2F3C7955"/>
    <w:rsid w:val="2F471B30"/>
    <w:rsid w:val="2F740E9D"/>
    <w:rsid w:val="2F923A19"/>
    <w:rsid w:val="2F9C21A2"/>
    <w:rsid w:val="2FB76FDC"/>
    <w:rsid w:val="2FB83480"/>
    <w:rsid w:val="2FCC6F2B"/>
    <w:rsid w:val="30450A8C"/>
    <w:rsid w:val="304C5976"/>
    <w:rsid w:val="306B04F2"/>
    <w:rsid w:val="307F6EEF"/>
    <w:rsid w:val="30907F59"/>
    <w:rsid w:val="30A752A2"/>
    <w:rsid w:val="30C714A1"/>
    <w:rsid w:val="30CB71E3"/>
    <w:rsid w:val="30DF4A3C"/>
    <w:rsid w:val="30E91417"/>
    <w:rsid w:val="30F80A25"/>
    <w:rsid w:val="3106021B"/>
    <w:rsid w:val="3166515D"/>
    <w:rsid w:val="318178A1"/>
    <w:rsid w:val="31827792"/>
    <w:rsid w:val="318616B8"/>
    <w:rsid w:val="31B95E63"/>
    <w:rsid w:val="31B9703B"/>
    <w:rsid w:val="31C546D3"/>
    <w:rsid w:val="31C81974"/>
    <w:rsid w:val="31DB4EB1"/>
    <w:rsid w:val="31EC7411"/>
    <w:rsid w:val="32197AF2"/>
    <w:rsid w:val="32496611"/>
    <w:rsid w:val="32690A61"/>
    <w:rsid w:val="32700042"/>
    <w:rsid w:val="32847F41"/>
    <w:rsid w:val="32911D66"/>
    <w:rsid w:val="32917FB8"/>
    <w:rsid w:val="32931F82"/>
    <w:rsid w:val="32A01FA9"/>
    <w:rsid w:val="32A41A99"/>
    <w:rsid w:val="32A52C77"/>
    <w:rsid w:val="32C043F9"/>
    <w:rsid w:val="32D560F7"/>
    <w:rsid w:val="332D7CE1"/>
    <w:rsid w:val="33410521"/>
    <w:rsid w:val="336B45E5"/>
    <w:rsid w:val="33751688"/>
    <w:rsid w:val="338B4A07"/>
    <w:rsid w:val="33B757FC"/>
    <w:rsid w:val="33C06DA7"/>
    <w:rsid w:val="34030A42"/>
    <w:rsid w:val="340B78F6"/>
    <w:rsid w:val="34142C4F"/>
    <w:rsid w:val="341A2690"/>
    <w:rsid w:val="348C0A37"/>
    <w:rsid w:val="34A42225"/>
    <w:rsid w:val="34A73AC3"/>
    <w:rsid w:val="34AD6365"/>
    <w:rsid w:val="34BD32E6"/>
    <w:rsid w:val="34F115F6"/>
    <w:rsid w:val="35044A71"/>
    <w:rsid w:val="355359F9"/>
    <w:rsid w:val="35610116"/>
    <w:rsid w:val="356B2D42"/>
    <w:rsid w:val="356E45E1"/>
    <w:rsid w:val="35B50461"/>
    <w:rsid w:val="35BF6BEA"/>
    <w:rsid w:val="35E30B2B"/>
    <w:rsid w:val="35ED19A9"/>
    <w:rsid w:val="35EE6847"/>
    <w:rsid w:val="36203B2D"/>
    <w:rsid w:val="36237179"/>
    <w:rsid w:val="36257395"/>
    <w:rsid w:val="363D5008"/>
    <w:rsid w:val="364610BA"/>
    <w:rsid w:val="36857E34"/>
    <w:rsid w:val="36981915"/>
    <w:rsid w:val="36BD75CE"/>
    <w:rsid w:val="36DB5CA6"/>
    <w:rsid w:val="37092813"/>
    <w:rsid w:val="370C40B1"/>
    <w:rsid w:val="37117919"/>
    <w:rsid w:val="37135440"/>
    <w:rsid w:val="37154A76"/>
    <w:rsid w:val="371D006C"/>
    <w:rsid w:val="371F5B92"/>
    <w:rsid w:val="37362EDC"/>
    <w:rsid w:val="375A306E"/>
    <w:rsid w:val="3789644B"/>
    <w:rsid w:val="378E0F6A"/>
    <w:rsid w:val="37922808"/>
    <w:rsid w:val="37983B97"/>
    <w:rsid w:val="37AD13F0"/>
    <w:rsid w:val="37B95FE7"/>
    <w:rsid w:val="37BE35FD"/>
    <w:rsid w:val="37CB7AC8"/>
    <w:rsid w:val="37DF17C6"/>
    <w:rsid w:val="38075B94"/>
    <w:rsid w:val="38286CC9"/>
    <w:rsid w:val="38303DCF"/>
    <w:rsid w:val="383C09C6"/>
    <w:rsid w:val="385B52F0"/>
    <w:rsid w:val="38683569"/>
    <w:rsid w:val="386A72E1"/>
    <w:rsid w:val="38765C86"/>
    <w:rsid w:val="38883C0B"/>
    <w:rsid w:val="38A04F51"/>
    <w:rsid w:val="38A74091"/>
    <w:rsid w:val="38C15B19"/>
    <w:rsid w:val="38CC0229"/>
    <w:rsid w:val="38D66725"/>
    <w:rsid w:val="38D97FC3"/>
    <w:rsid w:val="38DB3D3B"/>
    <w:rsid w:val="38DE382B"/>
    <w:rsid w:val="38F372D7"/>
    <w:rsid w:val="38F44DFD"/>
    <w:rsid w:val="39227BBC"/>
    <w:rsid w:val="392840E5"/>
    <w:rsid w:val="39350AB9"/>
    <w:rsid w:val="395D0BF4"/>
    <w:rsid w:val="396F7EBF"/>
    <w:rsid w:val="398B750F"/>
    <w:rsid w:val="39902D77"/>
    <w:rsid w:val="39A607ED"/>
    <w:rsid w:val="39A9208B"/>
    <w:rsid w:val="39CE1AF2"/>
    <w:rsid w:val="39D013C6"/>
    <w:rsid w:val="39D07618"/>
    <w:rsid w:val="39E5135D"/>
    <w:rsid w:val="39FE23D7"/>
    <w:rsid w:val="3A086DB2"/>
    <w:rsid w:val="3A325BDD"/>
    <w:rsid w:val="3A35391F"/>
    <w:rsid w:val="3A8C79E3"/>
    <w:rsid w:val="3A9F1E6D"/>
    <w:rsid w:val="3AB40CE8"/>
    <w:rsid w:val="3AB72586"/>
    <w:rsid w:val="3AC56A51"/>
    <w:rsid w:val="3AC76C6D"/>
    <w:rsid w:val="3ACA4067"/>
    <w:rsid w:val="3AD2116E"/>
    <w:rsid w:val="3AE50EA1"/>
    <w:rsid w:val="3B194FEF"/>
    <w:rsid w:val="3B516536"/>
    <w:rsid w:val="3B7010B2"/>
    <w:rsid w:val="3B742225"/>
    <w:rsid w:val="3B8D6CB0"/>
    <w:rsid w:val="3B8E778B"/>
    <w:rsid w:val="3B90705F"/>
    <w:rsid w:val="3B9603ED"/>
    <w:rsid w:val="3B9D46C1"/>
    <w:rsid w:val="3BA0301A"/>
    <w:rsid w:val="3BA66882"/>
    <w:rsid w:val="3BBA232E"/>
    <w:rsid w:val="3BBD1E1E"/>
    <w:rsid w:val="3BC431AC"/>
    <w:rsid w:val="3BCD02B3"/>
    <w:rsid w:val="3BD01B51"/>
    <w:rsid w:val="3BDC22A4"/>
    <w:rsid w:val="3BFA6BCE"/>
    <w:rsid w:val="3BFD221A"/>
    <w:rsid w:val="3C0B0DDB"/>
    <w:rsid w:val="3C1E28BD"/>
    <w:rsid w:val="3C21415B"/>
    <w:rsid w:val="3C406CD7"/>
    <w:rsid w:val="3C502C92"/>
    <w:rsid w:val="3C5938F5"/>
    <w:rsid w:val="3C65673D"/>
    <w:rsid w:val="3C7544A7"/>
    <w:rsid w:val="3C7E335B"/>
    <w:rsid w:val="3C8D359E"/>
    <w:rsid w:val="3C94492D"/>
    <w:rsid w:val="3C97441D"/>
    <w:rsid w:val="3CA07775"/>
    <w:rsid w:val="3CAB7EC8"/>
    <w:rsid w:val="3CCB2319"/>
    <w:rsid w:val="3CCC78B2"/>
    <w:rsid w:val="3CCD6091"/>
    <w:rsid w:val="3D053A7C"/>
    <w:rsid w:val="3D1E68EC"/>
    <w:rsid w:val="3D2263DC"/>
    <w:rsid w:val="3D910005"/>
    <w:rsid w:val="3D9B7F3D"/>
    <w:rsid w:val="3DA9265A"/>
    <w:rsid w:val="3DB37034"/>
    <w:rsid w:val="3DC70EF0"/>
    <w:rsid w:val="3DD60F75"/>
    <w:rsid w:val="3DE9514C"/>
    <w:rsid w:val="3DFC4E7F"/>
    <w:rsid w:val="3DFF04CC"/>
    <w:rsid w:val="3E09134A"/>
    <w:rsid w:val="3E2C1B6D"/>
    <w:rsid w:val="3E32264F"/>
    <w:rsid w:val="3E3F6323"/>
    <w:rsid w:val="3E5C147A"/>
    <w:rsid w:val="3E6842C3"/>
    <w:rsid w:val="3E6D7B2B"/>
    <w:rsid w:val="3E740EBA"/>
    <w:rsid w:val="3E7A3FF6"/>
    <w:rsid w:val="3E9055C8"/>
    <w:rsid w:val="3EE53B65"/>
    <w:rsid w:val="3EF43DA9"/>
    <w:rsid w:val="3F073ADC"/>
    <w:rsid w:val="3F32042D"/>
    <w:rsid w:val="3F357653"/>
    <w:rsid w:val="3F43235B"/>
    <w:rsid w:val="3F4563B2"/>
    <w:rsid w:val="3F56236D"/>
    <w:rsid w:val="3F5900B0"/>
    <w:rsid w:val="3F632CDC"/>
    <w:rsid w:val="3F6902F3"/>
    <w:rsid w:val="3F6E5909"/>
    <w:rsid w:val="3F780536"/>
    <w:rsid w:val="3F8E7D59"/>
    <w:rsid w:val="3FD15E98"/>
    <w:rsid w:val="3FEC69F0"/>
    <w:rsid w:val="3FF37BBC"/>
    <w:rsid w:val="400E0E9A"/>
    <w:rsid w:val="4061546E"/>
    <w:rsid w:val="406311E6"/>
    <w:rsid w:val="407A02DD"/>
    <w:rsid w:val="409969B6"/>
    <w:rsid w:val="409C0254"/>
    <w:rsid w:val="40A47108"/>
    <w:rsid w:val="40AF442B"/>
    <w:rsid w:val="40B557B9"/>
    <w:rsid w:val="40BC26A4"/>
    <w:rsid w:val="40EB4D37"/>
    <w:rsid w:val="40ED4F53"/>
    <w:rsid w:val="40EE20F5"/>
    <w:rsid w:val="41287D39"/>
    <w:rsid w:val="412F0A5C"/>
    <w:rsid w:val="41474664"/>
    <w:rsid w:val="414A4154"/>
    <w:rsid w:val="41654AEA"/>
    <w:rsid w:val="41831414"/>
    <w:rsid w:val="41856F3A"/>
    <w:rsid w:val="41DA54D8"/>
    <w:rsid w:val="41E00614"/>
    <w:rsid w:val="41E023C2"/>
    <w:rsid w:val="41E9571B"/>
    <w:rsid w:val="41EA3241"/>
    <w:rsid w:val="41F540C0"/>
    <w:rsid w:val="421B33FA"/>
    <w:rsid w:val="423B584A"/>
    <w:rsid w:val="426D00FA"/>
    <w:rsid w:val="42A17DA3"/>
    <w:rsid w:val="42AB29D0"/>
    <w:rsid w:val="42AC04F6"/>
    <w:rsid w:val="42BA70B7"/>
    <w:rsid w:val="42DF6B1E"/>
    <w:rsid w:val="42F06991"/>
    <w:rsid w:val="43012E27"/>
    <w:rsid w:val="430B16C1"/>
    <w:rsid w:val="430D368B"/>
    <w:rsid w:val="43236A0A"/>
    <w:rsid w:val="433724B6"/>
    <w:rsid w:val="433E55F2"/>
    <w:rsid w:val="435E3EE6"/>
    <w:rsid w:val="43686B13"/>
    <w:rsid w:val="436C03B1"/>
    <w:rsid w:val="438751EB"/>
    <w:rsid w:val="43BF2BD7"/>
    <w:rsid w:val="43C26223"/>
    <w:rsid w:val="43C55D14"/>
    <w:rsid w:val="43CC2BFE"/>
    <w:rsid w:val="43E50164"/>
    <w:rsid w:val="44006D4C"/>
    <w:rsid w:val="4407632C"/>
    <w:rsid w:val="44095C00"/>
    <w:rsid w:val="440C749E"/>
    <w:rsid w:val="442B201A"/>
    <w:rsid w:val="44366C11"/>
    <w:rsid w:val="445F7F16"/>
    <w:rsid w:val="44670B79"/>
    <w:rsid w:val="447B4624"/>
    <w:rsid w:val="449776B0"/>
    <w:rsid w:val="44AD0C81"/>
    <w:rsid w:val="44AE49FA"/>
    <w:rsid w:val="44DD0E3B"/>
    <w:rsid w:val="44DE52DF"/>
    <w:rsid w:val="44E64193"/>
    <w:rsid w:val="451505D5"/>
    <w:rsid w:val="45195461"/>
    <w:rsid w:val="451F76A5"/>
    <w:rsid w:val="4521341D"/>
    <w:rsid w:val="453E5D7D"/>
    <w:rsid w:val="45486BFC"/>
    <w:rsid w:val="455C26A8"/>
    <w:rsid w:val="457572C5"/>
    <w:rsid w:val="45774DEB"/>
    <w:rsid w:val="45A21B11"/>
    <w:rsid w:val="45D16BF2"/>
    <w:rsid w:val="45E701C3"/>
    <w:rsid w:val="45EE1552"/>
    <w:rsid w:val="461F5BAF"/>
    <w:rsid w:val="463F1DAD"/>
    <w:rsid w:val="4645232A"/>
    <w:rsid w:val="46492C2C"/>
    <w:rsid w:val="464C44CA"/>
    <w:rsid w:val="464E0242"/>
    <w:rsid w:val="468123C6"/>
    <w:rsid w:val="46853538"/>
    <w:rsid w:val="46902609"/>
    <w:rsid w:val="469A5235"/>
    <w:rsid w:val="469D6AD4"/>
    <w:rsid w:val="46A95479"/>
    <w:rsid w:val="46AB7443"/>
    <w:rsid w:val="46C44060"/>
    <w:rsid w:val="46DA1AD6"/>
    <w:rsid w:val="46ED7A5B"/>
    <w:rsid w:val="46FE0AB8"/>
    <w:rsid w:val="47040901"/>
    <w:rsid w:val="470B6133"/>
    <w:rsid w:val="47282841"/>
    <w:rsid w:val="47356D0C"/>
    <w:rsid w:val="47775577"/>
    <w:rsid w:val="47A125F4"/>
    <w:rsid w:val="47C35132"/>
    <w:rsid w:val="47D46525"/>
    <w:rsid w:val="47E349BA"/>
    <w:rsid w:val="47E81234"/>
    <w:rsid w:val="48023D6D"/>
    <w:rsid w:val="481C26D0"/>
    <w:rsid w:val="48360F8E"/>
    <w:rsid w:val="483671E0"/>
    <w:rsid w:val="484F3DFE"/>
    <w:rsid w:val="487B2E45"/>
    <w:rsid w:val="487D6BBD"/>
    <w:rsid w:val="48873598"/>
    <w:rsid w:val="488C6E00"/>
    <w:rsid w:val="48965ED0"/>
    <w:rsid w:val="48A00AFD"/>
    <w:rsid w:val="48B85E47"/>
    <w:rsid w:val="48D013E2"/>
    <w:rsid w:val="48D044F4"/>
    <w:rsid w:val="49033566"/>
    <w:rsid w:val="490C1CEF"/>
    <w:rsid w:val="490C7F41"/>
    <w:rsid w:val="49115557"/>
    <w:rsid w:val="49211C3E"/>
    <w:rsid w:val="495E69EE"/>
    <w:rsid w:val="4981448B"/>
    <w:rsid w:val="498B70B7"/>
    <w:rsid w:val="49937936"/>
    <w:rsid w:val="49D22F38"/>
    <w:rsid w:val="49EC3FFA"/>
    <w:rsid w:val="49F17862"/>
    <w:rsid w:val="4A2512BA"/>
    <w:rsid w:val="4A253068"/>
    <w:rsid w:val="4A3414FD"/>
    <w:rsid w:val="4A5E47CC"/>
    <w:rsid w:val="4A7B712C"/>
    <w:rsid w:val="4A7D10F6"/>
    <w:rsid w:val="4A881849"/>
    <w:rsid w:val="4A897A9B"/>
    <w:rsid w:val="4AA06B93"/>
    <w:rsid w:val="4AB4263E"/>
    <w:rsid w:val="4ABD14F2"/>
    <w:rsid w:val="4ABE526B"/>
    <w:rsid w:val="4AC15E63"/>
    <w:rsid w:val="4AD056CA"/>
    <w:rsid w:val="4AD1197D"/>
    <w:rsid w:val="4AD60806"/>
    <w:rsid w:val="4AD8457E"/>
    <w:rsid w:val="4AE178D7"/>
    <w:rsid w:val="4B054C48"/>
    <w:rsid w:val="4B0A4C46"/>
    <w:rsid w:val="4B137364"/>
    <w:rsid w:val="4B1F3F5B"/>
    <w:rsid w:val="4B3A0D95"/>
    <w:rsid w:val="4B645E12"/>
    <w:rsid w:val="4B6A04B2"/>
    <w:rsid w:val="4B887D52"/>
    <w:rsid w:val="4B8B3770"/>
    <w:rsid w:val="4BA95F1B"/>
    <w:rsid w:val="4BAB3A41"/>
    <w:rsid w:val="4BC114B6"/>
    <w:rsid w:val="4BCF27B1"/>
    <w:rsid w:val="4BD25472"/>
    <w:rsid w:val="4C0F5D7E"/>
    <w:rsid w:val="4C2537F3"/>
    <w:rsid w:val="4C8D3147"/>
    <w:rsid w:val="4C9444D5"/>
    <w:rsid w:val="4CB16E35"/>
    <w:rsid w:val="4CDF7E46"/>
    <w:rsid w:val="4CE92A73"/>
    <w:rsid w:val="4D07114B"/>
    <w:rsid w:val="4D1E2B24"/>
    <w:rsid w:val="4D2717ED"/>
    <w:rsid w:val="4D292E6F"/>
    <w:rsid w:val="4D2E0486"/>
    <w:rsid w:val="4D5A74CD"/>
    <w:rsid w:val="4D602609"/>
    <w:rsid w:val="4D6C7200"/>
    <w:rsid w:val="4D706CF0"/>
    <w:rsid w:val="4D714816"/>
    <w:rsid w:val="4D834C75"/>
    <w:rsid w:val="4D891B60"/>
    <w:rsid w:val="4D8B3B2A"/>
    <w:rsid w:val="4DC442C6"/>
    <w:rsid w:val="4DC46900"/>
    <w:rsid w:val="4DD454D1"/>
    <w:rsid w:val="4DED6593"/>
    <w:rsid w:val="4DF3347D"/>
    <w:rsid w:val="4E015B9A"/>
    <w:rsid w:val="4E092CA1"/>
    <w:rsid w:val="4E141D71"/>
    <w:rsid w:val="4E1753BE"/>
    <w:rsid w:val="4E2D698F"/>
    <w:rsid w:val="4E395334"/>
    <w:rsid w:val="4E6F6FA8"/>
    <w:rsid w:val="4E796078"/>
    <w:rsid w:val="4E962786"/>
    <w:rsid w:val="4EB42C0C"/>
    <w:rsid w:val="4EBB21ED"/>
    <w:rsid w:val="4EC2357B"/>
    <w:rsid w:val="4ED82D9F"/>
    <w:rsid w:val="4EFD2805"/>
    <w:rsid w:val="4F2F1EE4"/>
    <w:rsid w:val="4F4C72E9"/>
    <w:rsid w:val="4F5A37B4"/>
    <w:rsid w:val="4F5B74ED"/>
    <w:rsid w:val="4F5D14F6"/>
    <w:rsid w:val="4F5F526E"/>
    <w:rsid w:val="4F844CD5"/>
    <w:rsid w:val="4FAB400F"/>
    <w:rsid w:val="4FDA48F5"/>
    <w:rsid w:val="4FDD6193"/>
    <w:rsid w:val="4FF43C08"/>
    <w:rsid w:val="502142D2"/>
    <w:rsid w:val="50493828"/>
    <w:rsid w:val="505C4476"/>
    <w:rsid w:val="50A15412"/>
    <w:rsid w:val="50B05655"/>
    <w:rsid w:val="50D43A3A"/>
    <w:rsid w:val="50DD28EE"/>
    <w:rsid w:val="50FB4B23"/>
    <w:rsid w:val="511E6A63"/>
    <w:rsid w:val="51295B34"/>
    <w:rsid w:val="513154EA"/>
    <w:rsid w:val="51360251"/>
    <w:rsid w:val="513B5867"/>
    <w:rsid w:val="513D513B"/>
    <w:rsid w:val="514069D9"/>
    <w:rsid w:val="516721B8"/>
    <w:rsid w:val="51B00003"/>
    <w:rsid w:val="51BB1872"/>
    <w:rsid w:val="51DA0BDC"/>
    <w:rsid w:val="51DC2BA6"/>
    <w:rsid w:val="51FD18BA"/>
    <w:rsid w:val="51FF0643"/>
    <w:rsid w:val="520C2D5F"/>
    <w:rsid w:val="52120376"/>
    <w:rsid w:val="52157E66"/>
    <w:rsid w:val="523227C6"/>
    <w:rsid w:val="52350508"/>
    <w:rsid w:val="52621968"/>
    <w:rsid w:val="52A64F62"/>
    <w:rsid w:val="52B7716F"/>
    <w:rsid w:val="52BC4786"/>
    <w:rsid w:val="52D27B05"/>
    <w:rsid w:val="53166804"/>
    <w:rsid w:val="532742F5"/>
    <w:rsid w:val="5343196D"/>
    <w:rsid w:val="537B63EF"/>
    <w:rsid w:val="54240834"/>
    <w:rsid w:val="544607AB"/>
    <w:rsid w:val="544762D1"/>
    <w:rsid w:val="544D38E7"/>
    <w:rsid w:val="54520835"/>
    <w:rsid w:val="546B7FEA"/>
    <w:rsid w:val="547C241E"/>
    <w:rsid w:val="548117E3"/>
    <w:rsid w:val="548A4B3B"/>
    <w:rsid w:val="54C16083"/>
    <w:rsid w:val="54D47B64"/>
    <w:rsid w:val="54E57FC4"/>
    <w:rsid w:val="54FB1595"/>
    <w:rsid w:val="550146D2"/>
    <w:rsid w:val="5503669C"/>
    <w:rsid w:val="55050666"/>
    <w:rsid w:val="55191A1B"/>
    <w:rsid w:val="55197C6D"/>
    <w:rsid w:val="55202DAA"/>
    <w:rsid w:val="555111B5"/>
    <w:rsid w:val="556A671B"/>
    <w:rsid w:val="55747599"/>
    <w:rsid w:val="558F7F2F"/>
    <w:rsid w:val="559B2D78"/>
    <w:rsid w:val="55BE25C3"/>
    <w:rsid w:val="55D83684"/>
    <w:rsid w:val="55DD513F"/>
    <w:rsid w:val="55EC35D4"/>
    <w:rsid w:val="56162CC9"/>
    <w:rsid w:val="562C39D0"/>
    <w:rsid w:val="563A60ED"/>
    <w:rsid w:val="5661367A"/>
    <w:rsid w:val="56674A08"/>
    <w:rsid w:val="5669593C"/>
    <w:rsid w:val="566E5F5F"/>
    <w:rsid w:val="56701B0F"/>
    <w:rsid w:val="567315FF"/>
    <w:rsid w:val="567A0BDF"/>
    <w:rsid w:val="568F468B"/>
    <w:rsid w:val="56A22E34"/>
    <w:rsid w:val="56A874FB"/>
    <w:rsid w:val="56B91708"/>
    <w:rsid w:val="56CA56C3"/>
    <w:rsid w:val="56CD51B3"/>
    <w:rsid w:val="56CD6F61"/>
    <w:rsid w:val="56D007FF"/>
    <w:rsid w:val="56DA342C"/>
    <w:rsid w:val="56DF1904"/>
    <w:rsid w:val="56E9366F"/>
    <w:rsid w:val="56F95FA8"/>
    <w:rsid w:val="56FB3ACE"/>
    <w:rsid w:val="56FF2E93"/>
    <w:rsid w:val="570861EB"/>
    <w:rsid w:val="570D3802"/>
    <w:rsid w:val="570E6FC5"/>
    <w:rsid w:val="5748483A"/>
    <w:rsid w:val="57544F8D"/>
    <w:rsid w:val="57650F48"/>
    <w:rsid w:val="576C677A"/>
    <w:rsid w:val="576E7594"/>
    <w:rsid w:val="577A5F39"/>
    <w:rsid w:val="577D0987"/>
    <w:rsid w:val="57882E88"/>
    <w:rsid w:val="57B8376D"/>
    <w:rsid w:val="57CD4D3F"/>
    <w:rsid w:val="57F27024"/>
    <w:rsid w:val="580B5F93"/>
    <w:rsid w:val="581D7A74"/>
    <w:rsid w:val="581F37ED"/>
    <w:rsid w:val="58256929"/>
    <w:rsid w:val="583A23D4"/>
    <w:rsid w:val="584B2834"/>
    <w:rsid w:val="58515970"/>
    <w:rsid w:val="58550FBC"/>
    <w:rsid w:val="586C4558"/>
    <w:rsid w:val="589046EA"/>
    <w:rsid w:val="58931AE5"/>
    <w:rsid w:val="58935F89"/>
    <w:rsid w:val="58A40196"/>
    <w:rsid w:val="58F22CAF"/>
    <w:rsid w:val="59253085"/>
    <w:rsid w:val="59484FC5"/>
    <w:rsid w:val="595A2602"/>
    <w:rsid w:val="597638E0"/>
    <w:rsid w:val="5976568E"/>
    <w:rsid w:val="59965D30"/>
    <w:rsid w:val="59A87812"/>
    <w:rsid w:val="59D40607"/>
    <w:rsid w:val="59D57BE2"/>
    <w:rsid w:val="59DB3743"/>
    <w:rsid w:val="59F20A8D"/>
    <w:rsid w:val="59F667CF"/>
    <w:rsid w:val="59FB2037"/>
    <w:rsid w:val="5A094754"/>
    <w:rsid w:val="5A0B7EEC"/>
    <w:rsid w:val="5A2A6479"/>
    <w:rsid w:val="5A366BCB"/>
    <w:rsid w:val="5A44034B"/>
    <w:rsid w:val="5A491DB7"/>
    <w:rsid w:val="5A713E1B"/>
    <w:rsid w:val="5AA77AC9"/>
    <w:rsid w:val="5AA955EF"/>
    <w:rsid w:val="5AB521E6"/>
    <w:rsid w:val="5AD76600"/>
    <w:rsid w:val="5AE91E90"/>
    <w:rsid w:val="5AF70A51"/>
    <w:rsid w:val="5AFC6067"/>
    <w:rsid w:val="5B3255E5"/>
    <w:rsid w:val="5B3F5F54"/>
    <w:rsid w:val="5B490B80"/>
    <w:rsid w:val="5B5419FF"/>
    <w:rsid w:val="5B767BC7"/>
    <w:rsid w:val="5B7A6F8C"/>
    <w:rsid w:val="5B7B1CE2"/>
    <w:rsid w:val="5B8F052B"/>
    <w:rsid w:val="5BB029AE"/>
    <w:rsid w:val="5BDB3ECE"/>
    <w:rsid w:val="5BED775E"/>
    <w:rsid w:val="5C252EE1"/>
    <w:rsid w:val="5C25514A"/>
    <w:rsid w:val="5C2C0286"/>
    <w:rsid w:val="5C533A65"/>
    <w:rsid w:val="5C71213D"/>
    <w:rsid w:val="5C7F2AAC"/>
    <w:rsid w:val="5CD64696"/>
    <w:rsid w:val="5CD728E8"/>
    <w:rsid w:val="5CE97CE3"/>
    <w:rsid w:val="5CF3349A"/>
    <w:rsid w:val="5D137698"/>
    <w:rsid w:val="5D3715D8"/>
    <w:rsid w:val="5D3970FE"/>
    <w:rsid w:val="5D415FB3"/>
    <w:rsid w:val="5D4F6922"/>
    <w:rsid w:val="5D777C27"/>
    <w:rsid w:val="5D8A795A"/>
    <w:rsid w:val="5D900CE9"/>
    <w:rsid w:val="5D953CD4"/>
    <w:rsid w:val="5DBC388C"/>
    <w:rsid w:val="5DBE678B"/>
    <w:rsid w:val="5DCD3CEB"/>
    <w:rsid w:val="5DEA664B"/>
    <w:rsid w:val="5E072D15"/>
    <w:rsid w:val="5E0B5B3D"/>
    <w:rsid w:val="5E1C7DE3"/>
    <w:rsid w:val="5E2A2EEB"/>
    <w:rsid w:val="5E451AD3"/>
    <w:rsid w:val="5E563CE0"/>
    <w:rsid w:val="5E587A58"/>
    <w:rsid w:val="5E5E18DF"/>
    <w:rsid w:val="5E8720EC"/>
    <w:rsid w:val="5E9071F2"/>
    <w:rsid w:val="5E9B7945"/>
    <w:rsid w:val="5F170A2D"/>
    <w:rsid w:val="5F1D65AC"/>
    <w:rsid w:val="5F217E4A"/>
    <w:rsid w:val="5F24793A"/>
    <w:rsid w:val="5F2E07B9"/>
    <w:rsid w:val="5F526256"/>
    <w:rsid w:val="5F57386C"/>
    <w:rsid w:val="5F5A7800"/>
    <w:rsid w:val="5F7A1C50"/>
    <w:rsid w:val="5F920D48"/>
    <w:rsid w:val="5F9E76ED"/>
    <w:rsid w:val="5FAD5B82"/>
    <w:rsid w:val="5FBB029F"/>
    <w:rsid w:val="5FD27396"/>
    <w:rsid w:val="5FFC2665"/>
    <w:rsid w:val="60011A2A"/>
    <w:rsid w:val="600A6B30"/>
    <w:rsid w:val="600C0AFA"/>
    <w:rsid w:val="601479AF"/>
    <w:rsid w:val="601B0D3D"/>
    <w:rsid w:val="601B2AEB"/>
    <w:rsid w:val="6062696C"/>
    <w:rsid w:val="60765F74"/>
    <w:rsid w:val="60A01243"/>
    <w:rsid w:val="60AE7E03"/>
    <w:rsid w:val="60E07891"/>
    <w:rsid w:val="60E455D3"/>
    <w:rsid w:val="60F35816"/>
    <w:rsid w:val="612B1454"/>
    <w:rsid w:val="61461DEA"/>
    <w:rsid w:val="61475B62"/>
    <w:rsid w:val="61500EBB"/>
    <w:rsid w:val="615564D1"/>
    <w:rsid w:val="615C160D"/>
    <w:rsid w:val="61606FA1"/>
    <w:rsid w:val="619A2136"/>
    <w:rsid w:val="61B01959"/>
    <w:rsid w:val="61DF5D9B"/>
    <w:rsid w:val="61E810F3"/>
    <w:rsid w:val="61F061FA"/>
    <w:rsid w:val="6200468F"/>
    <w:rsid w:val="620A72BB"/>
    <w:rsid w:val="62402CDD"/>
    <w:rsid w:val="62516C98"/>
    <w:rsid w:val="62797F9D"/>
    <w:rsid w:val="628250A4"/>
    <w:rsid w:val="6287513D"/>
    <w:rsid w:val="629628FD"/>
    <w:rsid w:val="62C54F90"/>
    <w:rsid w:val="62EA6483"/>
    <w:rsid w:val="62F45876"/>
    <w:rsid w:val="634C1B9D"/>
    <w:rsid w:val="636724EC"/>
    <w:rsid w:val="63690012"/>
    <w:rsid w:val="637B1AF3"/>
    <w:rsid w:val="6393508F"/>
    <w:rsid w:val="63A4104A"/>
    <w:rsid w:val="63A92B04"/>
    <w:rsid w:val="63B15515"/>
    <w:rsid w:val="63B219B9"/>
    <w:rsid w:val="63D0424F"/>
    <w:rsid w:val="63FF2724"/>
    <w:rsid w:val="6417549C"/>
    <w:rsid w:val="642B52C7"/>
    <w:rsid w:val="64C574CA"/>
    <w:rsid w:val="64C80D68"/>
    <w:rsid w:val="64FF0C2E"/>
    <w:rsid w:val="650C334B"/>
    <w:rsid w:val="65102634"/>
    <w:rsid w:val="6513504E"/>
    <w:rsid w:val="65404DA2"/>
    <w:rsid w:val="65532D27"/>
    <w:rsid w:val="65566374"/>
    <w:rsid w:val="65644F35"/>
    <w:rsid w:val="65660CAD"/>
    <w:rsid w:val="6587477F"/>
    <w:rsid w:val="658904F7"/>
    <w:rsid w:val="658E5B0E"/>
    <w:rsid w:val="65A43583"/>
    <w:rsid w:val="65AC2438"/>
    <w:rsid w:val="661E3335"/>
    <w:rsid w:val="66237C80"/>
    <w:rsid w:val="66320795"/>
    <w:rsid w:val="663A5C95"/>
    <w:rsid w:val="66777EBD"/>
    <w:rsid w:val="669435F8"/>
    <w:rsid w:val="66967370"/>
    <w:rsid w:val="66B028AC"/>
    <w:rsid w:val="66FE6CC3"/>
    <w:rsid w:val="67283D40"/>
    <w:rsid w:val="6739419F"/>
    <w:rsid w:val="67472418"/>
    <w:rsid w:val="67515045"/>
    <w:rsid w:val="6753700F"/>
    <w:rsid w:val="6759039D"/>
    <w:rsid w:val="67B37AAD"/>
    <w:rsid w:val="67C9107F"/>
    <w:rsid w:val="67F24A7A"/>
    <w:rsid w:val="68060525"/>
    <w:rsid w:val="68064081"/>
    <w:rsid w:val="682B7F8C"/>
    <w:rsid w:val="683F3A37"/>
    <w:rsid w:val="685F19E3"/>
    <w:rsid w:val="68703BF0"/>
    <w:rsid w:val="68774F7F"/>
    <w:rsid w:val="687F5BE1"/>
    <w:rsid w:val="688356D2"/>
    <w:rsid w:val="689B6EBF"/>
    <w:rsid w:val="68A815DC"/>
    <w:rsid w:val="68AD6BF3"/>
    <w:rsid w:val="68E819D9"/>
    <w:rsid w:val="69194288"/>
    <w:rsid w:val="692C3FBB"/>
    <w:rsid w:val="6965127B"/>
    <w:rsid w:val="69796AD5"/>
    <w:rsid w:val="69894F6A"/>
    <w:rsid w:val="69A43B52"/>
    <w:rsid w:val="69BB70ED"/>
    <w:rsid w:val="69C2047C"/>
    <w:rsid w:val="69C53AC8"/>
    <w:rsid w:val="69CA05AB"/>
    <w:rsid w:val="69D72179"/>
    <w:rsid w:val="69E55F18"/>
    <w:rsid w:val="69FA7C16"/>
    <w:rsid w:val="6A197A60"/>
    <w:rsid w:val="6A6D6639"/>
    <w:rsid w:val="6A873989"/>
    <w:rsid w:val="6AAA163C"/>
    <w:rsid w:val="6AC94DB6"/>
    <w:rsid w:val="6AE042DF"/>
    <w:rsid w:val="6AEB57B0"/>
    <w:rsid w:val="6AFE54E3"/>
    <w:rsid w:val="6B032AFA"/>
    <w:rsid w:val="6B0A20DA"/>
    <w:rsid w:val="6B1B42E7"/>
    <w:rsid w:val="6B4E646B"/>
    <w:rsid w:val="6B5477F9"/>
    <w:rsid w:val="6B560E7C"/>
    <w:rsid w:val="6B5B2936"/>
    <w:rsid w:val="6B7632CC"/>
    <w:rsid w:val="6BB362CE"/>
    <w:rsid w:val="6BB47F24"/>
    <w:rsid w:val="6BB64010"/>
    <w:rsid w:val="6BD959FF"/>
    <w:rsid w:val="6BDB5825"/>
    <w:rsid w:val="6BEA5A68"/>
    <w:rsid w:val="6BF51A88"/>
    <w:rsid w:val="6C0E1756"/>
    <w:rsid w:val="6C145B45"/>
    <w:rsid w:val="6C215D13"/>
    <w:rsid w:val="6C303DC2"/>
    <w:rsid w:val="6C313697"/>
    <w:rsid w:val="6C4C227F"/>
    <w:rsid w:val="6C553829"/>
    <w:rsid w:val="6C865790"/>
    <w:rsid w:val="6C891725"/>
    <w:rsid w:val="6C922387"/>
    <w:rsid w:val="6CB542C8"/>
    <w:rsid w:val="6CC62031"/>
    <w:rsid w:val="6CE801F9"/>
    <w:rsid w:val="6CF3094C"/>
    <w:rsid w:val="6D1234C8"/>
    <w:rsid w:val="6D325918"/>
    <w:rsid w:val="6D5533B5"/>
    <w:rsid w:val="6D611D5A"/>
    <w:rsid w:val="6D763A57"/>
    <w:rsid w:val="6D7D4DE5"/>
    <w:rsid w:val="6D8617C0"/>
    <w:rsid w:val="6DAD31F1"/>
    <w:rsid w:val="6DBB76BC"/>
    <w:rsid w:val="6DD8201C"/>
    <w:rsid w:val="6DFB5D0A"/>
    <w:rsid w:val="6E0F17B6"/>
    <w:rsid w:val="6E2711F5"/>
    <w:rsid w:val="6E3556C0"/>
    <w:rsid w:val="6E4E0530"/>
    <w:rsid w:val="6E6E2980"/>
    <w:rsid w:val="6E70494A"/>
    <w:rsid w:val="6E761835"/>
    <w:rsid w:val="6E8E6B7E"/>
    <w:rsid w:val="6E9248C1"/>
    <w:rsid w:val="6EA168B2"/>
    <w:rsid w:val="6ED547AD"/>
    <w:rsid w:val="6EF56BFD"/>
    <w:rsid w:val="6F046E40"/>
    <w:rsid w:val="6F0532E4"/>
    <w:rsid w:val="6F103A37"/>
    <w:rsid w:val="6F196D90"/>
    <w:rsid w:val="6F241291"/>
    <w:rsid w:val="6F257EE0"/>
    <w:rsid w:val="6F4162E7"/>
    <w:rsid w:val="6F5A0BBC"/>
    <w:rsid w:val="6F7246F2"/>
    <w:rsid w:val="6F773AB6"/>
    <w:rsid w:val="6F863CF9"/>
    <w:rsid w:val="6F8F0C34"/>
    <w:rsid w:val="6FBD3BBF"/>
    <w:rsid w:val="6FD35191"/>
    <w:rsid w:val="6FD9207B"/>
    <w:rsid w:val="6FDB4045"/>
    <w:rsid w:val="6FEE1FCA"/>
    <w:rsid w:val="6FF13F65"/>
    <w:rsid w:val="6FF9096F"/>
    <w:rsid w:val="700B7BF8"/>
    <w:rsid w:val="70187047"/>
    <w:rsid w:val="703025E3"/>
    <w:rsid w:val="70343755"/>
    <w:rsid w:val="70383246"/>
    <w:rsid w:val="70455963"/>
    <w:rsid w:val="70512559"/>
    <w:rsid w:val="7056191E"/>
    <w:rsid w:val="70587444"/>
    <w:rsid w:val="705A140E"/>
    <w:rsid w:val="70652E56"/>
    <w:rsid w:val="7071299A"/>
    <w:rsid w:val="70950698"/>
    <w:rsid w:val="709A7A5C"/>
    <w:rsid w:val="70A00DEB"/>
    <w:rsid w:val="70BA1EAD"/>
    <w:rsid w:val="70CC398E"/>
    <w:rsid w:val="70D15923"/>
    <w:rsid w:val="70F51137"/>
    <w:rsid w:val="711A294B"/>
    <w:rsid w:val="711F61B4"/>
    <w:rsid w:val="71353C29"/>
    <w:rsid w:val="714A3C24"/>
    <w:rsid w:val="715F14A7"/>
    <w:rsid w:val="71600CA6"/>
    <w:rsid w:val="71662034"/>
    <w:rsid w:val="717007BD"/>
    <w:rsid w:val="71714CED"/>
    <w:rsid w:val="718B2DC5"/>
    <w:rsid w:val="719C15B2"/>
    <w:rsid w:val="719C7804"/>
    <w:rsid w:val="71A768D5"/>
    <w:rsid w:val="71AA3BDE"/>
    <w:rsid w:val="71FB277D"/>
    <w:rsid w:val="720C424C"/>
    <w:rsid w:val="72127AC6"/>
    <w:rsid w:val="7218332F"/>
    <w:rsid w:val="72242894"/>
    <w:rsid w:val="723D0FE7"/>
    <w:rsid w:val="723E08BB"/>
    <w:rsid w:val="724834E8"/>
    <w:rsid w:val="725D51E5"/>
    <w:rsid w:val="7265409A"/>
    <w:rsid w:val="72695938"/>
    <w:rsid w:val="726B5B54"/>
    <w:rsid w:val="7295497F"/>
    <w:rsid w:val="729C5939"/>
    <w:rsid w:val="72A44BC2"/>
    <w:rsid w:val="72CB5037"/>
    <w:rsid w:val="72D03C09"/>
    <w:rsid w:val="72DD00D4"/>
    <w:rsid w:val="731E2BC7"/>
    <w:rsid w:val="732301DD"/>
    <w:rsid w:val="733C129F"/>
    <w:rsid w:val="735008A6"/>
    <w:rsid w:val="735859AD"/>
    <w:rsid w:val="73625DA7"/>
    <w:rsid w:val="738D5656"/>
    <w:rsid w:val="738E59B0"/>
    <w:rsid w:val="739B33FC"/>
    <w:rsid w:val="73A429A0"/>
    <w:rsid w:val="74055B35"/>
    <w:rsid w:val="74281823"/>
    <w:rsid w:val="747915C9"/>
    <w:rsid w:val="7496678D"/>
    <w:rsid w:val="74A4534E"/>
    <w:rsid w:val="74A569D0"/>
    <w:rsid w:val="74AC5FB0"/>
    <w:rsid w:val="74B17B61"/>
    <w:rsid w:val="74B530B7"/>
    <w:rsid w:val="74D472B5"/>
    <w:rsid w:val="74D6127F"/>
    <w:rsid w:val="74E62B5E"/>
    <w:rsid w:val="74FC2E2F"/>
    <w:rsid w:val="75151DA7"/>
    <w:rsid w:val="755C79D6"/>
    <w:rsid w:val="75834F63"/>
    <w:rsid w:val="758B206A"/>
    <w:rsid w:val="75F220E9"/>
    <w:rsid w:val="763731F2"/>
    <w:rsid w:val="76DB0DCF"/>
    <w:rsid w:val="7702635B"/>
    <w:rsid w:val="771D13E7"/>
    <w:rsid w:val="774A385E"/>
    <w:rsid w:val="775E5C88"/>
    <w:rsid w:val="7763329E"/>
    <w:rsid w:val="778E4093"/>
    <w:rsid w:val="77BA4E88"/>
    <w:rsid w:val="77D17C4B"/>
    <w:rsid w:val="77E048EF"/>
    <w:rsid w:val="77F34BC1"/>
    <w:rsid w:val="78232A2D"/>
    <w:rsid w:val="78280044"/>
    <w:rsid w:val="7831514A"/>
    <w:rsid w:val="78434E7D"/>
    <w:rsid w:val="78511348"/>
    <w:rsid w:val="785B5D23"/>
    <w:rsid w:val="785E3A65"/>
    <w:rsid w:val="786848E4"/>
    <w:rsid w:val="786C7C7F"/>
    <w:rsid w:val="78727511"/>
    <w:rsid w:val="7879264D"/>
    <w:rsid w:val="78811502"/>
    <w:rsid w:val="788475A5"/>
    <w:rsid w:val="78A7540C"/>
    <w:rsid w:val="78D36201"/>
    <w:rsid w:val="78EE4DE9"/>
    <w:rsid w:val="791660EE"/>
    <w:rsid w:val="791A5BDE"/>
    <w:rsid w:val="792720A9"/>
    <w:rsid w:val="792C3B64"/>
    <w:rsid w:val="79404F19"/>
    <w:rsid w:val="796230E1"/>
    <w:rsid w:val="79627585"/>
    <w:rsid w:val="796450AB"/>
    <w:rsid w:val="797409F7"/>
    <w:rsid w:val="79A61220"/>
    <w:rsid w:val="79B853F7"/>
    <w:rsid w:val="79C8563A"/>
    <w:rsid w:val="79D97847"/>
    <w:rsid w:val="79E87A8A"/>
    <w:rsid w:val="7A1A39BC"/>
    <w:rsid w:val="7A24483B"/>
    <w:rsid w:val="7A5769BE"/>
    <w:rsid w:val="7A5E5838"/>
    <w:rsid w:val="7A6115EB"/>
    <w:rsid w:val="7A747570"/>
    <w:rsid w:val="7A794B87"/>
    <w:rsid w:val="7A85352B"/>
    <w:rsid w:val="7A88301C"/>
    <w:rsid w:val="7AC202DC"/>
    <w:rsid w:val="7AF1296F"/>
    <w:rsid w:val="7B2F3497"/>
    <w:rsid w:val="7B346CFF"/>
    <w:rsid w:val="7B51165F"/>
    <w:rsid w:val="7B7805CE"/>
    <w:rsid w:val="7B8A691F"/>
    <w:rsid w:val="7B8E6410"/>
    <w:rsid w:val="7BAB5214"/>
    <w:rsid w:val="7BAE6AB2"/>
    <w:rsid w:val="7BB87930"/>
    <w:rsid w:val="7BCE4A5E"/>
    <w:rsid w:val="7BDF6C6B"/>
    <w:rsid w:val="7C036DFE"/>
    <w:rsid w:val="7C2A25DC"/>
    <w:rsid w:val="7C2D5C29"/>
    <w:rsid w:val="7C321491"/>
    <w:rsid w:val="7C376AA7"/>
    <w:rsid w:val="7C66113B"/>
    <w:rsid w:val="7C7970C0"/>
    <w:rsid w:val="7C9061B7"/>
    <w:rsid w:val="7CAF4890"/>
    <w:rsid w:val="7CD82038"/>
    <w:rsid w:val="7CF90201"/>
    <w:rsid w:val="7D032E2D"/>
    <w:rsid w:val="7D0A5F6A"/>
    <w:rsid w:val="7D1961AD"/>
    <w:rsid w:val="7D1D3EEF"/>
    <w:rsid w:val="7D29290B"/>
    <w:rsid w:val="7D32101D"/>
    <w:rsid w:val="7D472D1A"/>
    <w:rsid w:val="7D4D5E56"/>
    <w:rsid w:val="7D5316BF"/>
    <w:rsid w:val="7D6A6A08"/>
    <w:rsid w:val="7D733B0F"/>
    <w:rsid w:val="7D8C248C"/>
    <w:rsid w:val="7DA22646"/>
    <w:rsid w:val="7DAE0FEB"/>
    <w:rsid w:val="7DC0487A"/>
    <w:rsid w:val="7DE467BB"/>
    <w:rsid w:val="7DF34C50"/>
    <w:rsid w:val="7DFF35F5"/>
    <w:rsid w:val="7E282B4B"/>
    <w:rsid w:val="7E437985"/>
    <w:rsid w:val="7E462FD2"/>
    <w:rsid w:val="7E4D4360"/>
    <w:rsid w:val="7E5020A2"/>
    <w:rsid w:val="7E631DD5"/>
    <w:rsid w:val="7E633B84"/>
    <w:rsid w:val="7E8B4DC2"/>
    <w:rsid w:val="7E941F8F"/>
    <w:rsid w:val="7E971A7F"/>
    <w:rsid w:val="7EAB552B"/>
    <w:rsid w:val="7EC96A4D"/>
    <w:rsid w:val="7F1B65AC"/>
    <w:rsid w:val="7F7973D7"/>
    <w:rsid w:val="7F7B6CAB"/>
    <w:rsid w:val="7F8738A2"/>
    <w:rsid w:val="7F8C710A"/>
    <w:rsid w:val="7FA26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5">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Times New Roman" w:hAnsi="Times New Roman" w:eastAsia="宋体" w:cs="Times New Roman"/>
      <w:kern w:val="2"/>
      <w:sz w:val="24"/>
      <w:szCs w:val="24"/>
      <w:lang w:val="en-US" w:eastAsia="zh-CN" w:bidi="ar-SA"/>
    </w:rPr>
  </w:style>
  <w:style w:type="paragraph" w:customStyle="1" w:styleId="6">
    <w:name w:val="EndNote Bibliography"/>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Times New Roman" w:hAnsi="Times New Roman" w:eastAsia="宋体" w:cs="Times New Roman"/>
      <w:kern w:val="2"/>
      <w:sz w:val="24"/>
      <w:szCs w:val="24"/>
      <w:lang w:val="en-US" w:eastAsia="zh-CN" w:bidi="ar-SA"/>
    </w:rPr>
  </w:style>
  <w:style w:type="paragraph" w:customStyle="1" w:styleId="7">
    <w:name w:val="0正文内容"/>
    <w:basedOn w:val="1"/>
    <w:qFormat/>
    <w:uiPriority w:val="0"/>
    <w:pPr>
      <w:spacing w:line="264" w:lineRule="auto"/>
      <w:ind w:firstLine="420" w:firstLineChars="200"/>
    </w:pPr>
    <w:rPr>
      <w:rFonts w:ascii="Times New Roman" w:hAnsi="Times New Roman" w:eastAsia="宋体" w:cs="Times New Roman"/>
      <w:szCs w:val="21"/>
    </w:rPr>
  </w:style>
  <w:style w:type="paragraph" w:customStyle="1" w:styleId="8">
    <w:name w:val="英文标题1"/>
    <w:basedOn w:val="1"/>
    <w:qFormat/>
    <w:uiPriority w:val="0"/>
    <w:pPr>
      <w:spacing w:line="480" w:lineRule="auto"/>
      <w:jc w:val="left"/>
    </w:pPr>
    <w:rPr>
      <w:rFonts w:ascii="Times New Roman" w:hAnsi="Times New Roman" w:eastAsiaTheme="majorEastAsia"/>
      <w:b/>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737</Words>
  <Characters>4659</Characters>
  <Lines>0</Lines>
  <Paragraphs>0</Paragraphs>
  <TotalTime>10</TotalTime>
  <ScaleCrop>false</ScaleCrop>
  <LinksUpToDate>false</LinksUpToDate>
  <CharactersWithSpaces>5312</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2025-07-23T05:56:00Z</dcterms:created>
  <dc:creator>瑶</dc:creator>
  <cp:lastModifiedBy>瑶</cp:lastModifiedBy>
  <dcterms:modified xsi:type="dcterms:W3CDTF">2025-11-26T00:58:34Z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ICV">
    <vt:lpwstr>B97F41E92BEE4D79ACA814C093DBC1F3_13</vt:lpwstr>
  </property>
  <property fmtid="{D5CDD505-2E9C-101B-9397-08002B2CF9AE}" pid="4" name="KSOTemplateDocerSaveRecord">
    <vt:lpwstr>eyJoZGlkIjoiM2I3ZmNiZTRiNWJhZmZiYjAzN2FjNDNlMjI4MzgzMzAiLCJ1c2VySWQiOiI1MzQ1MzE3MzEifQ==</vt:lpwstr>
  </property>
</Properties>
</file>