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4ADB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S1. Sex and Age Independency of the fMRI results: Changed vs Same Pre-Choice periods contrast</w:t>
      </w:r>
    </w:p>
    <w:p w14:paraId="20E8F23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114300" distR="114300">
            <wp:extent cx="5939155" cy="3274695"/>
            <wp:effectExtent l="0" t="0" r="4445" b="1905"/>
            <wp:docPr id="1" name="Изображение 1" descr="F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F_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0EC51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T-test maps of changed vs same segment pre-choice periods contrast without (dark red) and with (yellow) additional covariates of no interest (sex and z-transformed age). Orange – intersection of the maps.  p=0.001 unc., k&gt;5.</w:t>
      </w:r>
    </w:p>
    <w:p w14:paraId="6F96AC1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2544E24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7466AA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37695F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5764C52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S2. Changed vs Same Pre-Choice periods, common activation in contrasts without and with additional covariates of no interest: sex and z-transformed age</w:t>
      </w:r>
    </w:p>
    <w:p w14:paraId="4FEB61F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#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K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MNI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T</w:t>
      </w:r>
    </w:p>
    <w:p w14:paraId="141B59C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392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-32 -76 24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5.0</w:t>
      </w:r>
    </w:p>
    <w:p w14:paraId="784F7DC8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346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30 -58 58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6.1</w:t>
      </w:r>
    </w:p>
    <w:p w14:paraId="1C9949B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234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-24 -4 50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5.3</w:t>
      </w:r>
    </w:p>
    <w:p w14:paraId="3FAE705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204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-38 -40 40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5.4</w:t>
      </w:r>
    </w:p>
    <w:p w14:paraId="22177DB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p=0.001 unc., cluster # corresponds to that of the Table 1 in the main manuscript.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7A3D8D7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S3. Sex and Age Independency of the fMRI results: Early vs Late ball movement periods</w:t>
      </w:r>
    </w:p>
    <w:p w14:paraId="266A22B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114300" distR="114300">
            <wp:extent cx="5939155" cy="5518785"/>
            <wp:effectExtent l="0" t="0" r="4445" b="13335"/>
            <wp:docPr id="2" name="Изображение 2" descr="F_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F_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55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CD5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T-test maps of late vs early ball movement contrast without (dark red) and with (yellow) additional covariates of no interest (sex and z-transformed age). Orange – intersection of the maps.  p=0.001 unc., k&gt;5.</w:t>
      </w:r>
    </w:p>
    <w:p w14:paraId="35EEA7A5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br w:type="page"/>
      </w:r>
    </w:p>
    <w:p w14:paraId="1FA22B2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S4. Early vs Late periods of the ball movement, common activation in contrasts without and with additional covariates of no interest: sex and z-transformed age</w:t>
      </w:r>
    </w:p>
    <w:p w14:paraId="2B5E323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#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K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MNI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T</w:t>
      </w:r>
    </w:p>
    <w:p w14:paraId="57B9208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Positive contrast</w:t>
      </w:r>
    </w:p>
    <w:p w14:paraId="7422A061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7097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2 -6 52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11.5</w:t>
      </w:r>
    </w:p>
    <w:p w14:paraId="6F6F9D4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5231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6 -32 -6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9.7</w:t>
      </w:r>
    </w:p>
    <w:p w14:paraId="27F27AC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4350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36 20 -6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9.4</w:t>
      </w:r>
    </w:p>
    <w:p w14:paraId="1C5BE14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1307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-32 22 -2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7.5</w:t>
      </w:r>
    </w:p>
    <w:p w14:paraId="0BDD5BB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Negative contrast</w:t>
      </w:r>
    </w:p>
    <w:p w14:paraId="46148B4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335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-20 10 12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5.4</w:t>
      </w:r>
    </w:p>
    <w:p w14:paraId="1D2F9F5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212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14 -86 -10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6.5</w:t>
      </w:r>
    </w:p>
    <w:p w14:paraId="4700E58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165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26 10 2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5.9</w:t>
      </w:r>
    </w:p>
    <w:p w14:paraId="087288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DFAE5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p=0.001 unc., cluster # corresponds to that of the Table 1 in the main manuscript.</w:t>
      </w: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C2F568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S5. Sex and Age Independency of the fMRI results: Positive vs Negative feedback</w:t>
      </w:r>
    </w:p>
    <w:p w14:paraId="5F186C7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114300" distR="114300">
            <wp:extent cx="5939155" cy="3274695"/>
            <wp:effectExtent l="0" t="0" r="4445" b="1905"/>
            <wp:docPr id="3" name="Изображение 3" descr="F_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F_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5D3C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T-test maps of positive vs negative feedback contrast without (dark red) and with (yellow) additional covariates of no interest (sex and z-transformed age). Orange – intersection of the maps.  p=0.001 unc., k&gt;5.</w:t>
      </w:r>
    </w:p>
    <w:p w14:paraId="4599EB6E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br w:type="page"/>
      </w:r>
    </w:p>
    <w:p w14:paraId="3CE9C40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S6. Positive vs negative feedback, common activation in contrasts without and with additional covariates of no interest: sex and z-transformed age</w:t>
      </w:r>
    </w:p>
    <w:p w14:paraId="6F1173E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#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K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MNI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T</w:t>
      </w:r>
    </w:p>
    <w:p w14:paraId="0B97D2A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938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-44 -64 34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5.8</w:t>
      </w:r>
    </w:p>
    <w:p w14:paraId="5A7884C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754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-18 10 -4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6.7</w:t>
      </w:r>
    </w:p>
    <w:p w14:paraId="5C8A2CF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430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0 54 4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5.3</w:t>
      </w:r>
    </w:p>
    <w:p w14:paraId="3BEBF0C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471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20 16 -6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6.8</w:t>
      </w:r>
    </w:p>
    <w:p w14:paraId="65819F9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5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278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-18 38 44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5.8</w:t>
      </w:r>
    </w:p>
    <w:p w14:paraId="38D5649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159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-4 6 26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5.4</w:t>
      </w:r>
    </w:p>
    <w:p w14:paraId="6D81AA4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185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-48 42 0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5.1</w:t>
      </w:r>
    </w:p>
    <w:p w14:paraId="226F7949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165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40 -72 -12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5.1</w:t>
      </w:r>
    </w:p>
    <w:p w14:paraId="298C9E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29F774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p=0.001 unc., cluster # corresponds to that of the Table 2 in the main manuscript.</w:t>
      </w: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0AAEE470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S7. Sex and Age Independency of the fMRI results: Regression, Positive vs Negative feedback × z-transformed Exploration index</w:t>
      </w:r>
    </w:p>
    <w:p w14:paraId="727E5EC6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114300" distR="114300">
            <wp:extent cx="5939155" cy="3166745"/>
            <wp:effectExtent l="0" t="0" r="4445" b="3175"/>
            <wp:docPr id="4" name="Изображение 4" descr="F_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F_S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6B3B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Multiple regression without (dark red) and with (yellow) additional covariates of no interest (sex and z-transformed age). Orange – intersection of the maps. p=0.001 unc., k&gt;50.</w:t>
      </w:r>
    </w:p>
    <w:p w14:paraId="1D29289B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br w:type="page"/>
      </w:r>
    </w:p>
    <w:p w14:paraId="4F0793E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S8. Regression analysis results, common effects without and with additional covariates of no interest: sex and z-transformed age</w:t>
      </w:r>
    </w:p>
    <w:p w14:paraId="70C1FDB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#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K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MNI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T</w:t>
      </w:r>
    </w:p>
    <w:p w14:paraId="5D2EB4B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630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-2 48 10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6.7</w:t>
      </w:r>
    </w:p>
    <w:p w14:paraId="63D8821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196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-58 -56 18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6.9</w:t>
      </w:r>
    </w:p>
    <w:p w14:paraId="0404690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120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-16 28 44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5.1</w:t>
      </w:r>
    </w:p>
    <w:p w14:paraId="383D165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A8FE72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p=0.001 unc., cluster # corresponds to that of the Table 3 in the main manuscript.</w:t>
      </w:r>
    </w:p>
    <w:p w14:paraId="1DA4405A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1458D7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Figure S9. Intersection of the Positive vs Negative feedback t-contrast and Regression results</w:t>
      </w:r>
    </w:p>
    <w:p w14:paraId="2451071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drawing>
          <wp:inline distT="0" distB="0" distL="114300" distR="114300">
            <wp:extent cx="5939155" cy="3407410"/>
            <wp:effectExtent l="0" t="0" r="4445" b="6350"/>
            <wp:docPr id="5" name="Изображение 5" descr="F_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F_S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9D6AB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Left panel – Positive vs Negative feedback contrast (yellow), Multiple regression results (dark red), intersection – orange; Right panel – intersection area alone. p=0.001 unc., k&gt;5.</w:t>
      </w:r>
    </w:p>
    <w:p w14:paraId="69FD4BBD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br w:type="page"/>
      </w:r>
    </w:p>
    <w:p w14:paraId="354F87E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S10. Intersection of the Positive vs Negative feedback t-contrast and Regression analysis results</w:t>
      </w:r>
    </w:p>
    <w:p w14:paraId="471D4E28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#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K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MNI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Peak T</w:t>
      </w:r>
    </w:p>
    <w:p w14:paraId="4A4C38E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111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-2 48 8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6.6</w:t>
      </w:r>
    </w:p>
    <w:p w14:paraId="693111F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</w:p>
    <w:p w14:paraId="1A8A6B0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3a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61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-18 36 44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5.0</w:t>
      </w:r>
    </w:p>
    <w:p w14:paraId="4B39880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3b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-34 28 46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>3.7</w:t>
      </w:r>
    </w:p>
    <w:p w14:paraId="7925024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BD580C4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p=0.001 unc., cluster # corresponds to that of the Table 3 in the main manuscript.</w:t>
      </w:r>
    </w:p>
    <w:p w14:paraId="68B9956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DBAD351">
      <w:pPr>
        <w:pStyle w:val="6"/>
        <w:rPr>
          <w:lang w:val="en-US"/>
        </w:rPr>
      </w:pPr>
      <w:r>
        <w:rPr>
          <w:lang w:val="en-US"/>
        </w:rPr>
        <w:t xml:space="preserve">Supplementary Example of EI Calculation S11. </w:t>
      </w:r>
    </w:p>
    <w:p w14:paraId="4349ABE8">
      <w:pPr>
        <w:pStyle w:val="6"/>
        <w:rPr>
          <w:lang w:val="en-US"/>
        </w:rPr>
      </w:pPr>
      <w:r>
        <w:rPr>
          <w:lang w:val="en-US"/>
        </w:rPr>
        <w:t>To illustrate the calculation of the Exploration Index (EI), we simulated two hypothetical participants performing 15 rounds of the task under identical initial conditions. Both start by choosing sector 1 for the first five rounds and achieve five successful outcomes. During rounds 6–10, both switch to sector 3, whose empirical success rate remains below 0.75; therefore, the benchmark (optimal) choice remains sector 1 for both participants.</w:t>
      </w:r>
    </w:p>
    <w:p w14:paraId="7C54C92E">
      <w:pPr>
        <w:pStyle w:val="6"/>
        <w:rPr>
          <w:lang w:val="en-US"/>
        </w:rPr>
      </w:pPr>
      <w:r>
        <w:rPr>
          <w:lang w:val="en-US"/>
        </w:rPr>
        <w:t>From round 11 onward, their strategies diverge.</w:t>
      </w:r>
    </w:p>
    <w:p w14:paraId="5BB6EB1C">
      <w:pPr>
        <w:pStyle w:val="6"/>
        <w:numPr>
          <w:ilvl w:val="0"/>
          <w:numId w:val="1"/>
        </w:numPr>
        <w:rPr>
          <w:lang w:val="en-US"/>
        </w:rPr>
      </w:pPr>
      <w:r>
        <w:rPr>
          <w:rStyle w:val="4"/>
          <w:rFonts w:eastAsiaTheme="majorEastAsia"/>
          <w:lang w:val="en-US"/>
        </w:rPr>
        <w:t>P</w:t>
      </w:r>
      <w:r>
        <w:rPr>
          <w:rStyle w:val="4"/>
          <w:rFonts w:hint="default" w:eastAsiaTheme="majorEastAsia"/>
          <w:lang w:val="en-US"/>
        </w:rPr>
        <w:t>articipant</w:t>
      </w:r>
      <w:r>
        <w:rPr>
          <w:rStyle w:val="4"/>
          <w:rFonts w:eastAsiaTheme="majorEastAsia"/>
          <w:lang w:val="en-US"/>
        </w:rPr>
        <w:t xml:space="preserve"> 1</w:t>
      </w:r>
      <w:r>
        <w:rPr>
          <w:lang w:val="en-US"/>
        </w:rPr>
        <w:t xml:space="preserve"> adjusts by moving to sector 2 in round 13, after which the optimal expected return shifts accordingly.</w:t>
      </w:r>
    </w:p>
    <w:p w14:paraId="136685B0">
      <w:pPr>
        <w:pStyle w:val="6"/>
        <w:numPr>
          <w:ilvl w:val="0"/>
          <w:numId w:val="1"/>
        </w:numPr>
        <w:rPr>
          <w:lang w:val="en-US"/>
        </w:rPr>
      </w:pPr>
      <w:r>
        <w:rPr>
          <w:rStyle w:val="4"/>
          <w:rFonts w:eastAsiaTheme="majorEastAsia"/>
          <w:lang w:val="en-US"/>
        </w:rPr>
        <w:t>P</w:t>
      </w:r>
      <w:r>
        <w:rPr>
          <w:rStyle w:val="4"/>
          <w:rFonts w:hint="default" w:eastAsiaTheme="majorEastAsia"/>
          <w:lang w:val="en-US"/>
        </w:rPr>
        <w:t>articipant</w:t>
      </w:r>
      <w:r>
        <w:rPr>
          <w:rStyle w:val="4"/>
          <w:rFonts w:eastAsiaTheme="majorEastAsia"/>
          <w:lang w:val="en-US"/>
        </w:rPr>
        <w:t xml:space="preserve"> 2</w:t>
      </w:r>
      <w:r>
        <w:rPr>
          <w:lang w:val="en-US"/>
        </w:rPr>
        <w:t xml:space="preserve"> continues selecting sector 3 through the remaining rounds.</w:t>
      </w:r>
    </w:p>
    <w:p w14:paraId="5F2375B8">
      <w:pPr>
        <w:rPr>
          <w:rFonts w:hint="default" w:ascii="Times New Roman" w:hAnsi="Times New Roman" w:cs="Times New Roman"/>
          <w:lang w:val="en-US"/>
        </w:rPr>
      </w:pPr>
    </w:p>
    <w:tbl>
      <w:tblPr>
        <w:tblStyle w:val="3"/>
        <w:tblW w:w="86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440"/>
        <w:gridCol w:w="400"/>
        <w:gridCol w:w="380"/>
        <w:gridCol w:w="400"/>
        <w:gridCol w:w="380"/>
        <w:gridCol w:w="340"/>
        <w:gridCol w:w="328"/>
        <w:gridCol w:w="340"/>
        <w:gridCol w:w="340"/>
        <w:gridCol w:w="440"/>
        <w:gridCol w:w="440"/>
        <w:gridCol w:w="440"/>
        <w:gridCol w:w="491"/>
        <w:gridCol w:w="495"/>
        <w:gridCol w:w="495"/>
        <w:gridCol w:w="722"/>
      </w:tblGrid>
      <w:tr w14:paraId="204E2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E680A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n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86032D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D8B608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02457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D30228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AA95A4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DF9295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AB3B66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B68CE6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EC3287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FF488B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32EB23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178F0D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7BBDBF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CF282C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E8EC86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6AC0524">
            <w:pPr>
              <w:spacing w:after="0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nor/>
                  </m:rPr>
                  <w:rPr>
                    <w:rFonts w:hint="default" w:ascii="Cambria Math" w:hAnsi="Cambria Math" w:cs="Times New Roman" w:eastAsiaTheme="minorEastAsia"/>
                    <w:i/>
                    <w:sz w:val="20"/>
                    <w:szCs w:val="20"/>
                    <w:lang w:val="en-US"/>
                  </w:rPr>
                  <m:t>E</m:t>
                </m:r>
                <m:d>
                  <m:dPr>
                    <m:ctrlPr>
                      <w:rPr>
                        <w:rFonts w:hint="default"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d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Cambria Math" w:hAnsi="Cambria Math" w:cs="Times New Roman"/>
                        <w:i w:val="0"/>
                        <w:sz w:val="20"/>
                        <w:szCs w:val="20"/>
                        <w:lang w:val="en-US"/>
                      </w:rPr>
                      <m:t>∙</m:t>
                    </m:r>
                    <m:ctrlPr>
                      <w:rPr>
                        <w:rFonts w:hint="default"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e>
                </m:d>
              </m:oMath>
            </m:oMathPara>
          </w:p>
        </w:tc>
      </w:tr>
      <w:tr w14:paraId="23A36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126B51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m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4FF0C7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78E705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E79D47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2D7A42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5C05ED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003BB5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A37EDD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EAB880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58F30B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14DB09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C7C098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D85C81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059408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B0CE9F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9784C5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2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714CA5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</w:tr>
      <w:tr w14:paraId="4CE2D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D05A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outcome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E8EB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6D5E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8F8A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8E50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82C9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47DC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9B64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26ED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274D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9FE7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37C8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C754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CB7E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8FEB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FFFA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08A3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0.6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</w:tr>
      <w:tr w14:paraId="6EDD2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0DC8E">
            <w:pPr>
              <w:rPr>
                <w:rFonts w:hint="default" w:ascii="Times New Roman" w:hAnsi="Times New Roman" w:cs="Times New Roman"/>
                <w:lang w:val="en-US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C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k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hint="default" w:ascii="Cambria Math" w:hAnsi="Cambria Math" w:cs="Times New Roman"/>
                        <w:i w:val="0"/>
                        <w:lang w:val="en-US"/>
                      </w:rPr>
                      <m:t>∗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p>
                </m:sSubSup>
              </m:oMath>
            </m:oMathPara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A0DC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03FA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5A1E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137B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4548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BBD7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FA8A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64AF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6AB0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C792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06A7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131F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6CFA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954B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3037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894B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1.13</w:t>
            </w:r>
          </w:p>
        </w:tc>
      </w:tr>
      <w:tr w14:paraId="0F86C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53EC510">
            <w:pPr>
              <w:rPr>
                <w:rFonts w:hint="default" w:ascii="Times New Roman" w:hAnsi="Times New Roman" w:cs="Times New Roman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P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opt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b>
                </m:sSub>
              </m:oMath>
            </m:oMathPara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41AB47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F8A98F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31B241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344FAA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84F854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B97EC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041DE7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A00D91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D95415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F8755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3BAFA3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71E589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2386FE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A29670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62524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3FB6CB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1.09</w:t>
            </w:r>
          </w:p>
        </w:tc>
      </w:tr>
      <w:tr w14:paraId="175C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007250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gain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D24260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ED2D18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8BBECF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C7DEAC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A4156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2D6E7A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982424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5351EE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1F003A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FC872C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E94CE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C394F9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DAECA0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89C35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117B50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5898265">
            <w:pPr>
              <w:keepNext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1.0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</w:tr>
    </w:tbl>
    <w:p w14:paraId="4BCC613A">
      <w:pPr>
        <w:pStyle w:val="5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 xml:space="preserve"> Participant 1</w:t>
      </w:r>
    </w:p>
    <w:p w14:paraId="7ABAD132">
      <w:pPr>
        <w:rPr>
          <w:rFonts w:hint="default" w:ascii="Times New Roman" w:hAnsi="Times New Roman" w:cs="Times New Roman"/>
          <w:lang w:val="en-US"/>
        </w:rPr>
      </w:pPr>
    </w:p>
    <w:tbl>
      <w:tblPr>
        <w:tblStyle w:val="3"/>
        <w:tblW w:w="86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440"/>
        <w:gridCol w:w="400"/>
        <w:gridCol w:w="380"/>
        <w:gridCol w:w="400"/>
        <w:gridCol w:w="380"/>
        <w:gridCol w:w="340"/>
        <w:gridCol w:w="328"/>
        <w:gridCol w:w="340"/>
        <w:gridCol w:w="340"/>
        <w:gridCol w:w="440"/>
        <w:gridCol w:w="440"/>
        <w:gridCol w:w="440"/>
        <w:gridCol w:w="440"/>
        <w:gridCol w:w="440"/>
        <w:gridCol w:w="460"/>
        <w:gridCol w:w="812"/>
      </w:tblGrid>
      <w:tr w14:paraId="39E6C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BF8774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n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604D26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208C41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558485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6DB968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12BAFD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4056DF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F57C88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5B41D2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9CE8F9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66B54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345F59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DEC22B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6FC6D1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CF113F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798E9E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0528C8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m:oMathPara>
              <m:oMath>
                <m:r>
                  <m:rPr>
                    <m:nor/>
                  </m:rPr>
                  <w:rPr>
                    <w:rFonts w:hint="default" w:ascii="Cambria Math" w:hAnsi="Cambria Math" w:cs="Times New Roman" w:eastAsiaTheme="minorEastAsia"/>
                    <w:i/>
                    <w:sz w:val="20"/>
                    <w:szCs w:val="20"/>
                    <w:lang w:val="en-US"/>
                  </w:rPr>
                  <m:t>E</m:t>
                </m:r>
                <m:d>
                  <m:dPr>
                    <m:ctrlPr>
                      <w:rPr>
                        <w:rFonts w:hint="default"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dPr>
                  <m:e>
                    <m:r>
                      <m:rPr>
                        <m:nor/>
                        <m:sty m:val="p"/>
                      </m:rPr>
                      <w:rPr>
                        <w:rFonts w:hint="default" w:ascii="Cambria Math" w:hAnsi="Cambria Math" w:cs="Times New Roman"/>
                        <w:i w:val="0"/>
                        <w:sz w:val="20"/>
                        <w:szCs w:val="20"/>
                        <w:lang w:val="en-US"/>
                      </w:rPr>
                      <m:t>∙</m:t>
                    </m:r>
                    <m:ctrlPr>
                      <w:rPr>
                        <w:rFonts w:hint="default" w:ascii="Cambria Math" w:hAnsi="Cambria Math" w:cs="Times New Roman"/>
                        <w:i/>
                        <w:sz w:val="20"/>
                        <w:szCs w:val="20"/>
                        <w:lang w:val="en-US"/>
                      </w:rPr>
                    </m:ctrlPr>
                  </m:e>
                </m:d>
              </m:oMath>
            </m:oMathPara>
          </w:p>
        </w:tc>
      </w:tr>
      <w:tr w14:paraId="453A6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6AA5FE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m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12F33C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AE359D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EF9D46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155A09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CFFD8B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E28CB7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E12E49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5D8ED9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E20A20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4F512B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8DC532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76E89A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6A3DC5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7495F3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4D7421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10E1B4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3</w:t>
            </w:r>
          </w:p>
        </w:tc>
      </w:tr>
      <w:tr w14:paraId="33149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396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outcome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BD19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5427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46FB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E325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F222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E227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DD39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B8BA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9047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D4D0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0F2C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F02C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A6C9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42CE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B6A2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4BBC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0.4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7</w:t>
            </w:r>
          </w:p>
        </w:tc>
      </w:tr>
      <w:tr w14:paraId="726D9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A5E54">
            <w:pPr>
              <w:rPr>
                <w:rFonts w:hint="default" w:ascii="Times New Roman" w:hAnsi="Times New Roman" w:cs="Times New Roman"/>
                <w:lang w:val="en-US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C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k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hint="default" w:ascii="Cambria Math" w:hAnsi="Cambria Math" w:cs="Times New Roman"/>
                        <w:i w:val="0"/>
                        <w:lang w:val="en-US"/>
                      </w:rPr>
                      <m:t>∗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p>
                </m:sSubSup>
              </m:oMath>
            </m:oMathPara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17F0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3FAF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F255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7D45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9083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DB35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6371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C84C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EF08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6E5F4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9364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32CD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BE3B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A978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3DF8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3DEF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1.13</w:t>
            </w:r>
          </w:p>
        </w:tc>
      </w:tr>
      <w:tr w14:paraId="05A9E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0B32ECF">
            <w:pPr>
              <w:rPr>
                <w:rFonts w:hint="default" w:ascii="Times New Roman" w:hAnsi="Times New Roman" w:cs="Times New Roman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P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  <m:t>opt</m:t>
                    </m:r>
                    <m:ctrlPr>
                      <w:rPr>
                        <w:rFonts w:hint="default" w:ascii="Cambria Math" w:hAnsi="Cambria Math" w:cs="Times New Roman"/>
                        <w:i/>
                        <w:lang w:val="en-US"/>
                      </w:rPr>
                    </m:ctrlPr>
                  </m:sub>
                </m:sSub>
              </m:oMath>
            </m:oMathPara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517ADE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877C77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62B274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08F620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7AFA09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7AFE39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BA37E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FFFBBF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0DAAFC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097005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BF61F7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22FC9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541023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FE341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821673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480A0E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</w:tr>
      <w:tr w14:paraId="46179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27E317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gain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E3D263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AF08A8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8FE9EB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1B347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DB7666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FDF923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2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EF864C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A3EED4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B208AB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A7564F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4B0433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90F276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567DB3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C5167F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A0DE47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2028790">
            <w:pPr>
              <w:keepNext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eastAsia="ru-RU"/>
              </w:rPr>
              <w:t>0.73</w:t>
            </w:r>
          </w:p>
        </w:tc>
      </w:tr>
    </w:tbl>
    <w:p w14:paraId="11809173">
      <w:pPr>
        <w:pStyle w:val="5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SEQ Table \* ARABIC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2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en-US"/>
        </w:rPr>
        <w:t xml:space="preserve"> Participant 2</w:t>
      </w:r>
    </w:p>
    <w:p w14:paraId="0C58A71F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For </w:t>
      </w:r>
      <w:r>
        <w:rPr>
          <w:rStyle w:val="4"/>
          <w:rFonts w:hint="default" w:ascii="Times New Roman" w:hAnsi="Times New Roman" w:cs="Times New Roman"/>
          <w:lang w:val="en-US"/>
        </w:rPr>
        <w:t>Participant 1</w:t>
      </w:r>
      <w:r>
        <w:rPr>
          <w:rFonts w:hint="default" w:ascii="Times New Roman" w:hAnsi="Times New Roman" w:cs="Times New Roman"/>
          <w:lang w:val="en-US"/>
        </w:rPr>
        <w:t xml:space="preserve">, the final ratio </w:t>
      </w:r>
      <m:oMath>
        <m:r>
          <m:rPr>
            <m:nor/>
          </m:rPr>
          <w:rPr>
            <w:rFonts w:hint="default" w:ascii="Cambria Math" w:hAnsi="Cambria Math" w:cs="Times New Roman"/>
            <w:i/>
          </w:rPr>
          <m:t>EI</m:t>
        </m:r>
        <m:r>
          <m:rPr>
            <m:nor/>
            <m:sty m:val="p"/>
          </m:rPr>
          <w:rPr>
            <w:rFonts w:hint="default" w:ascii="Cambria Math" w:hAnsi="Cambria Math" w:cs="Times New Roman"/>
            <w:i w:val="0"/>
            <w:lang w:val="en-US"/>
          </w:rPr>
          <m:t>=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Cambria Math" w:hAnsi="Cambria Math" w:cs="Times New Roman"/>
                <w:i w:val="0"/>
                <w:lang w:val="en-US"/>
              </w:rPr>
              <m:t>1.07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Cambria Math" w:hAnsi="Cambria Math" w:cs="Times New Roman"/>
                <w:i w:val="0"/>
                <w:lang w:val="en-US"/>
              </w:rPr>
              <m:t>1.10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Cambria Math" w:hAnsi="Cambria Math" w:cs="Times New Roman"/>
            <w:i w:val="0"/>
            <w:lang w:val="en-US"/>
          </w:rPr>
          <m:t>=0.97</m:t>
        </m:r>
      </m:oMath>
      <w:r>
        <w:rPr>
          <w:rFonts w:hint="default" w:ascii="Times New Roman" w:hAnsi="Times New Roman" w:cs="Times New Roman"/>
          <w:lang w:val="en-US"/>
        </w:rPr>
        <w:t>,</w:t>
      </w:r>
      <w:r>
        <w:rPr>
          <w:rFonts w:hint="default" w:ascii="Times New Roman" w:hAnsi="Times New Roman" w:cs="Times New Roman"/>
          <w:lang w:val="en-US"/>
        </w:rPr>
        <w:br w:type="textWrapping"/>
      </w:r>
      <w:r>
        <w:rPr>
          <w:rFonts w:hint="default" w:ascii="Times New Roman" w:hAnsi="Times New Roman" w:cs="Times New Roman"/>
          <w:lang w:val="en-US"/>
        </w:rPr>
        <w:t xml:space="preserve">while for </w:t>
      </w:r>
      <w:r>
        <w:rPr>
          <w:rStyle w:val="4"/>
          <w:rFonts w:hint="default" w:ascii="Times New Roman" w:hAnsi="Times New Roman" w:cs="Times New Roman"/>
          <w:lang w:val="en-US"/>
        </w:rPr>
        <w:t>Participant 2</w:t>
      </w:r>
      <w:r>
        <w:rPr>
          <w:rFonts w:hint="default" w:ascii="Times New Roman" w:hAnsi="Times New Roman" w:cs="Times New Roman"/>
          <w:lang w:val="en-US"/>
        </w:rPr>
        <w:t xml:space="preserve">, </w:t>
      </w:r>
      <m:oMath>
        <m:r>
          <m:rPr>
            <m:nor/>
          </m:rPr>
          <w:rPr>
            <w:rFonts w:hint="default" w:ascii="Cambria Math" w:hAnsi="Cambria Math" w:cs="Times New Roman"/>
            <w:i/>
          </w:rPr>
          <m:t>EI</m:t>
        </m:r>
        <m:r>
          <m:rPr>
            <m:nor/>
            <m:sty m:val="p"/>
          </m:rPr>
          <w:rPr>
            <w:rFonts w:hint="default" w:ascii="Cambria Math" w:hAnsi="Cambria Math" w:cs="Times New Roman"/>
            <w:i w:val="0"/>
            <w:lang w:val="en-US"/>
          </w:rPr>
          <m:t>=</m:t>
        </m:r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m:rPr>
                <m:nor/>
                <m:sty m:val="p"/>
              </m:rPr>
              <w:rPr>
                <w:rFonts w:hint="default" w:ascii="Cambria Math" w:hAnsi="Cambria Math" w:cs="Times New Roman"/>
                <w:i w:val="0"/>
                <w:lang w:val="en-US"/>
              </w:rPr>
              <m:t>0.73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m:rPr>
                <m:nor/>
                <m:sty m:val="p"/>
              </m:rPr>
              <w:rPr>
                <w:rFonts w:hint="default" w:ascii="Cambria Math" w:hAnsi="Cambria Math" w:cs="Times New Roman"/>
                <w:i w:val="0"/>
                <w:lang w:val="en-US"/>
              </w:rPr>
              <m:t>1.00</m:t>
            </m:r>
            <m:ctrlPr>
              <w:rPr>
                <w:rFonts w:hint="default" w:ascii="Cambria Math" w:hAnsi="Cambria Math" w:cs="Times New Roman"/>
              </w:rPr>
            </m:ctrlPr>
          </m:den>
        </m:f>
        <m:r>
          <m:rPr>
            <m:nor/>
            <m:sty m:val="p"/>
          </m:rPr>
          <w:rPr>
            <w:rFonts w:hint="default" w:ascii="Cambria Math" w:hAnsi="Cambria Math" w:cs="Times New Roman"/>
            <w:i w:val="0"/>
            <w:lang w:val="en-US"/>
          </w:rPr>
          <m:t>=0.73</m:t>
        </m:r>
      </m:oMath>
      <w:r>
        <w:rPr>
          <w:rFonts w:hint="default" w:ascii="Times New Roman" w:hAnsi="Times New Roman" w:cs="Times New Roman"/>
          <w:lang w:val="en-US"/>
        </w:rPr>
        <w:t>.</w:t>
      </w:r>
    </w:p>
    <w:p w14:paraId="40100888">
      <w:pPr>
        <w:rPr>
          <w:rFonts w:hint="default" w:ascii="Times New Roman" w:hAnsi="Times New Roman" w:cs="Times New Roman"/>
          <w:lang w:val="en-US"/>
        </w:rPr>
      </w:pPr>
    </w:p>
    <w:p w14:paraId="4224330E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This example demonstrates that Participant 2, who persisted longer in an exploratory (suboptimal) strategy, achieved a substantially lower EI, indicating inefficient adaptation. Participant 1, by contrast, adjusted strategy earlier and maintained performance closer to the optimal benchmark.</w:t>
      </w:r>
    </w:p>
    <w:p w14:paraId="01C77E46">
      <w:pPr>
        <w:rPr>
          <w:rFonts w:hint="default" w:ascii="Times New Roman" w:hAnsi="Times New Roman" w:cs="Times New Roman"/>
          <w:lang w:val="en-US"/>
        </w:rPr>
      </w:pPr>
    </w:p>
    <w:p w14:paraId="2EA9A8BB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p w14:paraId="32A46A3A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8C118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8A504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870C0CC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564A71"/>
    <w:multiLevelType w:val="multilevel"/>
    <w:tmpl w:val="27564A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8EA"/>
    <w:rsid w:val="000744C5"/>
    <w:rsid w:val="00074E05"/>
    <w:rsid w:val="000847CC"/>
    <w:rsid w:val="000E709E"/>
    <w:rsid w:val="001C361A"/>
    <w:rsid w:val="001F02BA"/>
    <w:rsid w:val="00231C11"/>
    <w:rsid w:val="00241251"/>
    <w:rsid w:val="0026257D"/>
    <w:rsid w:val="002A2A86"/>
    <w:rsid w:val="002A50A1"/>
    <w:rsid w:val="00302F70"/>
    <w:rsid w:val="003532B0"/>
    <w:rsid w:val="00363DC5"/>
    <w:rsid w:val="003B3CA3"/>
    <w:rsid w:val="00561EB8"/>
    <w:rsid w:val="0070087A"/>
    <w:rsid w:val="00725256"/>
    <w:rsid w:val="007357AB"/>
    <w:rsid w:val="007A2D10"/>
    <w:rsid w:val="0083694F"/>
    <w:rsid w:val="008F6239"/>
    <w:rsid w:val="00AC6666"/>
    <w:rsid w:val="00B12F63"/>
    <w:rsid w:val="00B6496F"/>
    <w:rsid w:val="00BE372F"/>
    <w:rsid w:val="00CC37C8"/>
    <w:rsid w:val="00D269D3"/>
    <w:rsid w:val="00D524A1"/>
    <w:rsid w:val="00DC7A21"/>
    <w:rsid w:val="00EF58EA"/>
    <w:rsid w:val="00F97929"/>
    <w:rsid w:val="00FB1474"/>
    <w:rsid w:val="00FF2C12"/>
    <w:rsid w:val="062D4DD2"/>
    <w:rsid w:val="123D6FE1"/>
    <w:rsid w:val="162221D2"/>
    <w:rsid w:val="163B4695"/>
    <w:rsid w:val="22427F19"/>
    <w:rsid w:val="27135A24"/>
    <w:rsid w:val="2B6202D0"/>
    <w:rsid w:val="2C261005"/>
    <w:rsid w:val="379A54E8"/>
    <w:rsid w:val="3D427C57"/>
    <w:rsid w:val="3DA458E8"/>
    <w:rsid w:val="3F76594E"/>
    <w:rsid w:val="46C45D9C"/>
    <w:rsid w:val="59835EC3"/>
    <w:rsid w:val="5C21481C"/>
    <w:rsid w:val="5EDB29EA"/>
    <w:rsid w:val="630B37C1"/>
    <w:rsid w:val="65B031FC"/>
    <w:rsid w:val="720E36CB"/>
    <w:rsid w:val="73321743"/>
    <w:rsid w:val="7909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kern w:val="2"/>
      <w:sz w:val="18"/>
      <w:szCs w:val="18"/>
      <w14:textFill>
        <w14:solidFill>
          <w14:schemeClr w14:val="tx2"/>
        </w14:solidFill>
      </w14:textFill>
      <w14:ligatures w14:val="standardContextual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773</Words>
  <Characters>4409</Characters>
  <Lines>36</Lines>
  <Paragraphs>10</Paragraphs>
  <TotalTime>30</TotalTime>
  <ScaleCrop>false</ScaleCrop>
  <LinksUpToDate>false</LinksUpToDate>
  <CharactersWithSpaces>5172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2024-09-11T13:17:00Z</dcterms:created>
  <dc:creator>USER</dc:creator>
  <cp:lastModifiedBy>Mikhail Melnikov</cp:lastModifiedBy>
  <cp:lastPrinted>2024-09-11T13:41:00Z</cp:lastPrinted>
  <dcterms:modified xsi:type="dcterms:W3CDTF">2025-11-09T13:33:34Z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211B20D06DFF4F6CB09D5222D9E61CA4_12</vt:lpwstr>
  </property>
</Properties>
</file>