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42" w:rsidRPr="004C7821" w:rsidRDefault="002F7B42" w:rsidP="002F7B42">
      <w:pPr>
        <w:spacing w:line="480" w:lineRule="auto"/>
        <w:contextualSpacing/>
        <w:rPr>
          <w:rFonts w:ascii="Times New Roman" w:eastAsia="HGPGothicE" w:hAnsi="Times New Roman" w:cs="Times New Roman"/>
          <w:b/>
          <w:bCs/>
          <w:sz w:val="20"/>
          <w:szCs w:val="20"/>
        </w:rPr>
      </w:pP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SUPPLEMENTARY MATERIALS</w:t>
      </w: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HGPGothicE" w:hAnsi="Times New Roman" w:cs="Times New Roman"/>
          <w:sz w:val="20"/>
          <w:szCs w:val="20"/>
        </w:rPr>
      </w:pP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Supplementary Figure 1.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ROI settings for cortical regions</w:t>
      </w: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HGPGothicE" w:hAnsi="Times New Roman" w:cs="Times New Roman"/>
          <w:sz w:val="20"/>
          <w:szCs w:val="20"/>
        </w:rPr>
      </w:pPr>
      <w:proofErr w:type="gramStart"/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a-c)</w:t>
      </w:r>
      <w:proofErr w:type="gram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The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rCBF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in the territory of the anterior cerebral artery is determined through the use of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callosomarginal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A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) and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pericallosal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(</w:t>
      </w:r>
      <w:r w:rsidRPr="004C7821">
        <w:rPr>
          <w:rFonts w:ascii="Times New Roman" w:eastAsia="HGPGothicE" w:hAnsi="Times New Roman" w:cs="Times New Roman"/>
          <w:b/>
          <w:sz w:val="20"/>
          <w:szCs w:val="20"/>
        </w:rPr>
        <w:t>H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) ROIs. The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rCBF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in the anterior part of the territory of the middle cerebral artery (AM) is determined through the use of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precentral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B</w:t>
      </w:r>
      <w:r w:rsidRPr="004C7821">
        <w:rPr>
          <w:rFonts w:ascii="Times New Roman" w:eastAsia="HGPGothicE" w:hAnsi="Times New Roman" w:cs="Times New Roman"/>
          <w:sz w:val="20"/>
          <w:szCs w:val="20"/>
        </w:rPr>
        <w:t>) and central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C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) ROIs. The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rCBF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in the posterior part of the territory of the middle cerebral artery</w:t>
      </w:r>
      <w:r w:rsidRPr="004C7821" w:rsidDel="009F71B7">
        <w:rPr>
          <w:rFonts w:ascii="Times New Roman" w:eastAsia="HGPGothicE" w:hAnsi="Times New Roman" w:cs="Times New Roman"/>
          <w:sz w:val="20"/>
          <w:szCs w:val="20"/>
        </w:rPr>
        <w:t xml:space="preserve"> </w:t>
      </w:r>
      <w:r w:rsidRPr="004C7821">
        <w:rPr>
          <w:rFonts w:ascii="Times New Roman" w:eastAsia="HGPGothicE" w:hAnsi="Times New Roman" w:cs="Times New Roman"/>
          <w:sz w:val="20"/>
          <w:szCs w:val="20"/>
        </w:rPr>
        <w:t>(PM) is determined through the use of parietal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D</w:t>
      </w:r>
      <w:r w:rsidRPr="004C7821">
        <w:rPr>
          <w:rFonts w:ascii="Times New Roman" w:eastAsia="HGPGothicE" w:hAnsi="Times New Roman" w:cs="Times New Roman"/>
          <w:sz w:val="20"/>
          <w:szCs w:val="20"/>
        </w:rPr>
        <w:t>), angular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E</w:t>
      </w:r>
      <w:r w:rsidRPr="004C7821">
        <w:rPr>
          <w:rFonts w:ascii="Times New Roman" w:eastAsia="HGPGothicE" w:hAnsi="Times New Roman" w:cs="Times New Roman"/>
          <w:sz w:val="20"/>
          <w:szCs w:val="20"/>
        </w:rPr>
        <w:t>), and temporal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F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) ROIs. Finally, the </w:t>
      </w:r>
      <w:proofErr w:type="spellStart"/>
      <w:r w:rsidRPr="004C7821">
        <w:rPr>
          <w:rFonts w:ascii="Times New Roman" w:eastAsia="HGPGothicE" w:hAnsi="Times New Roman" w:cs="Times New Roman"/>
          <w:sz w:val="20"/>
          <w:szCs w:val="20"/>
        </w:rPr>
        <w:t>rCBF</w:t>
      </w:r>
      <w:proofErr w:type="spellEnd"/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in the territory of the posterior cerebral artery (PCA) is determined through the use of a posterior cerebral (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G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) ROI. </w:t>
      </w: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T</w:t>
      </w:r>
      <w:r w:rsidRPr="004C7821">
        <w:rPr>
          <w:rFonts w:ascii="Times New Roman" w:eastAsia="HGPGothicE" w:hAnsi="Times New Roman" w:cs="Times New Roman"/>
          <w:sz w:val="20"/>
          <w:szCs w:val="20"/>
        </w:rPr>
        <w:t>, thalamus.</w:t>
      </w: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HGPGothicE" w:hAnsi="Times New Roman" w:cs="Times New Roman"/>
          <w:sz w:val="20"/>
          <w:szCs w:val="20"/>
        </w:rPr>
      </w:pP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Cs/>
          <w:sz w:val="20"/>
          <w:szCs w:val="20"/>
        </w:rPr>
      </w:pPr>
      <w:r w:rsidRPr="004C7821">
        <w:rPr>
          <w:rFonts w:ascii="Times New Roman" w:eastAsia="HGPGothicE" w:hAnsi="Times New Roman" w:cs="Times New Roman"/>
          <w:b/>
          <w:bCs/>
          <w:sz w:val="20"/>
          <w:szCs w:val="20"/>
        </w:rPr>
        <w:t>Supplementary Table 1.</w:t>
      </w:r>
      <w:r w:rsidRPr="004C7821">
        <w:rPr>
          <w:rFonts w:ascii="Times New Roman" w:eastAsia="HGPGothicE" w:hAnsi="Times New Roman" w:cs="Times New Roman"/>
          <w:sz w:val="20"/>
          <w:szCs w:val="20"/>
        </w:rPr>
        <w:t xml:space="preserve"> </w:t>
      </w:r>
      <w:bookmarkStart w:id="0" w:name="_Hlk147343323"/>
      <w:r w:rsidRPr="004C7821">
        <w:rPr>
          <w:rFonts w:ascii="Times New Roman" w:eastAsia="游明朝" w:hAnsi="Times New Roman" w:cs="Times New Roman"/>
          <w:bCs/>
          <w:sz w:val="20"/>
          <w:szCs w:val="20"/>
        </w:rPr>
        <w:t>Relationship between clinical factors before anti-CGRP therapy and response (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sym w:font="Symbol" w:char="F0B3"/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>50% reduction in monthly headache days) after therapy in migraine patients</w:t>
      </w:r>
      <w:bookmarkEnd w:id="0"/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Cs/>
          <w:sz w:val="20"/>
          <w:szCs w:val="20"/>
        </w:rPr>
      </w:pP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Cs/>
          <w:sz w:val="20"/>
          <w:szCs w:val="20"/>
        </w:rPr>
      </w:pPr>
      <w:r w:rsidRPr="004C7821">
        <w:rPr>
          <w:rFonts w:ascii="Times New Roman" w:eastAsia="游明朝" w:hAnsi="Times New Roman" w:cs="Times New Roman"/>
          <w:b/>
          <w:sz w:val="20"/>
          <w:szCs w:val="20"/>
        </w:rPr>
        <w:t xml:space="preserve">Supplementary Table 2. 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>Responses (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sym w:font="Symbol" w:char="F0B3"/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 xml:space="preserve"> 50%, 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sym w:font="Symbol" w:char="F0B3"/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 xml:space="preserve"> 75%, </w:t>
      </w:r>
      <w:r w:rsidRPr="004C7821">
        <w:rPr>
          <w:rFonts w:ascii="Times New Roman" w:eastAsia="游明朝" w:hAnsi="Times New Roman" w:cs="Times New Roman" w:hint="eastAsia"/>
          <w:bCs/>
          <w:sz w:val="20"/>
          <w:szCs w:val="20"/>
        </w:rPr>
        <w:t>or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 xml:space="preserve"> 100% reductions in monthly headache days) after anti-CGRP therapy in migraine patients</w:t>
      </w: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/>
          <w:sz w:val="20"/>
          <w:szCs w:val="20"/>
        </w:rPr>
      </w:pP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Cs/>
          <w:sz w:val="20"/>
          <w:szCs w:val="20"/>
        </w:rPr>
      </w:pPr>
      <w:r w:rsidRPr="004C7821">
        <w:rPr>
          <w:rFonts w:ascii="Times New Roman" w:eastAsia="游明朝" w:hAnsi="Times New Roman" w:cs="Times New Roman"/>
          <w:b/>
          <w:sz w:val="20"/>
          <w:szCs w:val="20"/>
        </w:rPr>
        <w:t xml:space="preserve">Supplementary Table 3. 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>Clinical features of the four CBF groups</w:t>
      </w: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Cs/>
          <w:sz w:val="20"/>
          <w:szCs w:val="20"/>
        </w:rPr>
      </w:pP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游明朝" w:hAnsi="Times New Roman" w:cs="Times New Roman"/>
          <w:bCs/>
          <w:sz w:val="20"/>
          <w:szCs w:val="20"/>
        </w:rPr>
      </w:pPr>
      <w:r w:rsidRPr="004C7821">
        <w:rPr>
          <w:rFonts w:ascii="Times New Roman" w:eastAsia="游明朝" w:hAnsi="Times New Roman" w:cs="Times New Roman"/>
          <w:b/>
          <w:sz w:val="20"/>
          <w:szCs w:val="20"/>
        </w:rPr>
        <w:t xml:space="preserve">Supplementary Table 4. </w:t>
      </w:r>
      <w:r w:rsidRPr="004C7821">
        <w:rPr>
          <w:rFonts w:ascii="Times New Roman" w:eastAsia="游明朝" w:hAnsi="Times New Roman" w:cs="Times New Roman"/>
          <w:bCs/>
          <w:sz w:val="20"/>
          <w:szCs w:val="20"/>
        </w:rPr>
        <w:t>CBF before and after anti-CGRP therapy according to MRI-ASL in each group</w:t>
      </w:r>
    </w:p>
    <w:p w:rsidR="002F7B42" w:rsidRPr="004C7821" w:rsidRDefault="002F7B42" w:rsidP="002F7B42">
      <w:pPr>
        <w:spacing w:line="480" w:lineRule="auto"/>
        <w:contextualSpacing/>
        <w:rPr>
          <w:rFonts w:ascii="Times New Roman" w:eastAsia="HGPGothicE" w:hAnsi="Times New Roman" w:cs="Times New Roman"/>
          <w:sz w:val="24"/>
          <w:szCs w:val="24"/>
        </w:rPr>
      </w:pPr>
    </w:p>
    <w:p w:rsidR="008C0BE6" w:rsidRDefault="008C0BE6">
      <w:bookmarkStart w:id="1" w:name="_GoBack"/>
      <w:bookmarkEnd w:id="1"/>
    </w:p>
    <w:sectPr w:rsidR="008C0BE6" w:rsidSect="00354A35">
      <w:headerReference w:type="default" r:id="rId4"/>
      <w:footerReference w:type="default" r:id="rId5"/>
      <w:pgSz w:w="11906" w:h="16838" w:code="9"/>
      <w:pgMar w:top="2835" w:right="1701" w:bottom="2835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GothicE">
    <w:altName w:val="MS Gothic"/>
    <w:charset w:val="80"/>
    <w:family w:val="modern"/>
    <w:pitch w:val="variable"/>
    <w:sig w:usb0="00000000" w:usb1="6AC7FDFB" w:usb2="00000012" w:usb3="00000000" w:csb0="0002009F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621" w:rsidRPr="00FB18E5" w:rsidRDefault="002F7B42" w:rsidP="0028189B">
    <w:pPr>
      <w:pStyle w:val="Footer"/>
      <w:wordWrap w:val="0"/>
      <w:jc w:val="right"/>
      <w:rPr>
        <w:rFonts w:ascii="Times New Roman" w:hAnsi="Times New Roman"/>
        <w:sz w:val="24"/>
      </w:rPr>
    </w:pPr>
    <w:r w:rsidRPr="00FB18E5">
      <w:rPr>
        <w:rFonts w:ascii="Times New Roman" w:eastAsia="MS Mincho" w:hAnsi="Times New Roman"/>
        <w:sz w:val="24"/>
        <w:szCs w:val="24"/>
      </w:rPr>
      <w:fldChar w:fldCharType="begin"/>
    </w:r>
    <w:r w:rsidRPr="00FB18E5">
      <w:rPr>
        <w:rFonts w:ascii="Times New Roman" w:hAnsi="Times New Roman"/>
        <w:sz w:val="24"/>
        <w:szCs w:val="24"/>
      </w:rPr>
      <w:instrText>PAGE    \* MERGEFORMAT</w:instrText>
    </w:r>
    <w:r w:rsidRPr="00FB18E5">
      <w:rPr>
        <w:rFonts w:ascii="Times New Roman" w:eastAsia="MS Mincho" w:hAnsi="Times New Roman"/>
        <w:sz w:val="24"/>
        <w:szCs w:val="24"/>
      </w:rPr>
      <w:fldChar w:fldCharType="separate"/>
    </w:r>
    <w:r w:rsidRPr="002F7B42">
      <w:rPr>
        <w:rFonts w:ascii="Times New Roman" w:eastAsia="MS Gothic" w:hAnsi="Times New Roman"/>
        <w:noProof/>
        <w:sz w:val="24"/>
        <w:szCs w:val="24"/>
      </w:rPr>
      <w:t>1</w:t>
    </w:r>
    <w:r w:rsidRPr="00FB18E5">
      <w:rPr>
        <w:rFonts w:ascii="Times New Roman" w:eastAsia="MS Gothic" w:hAnsi="Times New Roman"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627306187"/>
      <w:docPartObj>
        <w:docPartGallery w:val="Watermarks"/>
        <w:docPartUnique/>
      </w:docPartObj>
    </w:sdtPr>
    <w:sdtEndPr/>
    <w:sdtContent>
      <w:p w:rsidR="00CC1621" w:rsidRPr="00FB18E5" w:rsidRDefault="002F7B42" w:rsidP="00726D31">
        <w:pPr>
          <w:pStyle w:val="Header"/>
          <w:jc w:val="left"/>
          <w:rPr>
            <w:rFonts w:ascii="Times New Roman" w:hAnsi="Times New Roman"/>
            <w:sz w:val="24"/>
          </w:rPr>
        </w:pPr>
        <w:r>
          <w:rPr>
            <w:rFonts w:ascii="Times New Roman" w:hAnsi="Times New Roman"/>
            <w:noProof/>
            <w:sz w:val="24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7216;visibility:hidden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B42"/>
    <w:rsid w:val="002F7B42"/>
    <w:rsid w:val="006101FB"/>
    <w:rsid w:val="008C0BE6"/>
    <w:rsid w:val="009165C7"/>
    <w:rsid w:val="00940BFF"/>
    <w:rsid w:val="00B00C3C"/>
    <w:rsid w:val="00CF0869"/>
    <w:rsid w:val="00F03DFB"/>
    <w:rsid w:val="00F4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B6744B4-BF03-4E5F-8311-85B95780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B4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2F7B42"/>
    <w:rPr>
      <w:rFonts w:eastAsiaTheme="minorEastAsia"/>
      <w:kern w:val="2"/>
      <w:sz w:val="21"/>
      <w:szCs w:val="21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2F7B4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2F7B42"/>
    <w:rPr>
      <w:rFonts w:eastAsiaTheme="minorEastAsia"/>
      <w:kern w:val="2"/>
      <w:sz w:val="21"/>
      <w:szCs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Mary</dc:creator>
  <cp:keywords/>
  <dc:description/>
  <cp:lastModifiedBy>Nithya Mary</cp:lastModifiedBy>
  <cp:revision>1</cp:revision>
  <dcterms:created xsi:type="dcterms:W3CDTF">2026-01-03T11:10:00Z</dcterms:created>
  <dcterms:modified xsi:type="dcterms:W3CDTF">2026-01-03T11:10:00Z</dcterms:modified>
</cp:coreProperties>
</file>