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D3" w:rsidRPr="00E818CB" w:rsidRDefault="006F5878" w:rsidP="008F32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5624E3" w:rsidRPr="00E818CB">
        <w:rPr>
          <w:rFonts w:ascii="Times New Roman" w:hAnsi="Times New Roman" w:cs="Times New Roman"/>
          <w:b/>
          <w:sz w:val="24"/>
          <w:szCs w:val="24"/>
        </w:rPr>
        <w:t>Table</w:t>
      </w:r>
      <w:r w:rsidR="007B4E0B">
        <w:rPr>
          <w:rFonts w:ascii="Times New Roman" w:hAnsi="Times New Roman" w:cs="Times New Roman"/>
          <w:b/>
          <w:sz w:val="24"/>
          <w:szCs w:val="24"/>
        </w:rPr>
        <w:t xml:space="preserve"> 3</w:t>
      </w:r>
      <w:bookmarkStart w:id="0" w:name="_GoBack"/>
      <w:bookmarkEnd w:id="0"/>
      <w:r w:rsidR="00163D5D" w:rsidRPr="00E818CB">
        <w:rPr>
          <w:rFonts w:ascii="Times New Roman" w:hAnsi="Times New Roman" w:cs="Times New Roman"/>
          <w:b/>
          <w:sz w:val="24"/>
          <w:szCs w:val="24"/>
        </w:rPr>
        <w:t>:</w:t>
      </w:r>
      <w:r w:rsidR="00163D5D" w:rsidRPr="00E818CB">
        <w:rPr>
          <w:rFonts w:ascii="Times New Roman" w:hAnsi="Times New Roman" w:cs="Times New Roman"/>
          <w:sz w:val="24"/>
          <w:szCs w:val="24"/>
        </w:rPr>
        <w:t xml:space="preserve"> </w:t>
      </w:r>
      <w:r w:rsidR="008E1666" w:rsidRPr="00E818CB">
        <w:rPr>
          <w:rFonts w:ascii="Times New Roman" w:hAnsi="Times New Roman" w:cs="Times New Roman"/>
          <w:sz w:val="24"/>
          <w:szCs w:val="24"/>
        </w:rPr>
        <w:t>Critical appraisal</w:t>
      </w:r>
      <w:r w:rsidR="00163D5D" w:rsidRPr="00E818CB">
        <w:rPr>
          <w:rFonts w:ascii="Times New Roman" w:hAnsi="Times New Roman" w:cs="Times New Roman"/>
          <w:sz w:val="24"/>
          <w:szCs w:val="24"/>
        </w:rPr>
        <w:t xml:space="preserve"> of studies included in the systematic review and meta-analysis for pooled </w:t>
      </w:r>
      <w:r w:rsidR="009F2526">
        <w:rPr>
          <w:rFonts w:ascii="Times New Roman" w:hAnsi="Times New Roman" w:cs="Times New Roman"/>
          <w:sz w:val="24"/>
          <w:szCs w:val="24"/>
        </w:rPr>
        <w:t xml:space="preserve">prevalence of anemia among HIV </w:t>
      </w:r>
      <w:r w:rsidR="004005CA">
        <w:rPr>
          <w:rFonts w:ascii="Times New Roman" w:hAnsi="Times New Roman" w:cs="Times New Roman"/>
          <w:sz w:val="24"/>
          <w:szCs w:val="24"/>
        </w:rPr>
        <w:t>infected children</w:t>
      </w:r>
      <w:r w:rsidR="00CE54B0">
        <w:rPr>
          <w:rFonts w:ascii="Times New Roman" w:hAnsi="Times New Roman" w:cs="Times New Roman"/>
          <w:sz w:val="24"/>
          <w:szCs w:val="24"/>
        </w:rPr>
        <w:t xml:space="preserve">, </w:t>
      </w:r>
      <w:r w:rsidR="009F2526">
        <w:rPr>
          <w:rFonts w:ascii="Times New Roman" w:hAnsi="Times New Roman" w:cs="Times New Roman"/>
          <w:sz w:val="24"/>
          <w:szCs w:val="24"/>
        </w:rPr>
        <w:t>Ethiopia</w:t>
      </w:r>
      <w:r w:rsidR="00CE54B0">
        <w:rPr>
          <w:rFonts w:ascii="Times New Roman" w:hAnsi="Times New Roman" w:cs="Times New Roman"/>
          <w:sz w:val="24"/>
          <w:szCs w:val="24"/>
        </w:rPr>
        <w:t>, 2024</w:t>
      </w:r>
      <w:r w:rsidR="00163D5D" w:rsidRPr="00E818CB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14783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700"/>
        <w:gridCol w:w="540"/>
        <w:gridCol w:w="630"/>
        <w:gridCol w:w="720"/>
        <w:gridCol w:w="630"/>
        <w:gridCol w:w="630"/>
        <w:gridCol w:w="540"/>
        <w:gridCol w:w="630"/>
        <w:gridCol w:w="540"/>
        <w:gridCol w:w="630"/>
        <w:gridCol w:w="540"/>
        <w:gridCol w:w="720"/>
        <w:gridCol w:w="540"/>
        <w:gridCol w:w="540"/>
        <w:gridCol w:w="540"/>
        <w:gridCol w:w="630"/>
        <w:gridCol w:w="720"/>
        <w:gridCol w:w="2363"/>
      </w:tblGrid>
      <w:tr w:rsidR="00430903" w:rsidRPr="00E818CB" w:rsidTr="0010297E">
        <w:trPr>
          <w:trHeight w:val="665"/>
        </w:trPr>
        <w:tc>
          <w:tcPr>
            <w:tcW w:w="2700" w:type="dxa"/>
            <w:vMerge w:val="restart"/>
          </w:tcPr>
          <w:p w:rsidR="00430903" w:rsidRPr="00E818CB" w:rsidRDefault="00E818CB" w:rsidP="00430903">
            <w:pPr>
              <w:rPr>
                <w:rFonts w:ascii="Times New Roman" w:hAnsi="Times New Roman" w:cs="Times New Roman"/>
              </w:rPr>
            </w:pPr>
            <w:r w:rsidRPr="00E818CB">
              <w:rPr>
                <w:rFonts w:ascii="Times New Roman" w:hAnsi="Times New Roman" w:cs="Times New Roman"/>
              </w:rPr>
              <w:t>Include studies</w:t>
            </w:r>
          </w:p>
        </w:tc>
        <w:tc>
          <w:tcPr>
            <w:tcW w:w="12083" w:type="dxa"/>
            <w:gridSpan w:val="17"/>
            <w:tcBorders>
              <w:right w:val="single" w:sz="4" w:space="0" w:color="auto"/>
            </w:tcBorders>
          </w:tcPr>
          <w:p w:rsidR="00430903" w:rsidRPr="00E818CB" w:rsidRDefault="00430903" w:rsidP="0043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b/>
                <w:sz w:val="24"/>
              </w:rPr>
              <w:t>Eight JBI Critical Appraisal Checklist for  cross sectional   Studies: The tool has Yes, No, Unclear, and Not Applicable options: “1” is given for “Yes” and “0” is given for other options</w:t>
            </w:r>
          </w:p>
        </w:tc>
      </w:tr>
      <w:tr w:rsidR="00430903" w:rsidRPr="00E818CB" w:rsidTr="0010297E">
        <w:trPr>
          <w:cantSplit/>
          <w:trHeight w:val="332"/>
        </w:trPr>
        <w:tc>
          <w:tcPr>
            <w:tcW w:w="2700" w:type="dxa"/>
            <w:vMerge/>
          </w:tcPr>
          <w:p w:rsidR="00430903" w:rsidRPr="00E818CB" w:rsidRDefault="00430903" w:rsidP="00430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left="115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left="115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30903" w:rsidRPr="00E818CB" w:rsidRDefault="00430903" w:rsidP="00430903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0903" w:rsidRPr="00E818CB" w:rsidRDefault="00430903" w:rsidP="0043090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818CB">
              <w:rPr>
                <w:rFonts w:ascii="Times New Roman" w:hAnsi="Times New Roman" w:cs="Times New Roman"/>
                <w:sz w:val="20"/>
                <w:szCs w:val="24"/>
              </w:rPr>
              <w:t>Over all appraisal</w:t>
            </w:r>
          </w:p>
        </w:tc>
      </w:tr>
      <w:tr w:rsidR="00430903" w:rsidRPr="00E818CB" w:rsidTr="0010297E">
        <w:trPr>
          <w:cantSplit/>
          <w:trHeight w:val="305"/>
        </w:trPr>
        <w:tc>
          <w:tcPr>
            <w:tcW w:w="2700" w:type="dxa"/>
            <w:vMerge/>
          </w:tcPr>
          <w:p w:rsidR="00430903" w:rsidRPr="00E818CB" w:rsidRDefault="00430903" w:rsidP="00430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430903" w:rsidRPr="00E818CB" w:rsidRDefault="00430903" w:rsidP="00430903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E818C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R2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430903" w:rsidRPr="00E818CB" w:rsidRDefault="00430903" w:rsidP="004309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Teklemariam, et al (2015)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Enawgaw , et al(2015)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F73E4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Geleta, et al (2021)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Tsegay, et al (2017)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F73E4A" w:rsidRPr="00BD4634" w:rsidTr="00634963">
        <w:tc>
          <w:tcPr>
            <w:tcW w:w="2700" w:type="dxa"/>
          </w:tcPr>
          <w:p w:rsidR="00F73E4A" w:rsidRPr="00BD4634" w:rsidRDefault="00F73E4A" w:rsidP="00F73E4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Melaku, et al (2020)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F73E4A" w:rsidRPr="00BD4634" w:rsidRDefault="00F73E4A" w:rsidP="00F73E4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6(75%)</w:t>
            </w: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Mihiretie, et al (2015)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F73E4A" w:rsidRPr="00BD4634" w:rsidTr="0010297E">
        <w:tc>
          <w:tcPr>
            <w:tcW w:w="2700" w:type="dxa"/>
          </w:tcPr>
          <w:p w:rsidR="00F73E4A" w:rsidRPr="00BD4634" w:rsidRDefault="00F73E4A" w:rsidP="00F73E4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Fentaw, et al (2015)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8(100%)</w:t>
            </w:r>
          </w:p>
        </w:tc>
      </w:tr>
      <w:tr w:rsidR="00F73E4A" w:rsidRPr="00BD4634" w:rsidTr="005F439A">
        <w:tc>
          <w:tcPr>
            <w:tcW w:w="2700" w:type="dxa"/>
          </w:tcPr>
          <w:p w:rsidR="00F73E4A" w:rsidRPr="00BD4634" w:rsidRDefault="00F73E4A" w:rsidP="00F73E4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Bayleyegn, et al (2021)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8(100%)</w:t>
            </w:r>
          </w:p>
        </w:tc>
      </w:tr>
      <w:tr w:rsidR="00F73E4A" w:rsidRPr="00BD4634" w:rsidTr="004A7B6F">
        <w:trPr>
          <w:trHeight w:val="242"/>
        </w:trPr>
        <w:tc>
          <w:tcPr>
            <w:tcW w:w="2700" w:type="dxa"/>
          </w:tcPr>
          <w:p w:rsidR="00F73E4A" w:rsidRPr="00BD4634" w:rsidRDefault="00F73E4A" w:rsidP="00F73E4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Abebe. et al(2009)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N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N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N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U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73E4A" w:rsidRPr="00BD4634" w:rsidRDefault="00F73E4A" w:rsidP="00F73E4A">
            <w:r w:rsidRPr="00BD4634">
              <w:t>U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N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F73E4A" w:rsidRPr="00BD4634" w:rsidRDefault="00F73E4A" w:rsidP="00F73E4A">
            <w:r w:rsidRPr="00BD4634">
              <w:t>5(62.5%)</w:t>
            </w:r>
          </w:p>
        </w:tc>
      </w:tr>
      <w:tr w:rsidR="005C2C9A" w:rsidRPr="00BD4634" w:rsidTr="0010297E">
        <w:trPr>
          <w:trHeight w:val="152"/>
        </w:trPr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Geletaw, et al (2017)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6.5(81.25%)</w:t>
            </w:r>
          </w:p>
        </w:tc>
      </w:tr>
      <w:tr w:rsidR="00BD4634" w:rsidRPr="00BD4634" w:rsidTr="0010297E">
        <w:tc>
          <w:tcPr>
            <w:tcW w:w="2700" w:type="dxa"/>
          </w:tcPr>
          <w:p w:rsidR="00BD4634" w:rsidRPr="00BD4634" w:rsidRDefault="00BD4634" w:rsidP="00BD4634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Debasu, et al (2015)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N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N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BD4634" w:rsidRDefault="00BD4634" w:rsidP="00BD4634">
            <w:r w:rsidRPr="00BD4634">
              <w:t>N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D4634" w:rsidRPr="00BD4634" w:rsidRDefault="00BD4634" w:rsidP="00BD4634">
            <w:r w:rsidRPr="00BD4634"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BD4634" w:rsidRPr="00BD4634" w:rsidRDefault="00BD4634" w:rsidP="00BD4634">
            <w:r w:rsidRPr="00BD4634">
              <w:t>6.5(81.25%)</w:t>
            </w:r>
          </w:p>
        </w:tc>
      </w:tr>
      <w:tr w:rsidR="005C2C9A" w:rsidRPr="00BD4634" w:rsidTr="0010297E">
        <w:tc>
          <w:tcPr>
            <w:tcW w:w="2700" w:type="dxa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Fanta, et al (2020)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bottom"/>
          </w:tcPr>
          <w:p w:rsidR="005C2C9A" w:rsidRPr="00BD4634" w:rsidRDefault="005C2C9A" w:rsidP="005C2C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634">
              <w:rPr>
                <w:rFonts w:ascii="Times New Roman" w:hAnsi="Times New Roman" w:cs="Times New Roman"/>
                <w:color w:val="000000" w:themeColor="text1"/>
              </w:rPr>
              <w:t>8(100%)</w:t>
            </w:r>
          </w:p>
        </w:tc>
      </w:tr>
      <w:tr w:rsidR="00BD4634" w:rsidRPr="00BD4634" w:rsidTr="0010297E">
        <w:tc>
          <w:tcPr>
            <w:tcW w:w="2700" w:type="dxa"/>
          </w:tcPr>
          <w:p w:rsidR="00BD4634" w:rsidRPr="00BD4634" w:rsidRDefault="00BD4634" w:rsidP="00BD4634">
            <w:pPr>
              <w:rPr>
                <w:rFonts w:ascii="Times New Roman" w:hAnsi="Times New Roman" w:cs="Times New Roman"/>
              </w:rPr>
            </w:pPr>
            <w:r w:rsidRPr="00BD4634">
              <w:rPr>
                <w:rFonts w:ascii="Times New Roman" w:hAnsi="Times New Roman" w:cs="Times New Roman"/>
              </w:rPr>
              <w:t>Tesfay,et al (2021)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D4634" w:rsidRPr="00362F5E" w:rsidRDefault="00BD4634" w:rsidP="00BD4634">
            <w:r w:rsidRPr="00362F5E">
              <w:t>Y</w:t>
            </w:r>
          </w:p>
        </w:tc>
        <w:tc>
          <w:tcPr>
            <w:tcW w:w="2363" w:type="dxa"/>
            <w:tcBorders>
              <w:left w:val="single" w:sz="4" w:space="0" w:color="auto"/>
            </w:tcBorders>
          </w:tcPr>
          <w:p w:rsidR="00BD4634" w:rsidRDefault="00BD4634" w:rsidP="00BD4634">
            <w:r w:rsidRPr="00362F5E">
              <w:t>8(100%)</w:t>
            </w:r>
          </w:p>
        </w:tc>
      </w:tr>
    </w:tbl>
    <w:p w:rsidR="008F32D3" w:rsidRPr="00BD4634" w:rsidRDefault="008F32D3" w:rsidP="008F32D3">
      <w:pPr>
        <w:rPr>
          <w:rFonts w:ascii="Times New Roman" w:hAnsi="Times New Roman" w:cs="Times New Roman"/>
        </w:rPr>
      </w:pPr>
    </w:p>
    <w:p w:rsidR="005C2C9A" w:rsidRPr="00E818CB" w:rsidRDefault="005C2C9A" w:rsidP="008F32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6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453"/>
        <w:gridCol w:w="450"/>
        <w:gridCol w:w="450"/>
        <w:gridCol w:w="540"/>
        <w:gridCol w:w="540"/>
        <w:gridCol w:w="630"/>
        <w:gridCol w:w="630"/>
        <w:gridCol w:w="555"/>
        <w:gridCol w:w="435"/>
        <w:gridCol w:w="525"/>
        <w:gridCol w:w="465"/>
        <w:gridCol w:w="450"/>
        <w:gridCol w:w="540"/>
        <w:gridCol w:w="540"/>
        <w:gridCol w:w="540"/>
        <w:gridCol w:w="540"/>
        <w:gridCol w:w="810"/>
        <w:gridCol w:w="540"/>
        <w:gridCol w:w="630"/>
        <w:gridCol w:w="630"/>
        <w:gridCol w:w="630"/>
        <w:gridCol w:w="1237"/>
      </w:tblGrid>
      <w:tr w:rsidR="008F32D3" w:rsidRPr="005C2C9A" w:rsidTr="005C2C9A">
        <w:trPr>
          <w:trHeight w:val="665"/>
        </w:trPr>
        <w:tc>
          <w:tcPr>
            <w:tcW w:w="24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Included studies</w:t>
            </w:r>
          </w:p>
        </w:tc>
        <w:tc>
          <w:tcPr>
            <w:tcW w:w="12307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163D5D" w:rsidP="00B1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b/>
                <w:sz w:val="24"/>
                <w:szCs w:val="24"/>
              </w:rPr>
              <w:t>Ten</w:t>
            </w:r>
            <w:r w:rsidR="00B13D92" w:rsidRPr="005C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JBI Critical Appraisal Checklist for  case control  Studies: The tool has Yes, No, Unclear, and Not Applicable options: “1” is given for “Yes” and “0” is given for other options</w:t>
            </w:r>
          </w:p>
        </w:tc>
      </w:tr>
      <w:tr w:rsidR="008F32D3" w:rsidRPr="005C2C9A" w:rsidTr="005C2C9A">
        <w:trPr>
          <w:cantSplit/>
          <w:trHeight w:val="377"/>
        </w:trPr>
        <w:tc>
          <w:tcPr>
            <w:tcW w:w="24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ind w:left="115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2D3" w:rsidRPr="005C2C9A" w:rsidRDefault="008F32D3" w:rsidP="009853DC">
            <w:pPr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ind w:left="115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2D3" w:rsidRPr="005C2C9A" w:rsidRDefault="008F32D3" w:rsidP="009853DC">
            <w:pPr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ind w:left="115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2D3" w:rsidRPr="005C2C9A" w:rsidRDefault="008F32D3" w:rsidP="009853DC">
            <w:pPr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13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2D3" w:rsidRPr="005C2C9A" w:rsidRDefault="008F32D3" w:rsidP="009853DC">
            <w:pPr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123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Over all</w:t>
            </w:r>
          </w:p>
        </w:tc>
      </w:tr>
      <w:tr w:rsidR="008F32D3" w:rsidRPr="005C2C9A" w:rsidTr="005C2C9A">
        <w:trPr>
          <w:cantSplit/>
          <w:trHeight w:val="70"/>
        </w:trPr>
        <w:tc>
          <w:tcPr>
            <w:tcW w:w="245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left="115"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8F32D3" w:rsidRPr="005C2C9A" w:rsidRDefault="007A4DCE" w:rsidP="009853DC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R2</w:t>
            </w:r>
          </w:p>
        </w:tc>
        <w:tc>
          <w:tcPr>
            <w:tcW w:w="123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F32D3" w:rsidRPr="005C2C9A" w:rsidRDefault="008F32D3" w:rsidP="0098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C9A" w:rsidRPr="005C2C9A" w:rsidTr="005C2C9A">
        <w:trPr>
          <w:trHeight w:val="278"/>
        </w:trPr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Tiruneh, et al (2023)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7.5(75%)</w:t>
            </w:r>
          </w:p>
        </w:tc>
      </w:tr>
      <w:tr w:rsidR="005C2C9A" w:rsidRPr="005C2C9A" w:rsidTr="005C2C9A">
        <w:trPr>
          <w:trHeight w:val="215"/>
        </w:trPr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sz w:val="24"/>
                <w:szCs w:val="24"/>
              </w:rPr>
              <w:t>Beletew, et al (2020)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9A" w:rsidRPr="005C2C9A" w:rsidRDefault="005C2C9A" w:rsidP="005C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10(100%)</w:t>
            </w:r>
          </w:p>
        </w:tc>
      </w:tr>
    </w:tbl>
    <w:p w:rsidR="008F32D3" w:rsidRPr="005C2C9A" w:rsidRDefault="008F32D3" w:rsidP="008F32D3">
      <w:pPr>
        <w:rPr>
          <w:rFonts w:ascii="Times New Roman" w:hAnsi="Times New Roman" w:cs="Times New Roman"/>
          <w:sz w:val="24"/>
          <w:szCs w:val="24"/>
        </w:rPr>
      </w:pPr>
    </w:p>
    <w:p w:rsidR="008F32D3" w:rsidRPr="009C7AD7" w:rsidRDefault="008F32D3">
      <w:pPr>
        <w:rPr>
          <w:rFonts w:ascii="Times New Roman" w:hAnsi="Times New Roman" w:cs="Times New Roman"/>
          <w:sz w:val="24"/>
          <w:szCs w:val="24"/>
        </w:rPr>
      </w:pPr>
    </w:p>
    <w:sectPr w:rsidR="008F32D3" w:rsidRPr="009C7AD7" w:rsidSect="008F32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D794C"/>
    <w:multiLevelType w:val="hybridMultilevel"/>
    <w:tmpl w:val="36327F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285D27"/>
    <w:multiLevelType w:val="hybridMultilevel"/>
    <w:tmpl w:val="AFBE87E8"/>
    <w:lvl w:ilvl="0" w:tplc="797270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1tzQ0sTQwNDA1NLVQ0lEKTi0uzszPAykwqgUAC4HGPCwAAAA="/>
  </w:docVars>
  <w:rsids>
    <w:rsidRoot w:val="008F32D3"/>
    <w:rsid w:val="00024DAA"/>
    <w:rsid w:val="00035002"/>
    <w:rsid w:val="000510FA"/>
    <w:rsid w:val="00064057"/>
    <w:rsid w:val="000716AC"/>
    <w:rsid w:val="00085F9B"/>
    <w:rsid w:val="000A71A7"/>
    <w:rsid w:val="000E6C68"/>
    <w:rsid w:val="0010297E"/>
    <w:rsid w:val="00107A17"/>
    <w:rsid w:val="00127983"/>
    <w:rsid w:val="00163D5D"/>
    <w:rsid w:val="001734C6"/>
    <w:rsid w:val="0018410A"/>
    <w:rsid w:val="0019142E"/>
    <w:rsid w:val="001A4E2F"/>
    <w:rsid w:val="001B4CAB"/>
    <w:rsid w:val="001C44B0"/>
    <w:rsid w:val="001F3CAA"/>
    <w:rsid w:val="00202E70"/>
    <w:rsid w:val="002B461D"/>
    <w:rsid w:val="002B68DA"/>
    <w:rsid w:val="002C5E95"/>
    <w:rsid w:val="002D4D5C"/>
    <w:rsid w:val="002E79E2"/>
    <w:rsid w:val="0031208C"/>
    <w:rsid w:val="00321949"/>
    <w:rsid w:val="00360075"/>
    <w:rsid w:val="00375A48"/>
    <w:rsid w:val="003801DC"/>
    <w:rsid w:val="003A43BF"/>
    <w:rsid w:val="003A69E1"/>
    <w:rsid w:val="003B2E72"/>
    <w:rsid w:val="004005CA"/>
    <w:rsid w:val="00430903"/>
    <w:rsid w:val="004816A5"/>
    <w:rsid w:val="004A1983"/>
    <w:rsid w:val="004F1F7A"/>
    <w:rsid w:val="005177B5"/>
    <w:rsid w:val="00547702"/>
    <w:rsid w:val="005624E3"/>
    <w:rsid w:val="005C2C9A"/>
    <w:rsid w:val="00613223"/>
    <w:rsid w:val="0061416D"/>
    <w:rsid w:val="00620F01"/>
    <w:rsid w:val="00625441"/>
    <w:rsid w:val="006861F6"/>
    <w:rsid w:val="006950BD"/>
    <w:rsid w:val="006A3FD0"/>
    <w:rsid w:val="006F5878"/>
    <w:rsid w:val="00703E2C"/>
    <w:rsid w:val="007100B1"/>
    <w:rsid w:val="0071618B"/>
    <w:rsid w:val="007358FE"/>
    <w:rsid w:val="007A4DCE"/>
    <w:rsid w:val="007B4E0B"/>
    <w:rsid w:val="007F0C49"/>
    <w:rsid w:val="007F6A57"/>
    <w:rsid w:val="0080156C"/>
    <w:rsid w:val="00825A42"/>
    <w:rsid w:val="008362C6"/>
    <w:rsid w:val="00842101"/>
    <w:rsid w:val="008563CA"/>
    <w:rsid w:val="00856EE1"/>
    <w:rsid w:val="00885039"/>
    <w:rsid w:val="00893781"/>
    <w:rsid w:val="008E1666"/>
    <w:rsid w:val="008E5EA9"/>
    <w:rsid w:val="008F32D3"/>
    <w:rsid w:val="00907E19"/>
    <w:rsid w:val="009853DC"/>
    <w:rsid w:val="00985536"/>
    <w:rsid w:val="009C1AA8"/>
    <w:rsid w:val="009C7AD7"/>
    <w:rsid w:val="009F2526"/>
    <w:rsid w:val="00A230A3"/>
    <w:rsid w:val="00A264B4"/>
    <w:rsid w:val="00A46255"/>
    <w:rsid w:val="00A5668E"/>
    <w:rsid w:val="00AD6229"/>
    <w:rsid w:val="00AD662A"/>
    <w:rsid w:val="00AD6EEC"/>
    <w:rsid w:val="00B055FD"/>
    <w:rsid w:val="00B13D92"/>
    <w:rsid w:val="00B4686C"/>
    <w:rsid w:val="00B5492F"/>
    <w:rsid w:val="00BC6DC8"/>
    <w:rsid w:val="00BD2B37"/>
    <w:rsid w:val="00BD4634"/>
    <w:rsid w:val="00C32D97"/>
    <w:rsid w:val="00C72621"/>
    <w:rsid w:val="00C77645"/>
    <w:rsid w:val="00C812B0"/>
    <w:rsid w:val="00C90821"/>
    <w:rsid w:val="00C927B9"/>
    <w:rsid w:val="00C92BD8"/>
    <w:rsid w:val="00CD25AB"/>
    <w:rsid w:val="00CE54B0"/>
    <w:rsid w:val="00CE752D"/>
    <w:rsid w:val="00CF5257"/>
    <w:rsid w:val="00CF6FE4"/>
    <w:rsid w:val="00D00FD4"/>
    <w:rsid w:val="00D72BB6"/>
    <w:rsid w:val="00D920E4"/>
    <w:rsid w:val="00DD3F64"/>
    <w:rsid w:val="00DE6E80"/>
    <w:rsid w:val="00DF0BEA"/>
    <w:rsid w:val="00DF3466"/>
    <w:rsid w:val="00E803F8"/>
    <w:rsid w:val="00E818CB"/>
    <w:rsid w:val="00E94544"/>
    <w:rsid w:val="00EE76F7"/>
    <w:rsid w:val="00F21BC3"/>
    <w:rsid w:val="00F70E7A"/>
    <w:rsid w:val="00F71D13"/>
    <w:rsid w:val="00F73E4A"/>
    <w:rsid w:val="00F9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0B0F1-C172-4A8D-96B9-8C089A57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2D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F32D3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Default">
    <w:name w:val="Default"/>
    <w:rsid w:val="008F32D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6">
    <w:name w:val="A6"/>
    <w:uiPriority w:val="99"/>
    <w:rsid w:val="008F32D3"/>
    <w:rPr>
      <w:rFonts w:cs="Cambria"/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8F32D3"/>
    <w:rPr>
      <w:rFonts w:cs="Cambria"/>
      <w:b/>
      <w:bCs/>
      <w:color w:val="00000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188</cp:revision>
  <dcterms:created xsi:type="dcterms:W3CDTF">2023-09-19T06:39:00Z</dcterms:created>
  <dcterms:modified xsi:type="dcterms:W3CDTF">2024-09-03T16:33:00Z</dcterms:modified>
</cp:coreProperties>
</file>