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FD6B0" w14:textId="69F38619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1: ICD codes for the disease</w:t>
      </w:r>
    </w:p>
    <w:p w14:paraId="2ECBC820" w14:textId="75FDAAC9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2: Percentage of missing data of each variable</w:t>
      </w:r>
    </w:p>
    <w:p w14:paraId="5AC93138" w14:textId="77777777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3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: </w:t>
      </w:r>
      <w:r w:rsidRPr="002025D9">
        <w:rPr>
          <w:rFonts w:ascii="Times New Roman" w:hAnsi="Times New Roman" w:cs="Times New Roman" w:hint="eastAsia"/>
          <w:bCs/>
          <w:sz w:val="24"/>
          <w:szCs w:val="24"/>
        </w:rPr>
        <w:t>Variance inflation factor of each variable in the entire cohort</w:t>
      </w:r>
    </w:p>
    <w:p w14:paraId="737207A9" w14:textId="77777777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4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: </w:t>
      </w:r>
      <w:r w:rsidRPr="002025D9">
        <w:rPr>
          <w:rFonts w:ascii="Times New Roman" w:hAnsi="Times New Roman" w:cs="Times New Roman" w:hint="eastAsia"/>
          <w:bCs/>
          <w:sz w:val="24"/>
          <w:szCs w:val="24"/>
        </w:rPr>
        <w:t>Kaplan-Meier curve for 28-day all-cause mortality according to magnesium use in the matched cohort</w:t>
      </w:r>
    </w:p>
    <w:p w14:paraId="789CC1D2" w14:textId="77777777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5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: </w:t>
      </w:r>
      <w:r w:rsidRPr="002025D9">
        <w:rPr>
          <w:rFonts w:ascii="Times New Roman" w:hAnsi="Times New Roman" w:cs="Times New Roman" w:hint="eastAsia"/>
          <w:bCs/>
          <w:sz w:val="24"/>
          <w:szCs w:val="24"/>
        </w:rPr>
        <w:t>Association of magnesium use in the entire cohort with primary and secondary outcomes</w:t>
      </w:r>
      <w:bookmarkStart w:id="0" w:name="_GoBack"/>
      <w:bookmarkEnd w:id="0"/>
    </w:p>
    <w:p w14:paraId="30C496FE" w14:textId="77777777" w:rsidR="00FA2C93" w:rsidRPr="002025D9" w:rsidRDefault="00FA2C93" w:rsidP="00FA2C93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2025D9">
        <w:rPr>
          <w:rFonts w:ascii="Times New Roman" w:hAnsi="Times New Roman" w:cs="Times New Roman" w:hint="eastAsia"/>
          <w:bCs/>
          <w:sz w:val="24"/>
          <w:szCs w:val="24"/>
        </w:rPr>
        <w:t>Supplementary Digital Content 6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: </w:t>
      </w:r>
      <w:r w:rsidRPr="002025D9">
        <w:rPr>
          <w:rFonts w:ascii="Times New Roman" w:hAnsi="Times New Roman" w:cs="Times New Roman" w:hint="eastAsia"/>
          <w:bCs/>
          <w:sz w:val="24"/>
          <w:szCs w:val="24"/>
        </w:rPr>
        <w:t>Kaplan-Meier curves illustrate the 28-day all-cause mortality rates in the entire cohort based on magnesium intake</w:t>
      </w:r>
    </w:p>
    <w:p w14:paraId="516C79C1" w14:textId="77777777" w:rsidR="00755258" w:rsidRPr="00FA2C93" w:rsidRDefault="00755258"/>
    <w:sectPr w:rsidR="00755258" w:rsidRPr="00FA2C93" w:rsidSect="002C27B3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0C19A" w14:textId="77777777" w:rsidR="00DC6D8D" w:rsidRDefault="00DC6D8D" w:rsidP="00FA2C93">
      <w:r>
        <w:separator/>
      </w:r>
    </w:p>
  </w:endnote>
  <w:endnote w:type="continuationSeparator" w:id="0">
    <w:p w14:paraId="5B5626FA" w14:textId="77777777" w:rsidR="00DC6D8D" w:rsidRDefault="00DC6D8D" w:rsidP="00FA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933114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E151F0" w14:textId="77777777" w:rsidR="00326AC4" w:rsidRDefault="002C27B3">
            <w:pPr>
              <w:pStyle w:val="Foo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11187C" w14:textId="77777777" w:rsidR="00326AC4" w:rsidRDefault="00326A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AF8A7" w14:textId="77777777" w:rsidR="00DC6D8D" w:rsidRDefault="00DC6D8D" w:rsidP="00FA2C93">
      <w:r>
        <w:separator/>
      </w:r>
    </w:p>
  </w:footnote>
  <w:footnote w:type="continuationSeparator" w:id="0">
    <w:p w14:paraId="182BD09D" w14:textId="77777777" w:rsidR="00DC6D8D" w:rsidRDefault="00DC6D8D" w:rsidP="00FA2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93"/>
    <w:rsid w:val="000B013E"/>
    <w:rsid w:val="002C27B3"/>
    <w:rsid w:val="00326AC4"/>
    <w:rsid w:val="00755258"/>
    <w:rsid w:val="00877993"/>
    <w:rsid w:val="00DC6D8D"/>
    <w:rsid w:val="00FA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3EE1A"/>
  <w15:chartTrackingRefBased/>
  <w15:docId w15:val="{5C84BC16-1CCC-4138-AD7D-CEA56801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C9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C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A2C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A2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A2C93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A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songlijun</dc:creator>
  <cp:keywords/>
  <dc:description/>
  <cp:lastModifiedBy>Dhanalakshmi Vairavan</cp:lastModifiedBy>
  <cp:revision>3</cp:revision>
  <dcterms:created xsi:type="dcterms:W3CDTF">2024-12-05T10:02:00Z</dcterms:created>
  <dcterms:modified xsi:type="dcterms:W3CDTF">2025-01-08T12:16:00Z</dcterms:modified>
</cp:coreProperties>
</file>