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F6919">
      <w:pPr>
        <w:spacing w:line="360" w:lineRule="auto"/>
        <w:rPr>
          <w:b/>
          <w:bCs/>
          <w:lang w:val="en-GB"/>
        </w:rPr>
      </w:pPr>
      <w:r>
        <w:rPr>
          <w:b/>
          <w:bCs/>
          <w:lang w:val="en-GB"/>
        </w:rPr>
        <w:t>Supplementa</w:t>
      </w:r>
      <w:r>
        <w:rPr>
          <w:b/>
          <w:bCs/>
          <w:lang w:val="en-US"/>
        </w:rPr>
        <w:t>l</w:t>
      </w:r>
      <w:r>
        <w:rPr>
          <w:b/>
          <w:bCs/>
          <w:lang w:val="en-GB"/>
        </w:rPr>
        <w:t xml:space="preserve"> Materials</w:t>
      </w:r>
    </w:p>
    <w:p w14:paraId="76D1F06A">
      <w:pPr>
        <w:spacing w:line="360" w:lineRule="auto"/>
        <w:rPr>
          <w:rFonts w:eastAsia="宋体"/>
          <w:b/>
          <w:bCs/>
          <w:lang w:val="en-US"/>
        </w:rPr>
      </w:pPr>
      <w:r>
        <w:rPr>
          <w:rFonts w:hint="eastAsia"/>
          <w:b/>
          <w:bCs/>
          <w:lang w:val="en-GB"/>
        </w:rPr>
        <w:t>Supplemental</w:t>
      </w:r>
      <w:r>
        <w:rPr>
          <w:rFonts w:hint="eastAsia"/>
          <w:b/>
          <w:bCs/>
          <w:lang w:val="en-US"/>
        </w:rPr>
        <w:t xml:space="preserve"> Method</w:t>
      </w:r>
      <w:r>
        <w:rPr>
          <w:rFonts w:hint="eastAsia" w:eastAsia="宋体"/>
          <w:b/>
          <w:bCs/>
          <w:lang w:val="en-US"/>
        </w:rPr>
        <w:t>:</w:t>
      </w:r>
    </w:p>
    <w:p w14:paraId="30D3A878">
      <w:pPr>
        <w:spacing w:line="360" w:lineRule="auto"/>
        <w:jc w:val="both"/>
        <w:rPr>
          <w:rFonts w:cs="Times New Roman"/>
          <w:i/>
          <w:iCs/>
          <w:sz w:val="24"/>
          <w:szCs w:val="24"/>
          <w:lang w:val="en-GB"/>
        </w:rPr>
      </w:pPr>
      <w:r>
        <w:rPr>
          <w:b/>
          <w:bCs/>
          <w:lang w:val="en-GB"/>
        </w:rPr>
        <w:t>Metagenomic Next-Generation Sequencing and analysis</w:t>
      </w:r>
    </w:p>
    <w:p w14:paraId="2935CDF0">
      <w:pPr>
        <w:spacing w:line="360" w:lineRule="auto"/>
        <w:jc w:val="both"/>
        <w:rPr>
          <w:rFonts w:cs="Times New Roman"/>
          <w:sz w:val="24"/>
          <w:szCs w:val="24"/>
          <w:lang w:val="en-GB"/>
        </w:rPr>
      </w:pPr>
      <w:r>
        <w:rPr>
          <w:b/>
          <w:bCs/>
          <w:lang w:val="en-GB"/>
        </w:rPr>
        <w:t>Sample Collection</w:t>
      </w:r>
    </w:p>
    <w:p w14:paraId="3FB68751">
      <w:pPr>
        <w:spacing w:line="360" w:lineRule="auto"/>
        <w:ind w:firstLine="480" w:firstLineChars="200"/>
        <w:jc w:val="both"/>
        <w:rPr>
          <w:lang w:val="en-US"/>
        </w:rPr>
      </w:pPr>
      <w:r>
        <w:rPr>
          <w:lang w:val="en-US"/>
        </w:rPr>
        <w:t xml:space="preserve">Blood samples were centrifuged at 1600g for 10 minutes to separate plasma supernatant to extract DNA. </w:t>
      </w:r>
      <w:r>
        <w:rPr>
          <w:rFonts w:hint="eastAsia"/>
          <w:lang w:val="en-US"/>
        </w:rPr>
        <w:t>T</w:t>
      </w:r>
      <w:r>
        <w:rPr>
          <w:lang w:val="en-US"/>
        </w:rPr>
        <w:t xml:space="preserve">he sample </w:t>
      </w:r>
      <w:r>
        <w:rPr>
          <w:rFonts w:hint="eastAsia"/>
          <w:lang w:val="en-US"/>
        </w:rPr>
        <w:t>was</w:t>
      </w:r>
      <w:r>
        <w:rPr>
          <w:lang w:val="en-US"/>
        </w:rPr>
        <w:t xml:space="preserve"> stored at -80 ° C for long-term storage.</w:t>
      </w:r>
      <w:r>
        <w:rPr>
          <w:rFonts w:hint="eastAsia"/>
          <w:lang w:val="en-US"/>
        </w:rPr>
        <w:t xml:space="preserve"> </w:t>
      </w:r>
      <w:r>
        <w:rPr>
          <w:lang w:val="en-US"/>
        </w:rPr>
        <w:t>Other samples of latent infected parts, including sputum, bronchoalveolar lavage fluid (BALF), cerebrospinal fluid (CSF), urine,</w:t>
      </w:r>
      <w:r>
        <w:rPr>
          <w:rFonts w:hint="eastAsia"/>
          <w:lang w:val="en-US"/>
        </w:rPr>
        <w:t xml:space="preserve"> </w:t>
      </w:r>
      <w:r>
        <w:rPr>
          <w:lang w:val="en-US"/>
        </w:rPr>
        <w:t>throat swabs</w:t>
      </w:r>
      <w:r>
        <w:rPr>
          <w:rFonts w:hint="eastAsia"/>
          <w:lang w:val="en-US"/>
        </w:rPr>
        <w:t xml:space="preserve">, </w:t>
      </w:r>
      <w:r>
        <w:rPr>
          <w:lang w:val="en-US"/>
        </w:rPr>
        <w:t xml:space="preserve"> puncture fluid, pleural fluid, and tissues were collected according to standard procedures and also stored at −80°C. </w:t>
      </w:r>
    </w:p>
    <w:p w14:paraId="0626C0CF">
      <w:pPr>
        <w:spacing w:line="360" w:lineRule="auto"/>
        <w:jc w:val="both"/>
        <w:rPr>
          <w:rFonts w:cs="Times New Roman"/>
          <w:sz w:val="24"/>
          <w:szCs w:val="24"/>
          <w:lang w:val="en-GB"/>
        </w:rPr>
      </w:pPr>
      <w:r>
        <w:rPr>
          <w:b/>
          <w:bCs/>
          <w:lang w:val="en-GB"/>
        </w:rPr>
        <w:t>Nucleic Acid Extraction</w:t>
      </w:r>
    </w:p>
    <w:p w14:paraId="3B3268D6">
      <w:pPr>
        <w:spacing w:line="360" w:lineRule="auto"/>
        <w:jc w:val="both"/>
        <w:rPr>
          <w:lang w:val="en-US"/>
        </w:rPr>
      </w:pPr>
      <w:r>
        <w:rPr>
          <w:lang w:val="en-US"/>
        </w:rPr>
        <w:t xml:space="preserve">     Nucleic acid </w:t>
      </w:r>
      <w:r>
        <w:rPr>
          <w:rFonts w:hint="eastAsia"/>
          <w:lang w:val="en-US"/>
        </w:rPr>
        <w:t xml:space="preserve">extracted </w:t>
      </w:r>
      <w:r>
        <w:rPr>
          <w:lang w:val="en-US"/>
        </w:rPr>
        <w:t xml:space="preserve">from all samples, including the negative controls (water </w:t>
      </w:r>
      <w:r>
        <w:rPr>
          <w:rFonts w:hint="eastAsia"/>
          <w:lang w:val="en-US"/>
        </w:rPr>
        <w:t>and</w:t>
      </w:r>
      <w:r>
        <w:rPr>
          <w:lang w:val="en-US"/>
        </w:rPr>
        <w:t xml:space="preserve"> extraction buffer), were acquired using the TIANamp Micro DNA Kit (TIANGEN Biotech, Beijing, China), which followed the manufacturer’s manual. According to the manufacturer's manual, the Qubit dsDNA HS Assay Kit (ThermoFisher Scientific) were used for nucleic acid concentration determination. </w:t>
      </w:r>
      <w:r>
        <w:rPr>
          <w:rFonts w:hint="eastAsia" w:eastAsia="Verdana"/>
          <w:color w:val="000000"/>
          <w:shd w:val="clear" w:color="auto" w:fill="FFFFFF"/>
        </w:rPr>
        <w:t>E</w:t>
      </w:r>
      <w:r>
        <w:rPr>
          <w:rFonts w:hint="eastAsia" w:eastAsia="Verdana"/>
          <w:color w:val="000000"/>
          <w:shd w:val="clear" w:color="auto" w:fill="FFFFFF"/>
          <w:lang w:val="en-GB"/>
        </w:rPr>
        <w:t xml:space="preserve">xternal </w:t>
      </w:r>
      <w:r>
        <w:rPr>
          <w:rFonts w:hint="eastAsia" w:eastAsia="Verdana"/>
          <w:color w:val="000000"/>
          <w:shd w:val="clear" w:color="auto" w:fill="FFFFFF"/>
        </w:rPr>
        <w:t>neg</w:t>
      </w:r>
      <w:r>
        <w:rPr>
          <w:rFonts w:hint="eastAsia" w:eastAsia="宋体"/>
          <w:color w:val="000000"/>
          <w:shd w:val="clear" w:color="auto" w:fill="FFFFFF"/>
        </w:rPr>
        <w:t>a</w:t>
      </w:r>
      <w:r>
        <w:rPr>
          <w:rFonts w:hint="eastAsia" w:eastAsia="Verdana"/>
          <w:color w:val="000000"/>
          <w:shd w:val="clear" w:color="auto" w:fill="FFFFFF"/>
        </w:rPr>
        <w:t>tive control (non-template control, NTC (sterile deionized water)) w</w:t>
      </w:r>
      <w:r>
        <w:rPr>
          <w:rFonts w:eastAsia="Verdana"/>
          <w:color w:val="000000"/>
          <w:shd w:val="clear" w:color="auto" w:fill="FFFFFF"/>
        </w:rPr>
        <w:t>as</w:t>
      </w:r>
      <w:r>
        <w:rPr>
          <w:rFonts w:hint="eastAsia" w:eastAsia="Verdana"/>
          <w:color w:val="000000"/>
          <w:shd w:val="clear" w:color="auto" w:fill="FFFFFF"/>
        </w:rPr>
        <w:t xml:space="preserve"> also set for each batch of experiments using the same wet lab procedures from DNA extraction to end of sequencing and bioinformatics analysis.</w:t>
      </w:r>
      <w:r>
        <w:rPr>
          <w:rFonts w:hint="eastAsia" w:eastAsia="宋体"/>
          <w:color w:val="000000"/>
          <w:shd w:val="clear" w:color="auto" w:fill="FFFFFF"/>
          <w:lang w:val="en-US"/>
        </w:rPr>
        <w:t xml:space="preserve"> </w:t>
      </w:r>
      <w:r>
        <w:rPr>
          <w:rFonts w:hint="eastAsia" w:eastAsia="Verdana"/>
          <w:color w:val="000000"/>
          <w:shd w:val="clear" w:color="auto" w:fill="FFFFFF"/>
        </w:rPr>
        <w:t>I</w:t>
      </w:r>
      <w:r>
        <w:rPr>
          <w:rFonts w:hint="eastAsia" w:eastAsia="Verdana"/>
          <w:color w:val="000000"/>
          <w:shd w:val="clear" w:color="auto" w:fill="FFFFFF"/>
          <w:lang w:val="en-GB"/>
        </w:rPr>
        <w:t>nternal controls (IC)</w:t>
      </w:r>
      <w:r>
        <w:rPr>
          <w:rFonts w:hint="eastAsia" w:eastAsia="宋体"/>
          <w:color w:val="000000"/>
          <w:shd w:val="clear" w:color="auto" w:fill="FFFFFF"/>
          <w:lang w:val="en-US"/>
        </w:rPr>
        <w:t xml:space="preserve"> </w:t>
      </w:r>
      <w:r>
        <w:rPr>
          <w:rFonts w:hint="eastAsia" w:eastAsia="Verdana"/>
          <w:color w:val="000000"/>
          <w:shd w:val="clear" w:color="auto" w:fill="FFFFFF"/>
        </w:rPr>
        <w:t>were used to ensure no mistakes in sample tracking. Each IC</w:t>
      </w:r>
      <w:r>
        <w:rPr>
          <w:rFonts w:eastAsia="Verdana"/>
          <w:color w:val="000000"/>
          <w:shd w:val="clear" w:color="auto" w:fill="FFFFFF"/>
        </w:rPr>
        <w:t xml:space="preserve"> comprises a pair of unique synthetic DNA sequences not found in nature</w:t>
      </w:r>
      <w:r>
        <w:rPr>
          <w:rFonts w:hint="eastAsia" w:eastAsia="Verdana"/>
          <w:color w:val="000000"/>
          <w:shd w:val="clear" w:color="auto" w:fill="FFFFFF"/>
        </w:rPr>
        <w:t xml:space="preserve">. </w:t>
      </w:r>
    </w:p>
    <w:p w14:paraId="2DB23634">
      <w:pPr>
        <w:spacing w:line="360" w:lineRule="auto"/>
        <w:jc w:val="left"/>
        <w:rPr>
          <w:rFonts w:eastAsia="Times New Roman"/>
          <w:b/>
          <w:bCs/>
          <w:lang w:val="en-GB" w:eastAsia="en-US"/>
        </w:rPr>
      </w:pPr>
      <w:r>
        <w:rPr>
          <w:b/>
          <w:bCs/>
          <w:lang w:val="en-GB" w:eastAsia="en-US"/>
        </w:rPr>
        <w:t>Library Construction and sequencing</w:t>
      </w:r>
    </w:p>
    <w:p w14:paraId="55BA9999">
      <w:pPr>
        <w:spacing w:line="360" w:lineRule="auto"/>
        <w:ind w:firstLine="480" w:firstLineChars="200"/>
        <w:jc w:val="both"/>
        <w:rPr>
          <w:rFonts w:eastAsia="宋体"/>
          <w:lang w:val="en-US"/>
        </w:rPr>
      </w:pPr>
      <w:r>
        <w:rPr>
          <w:rFonts w:eastAsia="宋体"/>
          <w:lang w:val="en-US"/>
        </w:rPr>
        <w:t>L</w:t>
      </w:r>
      <w:r>
        <w:t xml:space="preserve">ibraries were constructed using </w:t>
      </w:r>
      <w:r>
        <w:rPr>
          <w:lang w:val="en-US"/>
        </w:rPr>
        <w:t xml:space="preserve">the Nextera XT kit (Illumina) </w:t>
      </w:r>
      <w:r>
        <w:rPr>
          <w:rFonts w:hint="eastAsia" w:eastAsia="宋体"/>
          <w:lang w:val="en-US"/>
        </w:rPr>
        <w:t>following</w:t>
      </w:r>
      <w:r>
        <w:rPr>
          <w:rFonts w:eastAsia="宋体"/>
          <w:lang w:val="en-US"/>
        </w:rPr>
        <w:t xml:space="preserve"> the manufacturer's manual.</w:t>
      </w:r>
      <w:r>
        <w:rPr>
          <w:rFonts w:hint="eastAsia" w:eastAsia="宋体"/>
          <w:lang w:val="en-US"/>
        </w:rPr>
        <w:t xml:space="preserve"> Qubit (Thermo Fisher Scientific, MA, USA) and Agilent 2100 Bioanalyzer (Agilent Technologies, Palo Alto, USA) were used for library quality control. </w:t>
      </w:r>
      <w:r>
        <w:rPr>
          <w:rFonts w:eastAsia="宋体"/>
          <w:lang w:val="en-US"/>
        </w:rPr>
        <w:t xml:space="preserve">An Illumina NextSeq-550Dx sequencer was employed for the sequencing reaction to gain the sequence information of the sample. The sequencing depth of each sample ≥20 million reads was sequenced using a 75-cycle single-end sequencing strategy. </w:t>
      </w:r>
      <w:bookmarkStart w:id="0" w:name="_GoBack"/>
      <w:bookmarkEnd w:id="0"/>
    </w:p>
    <w:p w14:paraId="5D15C480">
      <w:pPr>
        <w:spacing w:line="360" w:lineRule="auto"/>
        <w:jc w:val="both"/>
        <w:rPr>
          <w:rFonts w:cs="Times New Roman"/>
          <w:color w:val="auto"/>
          <w:sz w:val="24"/>
          <w:szCs w:val="24"/>
          <w:lang w:val="en-GB" w:eastAsia="en-US"/>
        </w:rPr>
      </w:pPr>
      <w:r>
        <w:rPr>
          <w:b/>
          <w:bCs/>
          <w:color w:val="auto"/>
          <w:lang w:val="en-GB" w:eastAsia="en-US"/>
        </w:rPr>
        <w:t>Bioinformatics Analysis</w:t>
      </w:r>
    </w:p>
    <w:p w14:paraId="71AA7EB5">
      <w:pPr>
        <w:spacing w:line="360" w:lineRule="auto"/>
        <w:jc w:val="both"/>
        <w:rPr>
          <w:rFonts w:eastAsia="Times New Roman"/>
          <w:b w:val="0"/>
          <w:bCs w:val="0"/>
          <w:color w:val="auto"/>
          <w:lang w:val="en-US" w:eastAsia="en-US"/>
        </w:rPr>
      </w:pPr>
      <w:r>
        <w:rPr>
          <w:lang w:val="en-US"/>
        </w:rPr>
        <w:t>Bcl2fastq</w:t>
      </w:r>
      <w:r>
        <w:rPr>
          <w:rFonts w:hint="eastAsia"/>
          <w:lang w:val="en-US"/>
        </w:rPr>
        <w:t xml:space="preserve"> </w:t>
      </w:r>
      <w:r>
        <w:rPr>
          <w:lang w:val="en-US"/>
        </w:rPr>
        <w:t xml:space="preserve">v2.20.0.422 with default parameters was applied to demultiplex the primary sequencing output. For quality control adapter contamination and low-quality and low-complexity reads, raw reads and adapter removal were filtered by fastp (v0.19.5) </w:t>
      </w:r>
      <w:r>
        <w:rPr>
          <w:rFonts w:hint="eastAsia"/>
          <w:vertAlign w:val="superscript"/>
          <w:lang w:val="en-US"/>
        </w:rPr>
        <w:t>1</w:t>
      </w:r>
      <w:r>
        <w:rPr>
          <w:lang w:val="en-US"/>
        </w:rPr>
        <w:t>and Komplexity v0.3.6</w:t>
      </w:r>
      <w:r>
        <w:rPr>
          <w:rFonts w:hint="eastAsia"/>
          <w:vertAlign w:val="superscript"/>
          <w:lang w:val="en-US"/>
        </w:rPr>
        <w:t>2</w:t>
      </w:r>
      <w:r>
        <w:rPr>
          <w:lang w:val="en-US"/>
        </w:rPr>
        <w:t>. Samples with &lt;10 million reads after QC were excluded from this study</w:t>
      </w:r>
      <w:r>
        <w:rPr>
          <w:rFonts w:hint="eastAsia"/>
          <w:lang w:val="en-US"/>
        </w:rPr>
        <w:t>.</w:t>
      </w:r>
      <w:r>
        <w:rPr>
          <w:lang w:val="en-US"/>
        </w:rPr>
        <w:t xml:space="preserve"> Reads mapped to the human reference assembly GRCh38 were removed with Bowtie2 v2.3.4.3</w:t>
      </w:r>
      <w:r>
        <w:rPr>
          <w:rFonts w:hint="eastAsia"/>
          <w:vertAlign w:val="superscript"/>
          <w:lang w:val="en-US"/>
        </w:rPr>
        <w:t>3</w:t>
      </w:r>
      <w:r>
        <w:rPr>
          <w:lang w:val="en-US"/>
        </w:rPr>
        <w:t>.</w:t>
      </w:r>
      <w:r>
        <w:rPr>
          <w:rFonts w:hint="eastAsia"/>
          <w:lang w:val="en-US"/>
        </w:rPr>
        <w:t xml:space="preserve"> </w:t>
      </w:r>
      <w:r>
        <w:rPr>
          <w:lang w:val="en-US"/>
        </w:rPr>
        <w:t>Then, reads were aligned to the microorganism database consisting of approximately 12000 genomes with SNAP v1.0 beta.18</w:t>
      </w:r>
      <w:r>
        <w:rPr>
          <w:rFonts w:hint="eastAsia"/>
          <w:vertAlign w:val="superscript"/>
          <w:lang w:val="en-US"/>
        </w:rPr>
        <w:t>4</w:t>
      </w:r>
      <w:r>
        <w:rPr>
          <w:lang w:val="en-US"/>
        </w:rPr>
        <w:t xml:space="preserve"> as previously described</w:t>
      </w:r>
      <w:r>
        <w:rPr>
          <w:rFonts w:hint="eastAsia"/>
          <w:vertAlign w:val="superscript"/>
          <w:lang w:val="en-US"/>
        </w:rPr>
        <w:t>5</w:t>
      </w:r>
      <w:r>
        <w:rPr>
          <w:lang w:val="en-US"/>
        </w:rPr>
        <w:t>. The mapped reads were classified based on the NCBI RefSeq genome database, or the NCBI GenBank genome database (ftp://ftp.ncbi.nlm.nih.gov/genomes/)was selected for each species. After filtering low-complexity reads</w:t>
      </w:r>
      <w:r>
        <w:rPr>
          <w:rFonts w:hint="eastAsia"/>
          <w:vertAlign w:val="superscript"/>
          <w:lang w:val="en-US"/>
        </w:rPr>
        <w:t>6</w:t>
      </w:r>
      <w:r>
        <w:rPr>
          <w:lang w:val="en-US"/>
        </w:rPr>
        <w:t>, we counted the species or genus abundance with Perl scripts.</w:t>
      </w:r>
    </w:p>
    <w:p w14:paraId="7C3324AF">
      <w:pPr>
        <w:spacing w:line="360" w:lineRule="auto"/>
        <w:jc w:val="both"/>
        <w:rPr>
          <w:b/>
          <w:bCs/>
          <w:lang w:val="en-US" w:eastAsia="en-US"/>
        </w:rPr>
      </w:pPr>
      <w:r>
        <w:rPr>
          <w:b/>
          <w:bCs/>
          <w:lang w:val="en-US" w:eastAsia="en-US"/>
        </w:rPr>
        <w:t>Reporting</w:t>
      </w:r>
    </w:p>
    <w:p w14:paraId="1034B1A9">
      <w:pPr>
        <w:spacing w:line="360" w:lineRule="auto"/>
        <w:jc w:val="both"/>
        <w:rPr>
          <w:b/>
          <w:bCs/>
          <w:lang w:val="en-US" w:eastAsia="en-US"/>
        </w:rPr>
      </w:pPr>
      <w:r>
        <w:rPr>
          <w:b w:val="0"/>
          <w:bCs w:val="0"/>
          <w:lang w:val="en-US" w:eastAsia="zh-CN"/>
        </w:rPr>
        <w:t xml:space="preserve">The </w:t>
      </w:r>
      <w:r>
        <w:rPr>
          <w:lang w:val="en-US"/>
        </w:rPr>
        <w:t>precise</w:t>
      </w:r>
      <w:r>
        <w:rPr>
          <w:b w:val="0"/>
          <w:bCs w:val="0"/>
          <w:lang w:val="en-US" w:eastAsia="zh-CN"/>
        </w:rPr>
        <w:t>ly mapped read number (SMRN) of each microbial taxonomy was standardized to SMRN per 20 million (M) of total sequencing reads (SDSMRN, standardized SMRN).</w:t>
      </w:r>
    </w:p>
    <w:p w14:paraId="21409A04">
      <w:pPr>
        <w:spacing w:line="360" w:lineRule="auto"/>
        <w:jc w:val="center"/>
        <w:rPr>
          <w:lang w:val="en-US"/>
        </w:rPr>
      </w:pPr>
      <w:r>
        <w:rPr>
          <w:b w:val="0"/>
          <w:bCs w:val="0"/>
          <w:lang w:val="en-US" w:eastAsia="zh-CN"/>
        </w:rPr>
        <w:t>SDSMRN=SMRN×20 million/total reads.</w:t>
      </w:r>
    </w:p>
    <w:p w14:paraId="59FD3358">
      <w:pPr>
        <w:numPr>
          <w:ilvl w:val="0"/>
          <w:numId w:val="1"/>
        </w:numPr>
        <w:spacing w:line="360" w:lineRule="auto"/>
        <w:jc w:val="both"/>
      </w:pPr>
      <w:r>
        <w:t>For the detected bacteria (Mycobacterium excluded)</w:t>
      </w:r>
      <w:r>
        <w:rPr>
          <w:rFonts w:hint="eastAsia" w:eastAsia="宋体"/>
          <w:lang w:val="en-US"/>
        </w:rPr>
        <w:t xml:space="preserve"> </w:t>
      </w:r>
      <w:r>
        <w:t>and fungi (Cryptococcus excluded), the positive criteria for the mNGS result were set as follows:</w:t>
      </w:r>
      <w:r>
        <w:rPr>
          <w:rFonts w:hint="eastAsia" w:eastAsia="宋体"/>
          <w:lang w:val="en-US"/>
        </w:rPr>
        <w:t xml:space="preserve"> </w:t>
      </w:r>
      <w:r>
        <w:t>(a) The</w:t>
      </w:r>
      <w:r>
        <w:rPr>
          <w:rFonts w:hint="eastAsia" w:eastAsia="宋体"/>
          <w:lang w:val="en-US"/>
        </w:rPr>
        <w:t xml:space="preserve"> </w:t>
      </w:r>
      <w:r>
        <w:t>specifically mapped read number (SMRN) of each microbial taxonomy ranked top10 of the same kind of microbes and the microorganism was not detected in the NTC; or (b)</w:t>
      </w:r>
      <w:r>
        <w:rPr>
          <w:rFonts w:hint="eastAsia"/>
          <w:lang w:val="en-US"/>
        </w:rPr>
        <w:t>Standardized SMRN(</w:t>
      </w:r>
      <w:r>
        <w:t>SDSMRN</w:t>
      </w:r>
      <w:r>
        <w:rPr>
          <w:rFonts w:hint="eastAsia" w:eastAsia="宋体"/>
          <w:lang w:val="en-US"/>
        </w:rPr>
        <w:t>)</w:t>
      </w:r>
      <w:r>
        <w:t>&gt; 1 (SDSMRN=SMRN×20 million/total reads).</w:t>
      </w:r>
    </w:p>
    <w:p w14:paraId="7F5165F0">
      <w:pPr>
        <w:numPr>
          <w:ilvl w:val="0"/>
          <w:numId w:val="1"/>
        </w:numPr>
        <w:spacing w:line="360" w:lineRule="auto"/>
        <w:jc w:val="both"/>
      </w:pPr>
      <w:r>
        <w:t>For the detected</w:t>
      </w:r>
      <w:r>
        <w:rPr>
          <w:rFonts w:hint="eastAsia" w:eastAsia="宋体"/>
          <w:lang w:val="en-US"/>
        </w:rPr>
        <w:t xml:space="preserve"> </w:t>
      </w:r>
      <w:r>
        <w:t>viruses,</w:t>
      </w:r>
      <w:r>
        <w:rPr>
          <w:rFonts w:hint="eastAsia" w:eastAsia="宋体"/>
          <w:lang w:val="en-US"/>
        </w:rPr>
        <w:t xml:space="preserve"> </w:t>
      </w:r>
      <w:r>
        <w:t>the positive criteria for the mNGS result were set as follows:(a) SDSMRN ranked top</w:t>
      </w:r>
      <w:r>
        <w:rPr>
          <w:rFonts w:hint="eastAsia" w:eastAsiaTheme="minorEastAsia"/>
        </w:rPr>
        <w:t xml:space="preserve"> </w:t>
      </w:r>
      <w:r>
        <w:rPr>
          <w:rFonts w:hint="eastAsia" w:eastAsia="宋体"/>
          <w:lang w:val="en-US"/>
        </w:rPr>
        <w:t>3</w:t>
      </w:r>
      <w:r>
        <w:rPr>
          <w:rFonts w:eastAsia="宋体"/>
          <w:lang w:val="en-US"/>
        </w:rPr>
        <w:t>,</w:t>
      </w:r>
      <w:r>
        <w:t xml:space="preserve"> and the microorganism was not detected in the NTC; </w:t>
      </w:r>
      <w:r>
        <w:rPr>
          <w:rFonts w:hint="eastAsia" w:eastAsia="宋体"/>
          <w:lang w:val="en-US"/>
        </w:rPr>
        <w:t>and</w:t>
      </w:r>
      <w:r>
        <w:t xml:space="preserve"> (b)</w:t>
      </w:r>
      <w:r>
        <w:rPr>
          <w:rFonts w:hint="eastAsia" w:eastAsia="宋体"/>
          <w:lang w:val="en-US"/>
        </w:rPr>
        <w:t xml:space="preserve"> </w:t>
      </w:r>
      <w:r>
        <w:t>SDSMRN&gt;</w:t>
      </w:r>
      <w:r>
        <w:rPr>
          <w:rFonts w:hint="eastAsia" w:eastAsia="宋体"/>
          <w:lang w:val="en-US"/>
        </w:rPr>
        <w:t>5.</w:t>
      </w:r>
    </w:p>
    <w:p w14:paraId="335B71AB">
      <w:pPr>
        <w:numPr>
          <w:ilvl w:val="0"/>
          <w:numId w:val="1"/>
        </w:numPr>
        <w:spacing w:line="360" w:lineRule="auto"/>
        <w:jc w:val="both"/>
        <w:rPr>
          <w:b w:val="0"/>
          <w:bCs w:val="0"/>
          <w:lang w:val="en-US" w:eastAsia="zh-CN"/>
        </w:rPr>
      </w:pPr>
      <w:r>
        <w:t xml:space="preserve">Because of the low yield of DNA extraction and </w:t>
      </w:r>
      <w:r>
        <w:rPr>
          <w:rFonts w:hint="eastAsia" w:eastAsia="宋体"/>
          <w:lang w:val="en-US"/>
        </w:rPr>
        <w:t>l</w:t>
      </w:r>
      <w:r>
        <w:t>ow possibility of contamination</w:t>
      </w:r>
      <w:r>
        <w:rPr>
          <w:rFonts w:hint="eastAsia" w:eastAsia="宋体"/>
          <w:lang w:val="en-US"/>
        </w:rPr>
        <w:t xml:space="preserve">, pathogens such as parasites, </w:t>
      </w:r>
      <w:r>
        <w:rPr>
          <w:rFonts w:hint="eastAsia" w:eastAsia="宋体"/>
          <w:i/>
          <w:iCs/>
          <w:lang w:val="en-US"/>
        </w:rPr>
        <w:t>Mycobacterium spp</w:t>
      </w:r>
      <w:r>
        <w:rPr>
          <w:rFonts w:hint="eastAsia" w:eastAsia="宋体"/>
          <w:lang w:val="en-US"/>
        </w:rPr>
        <w:t>.,</w:t>
      </w:r>
      <w:r>
        <w:rPr>
          <w:rFonts w:hint="eastAsia" w:eastAsia="宋体"/>
          <w:i/>
          <w:iCs/>
          <w:lang w:val="en-US"/>
        </w:rPr>
        <w:t xml:space="preserve"> Rickettsia spp</w:t>
      </w:r>
      <w:r>
        <w:rPr>
          <w:rFonts w:hint="eastAsia" w:eastAsia="宋体"/>
          <w:lang w:val="en-US"/>
        </w:rPr>
        <w:t xml:space="preserve">., were considered identified when </w:t>
      </w:r>
      <w:r>
        <w:t>SDSMRN&gt; </w:t>
      </w:r>
      <w:r>
        <w:rPr>
          <w:rFonts w:hint="eastAsia" w:eastAsia="宋体"/>
          <w:lang w:val="en-US"/>
        </w:rPr>
        <w:t>1, or it positioned first within the top 20 genus with the highest SDSMRN.</w:t>
      </w:r>
    </w:p>
    <w:p w14:paraId="71A62C17">
      <w:pPr>
        <w:numPr>
          <w:ilvl w:val="255"/>
          <w:numId w:val="0"/>
        </w:numPr>
        <w:spacing w:line="360" w:lineRule="auto"/>
        <w:jc w:val="left"/>
        <w:rPr>
          <w:lang w:val="en-US"/>
        </w:rPr>
      </w:pPr>
      <w:r>
        <w:rPr>
          <w:rFonts w:eastAsia="宋体"/>
          <w:b/>
        </w:rPr>
        <w:t>Supplementary Methods References</w:t>
      </w:r>
    </w:p>
    <w:p w14:paraId="02A11C9E">
      <w:pPr>
        <w:widowControl w:val="0"/>
        <w:numPr>
          <w:ilvl w:val="0"/>
          <w:numId w:val="2"/>
        </w:numPr>
        <w:spacing w:line="360" w:lineRule="auto"/>
        <w:ind w:left="0" w:firstLine="0"/>
        <w:jc w:val="both"/>
        <w:rPr>
          <w:lang w:val="en-US" w:eastAsia="en-US"/>
        </w:rPr>
      </w:pPr>
      <w:r>
        <w:rPr>
          <w:lang w:val="en-US" w:eastAsia="en-US"/>
        </w:rPr>
        <w:t xml:space="preserve">Chen S, Zhou Y, Chen Y, Gu J. fastp: an ultra-fast all-in-one FASTQ preprocessor. Bioinformatics. 2018;34(17):i884-i890. </w:t>
      </w:r>
    </w:p>
    <w:p w14:paraId="34D11E96">
      <w:pPr>
        <w:widowControl w:val="0"/>
        <w:numPr>
          <w:ilvl w:val="0"/>
          <w:numId w:val="2"/>
        </w:numPr>
        <w:spacing w:line="360" w:lineRule="auto"/>
        <w:ind w:left="0" w:firstLine="0"/>
        <w:jc w:val="both"/>
        <w:rPr>
          <w:lang w:val="en-US" w:eastAsia="en-US"/>
        </w:rPr>
      </w:pPr>
      <w:r>
        <w:rPr>
          <w:lang w:val="en-US" w:eastAsia="en-US"/>
        </w:rPr>
        <w:t xml:space="preserve">Clarke EL, Taylor LJ, Zhao C, et al. Sunbeam: an extensible pipeline for analyzing metagenomic sequencing experiments. Microbiome. 2019;7(1):46. </w:t>
      </w:r>
    </w:p>
    <w:p w14:paraId="52EBB64E">
      <w:pPr>
        <w:widowControl w:val="0"/>
        <w:numPr>
          <w:ilvl w:val="0"/>
          <w:numId w:val="2"/>
        </w:numPr>
        <w:spacing w:line="360" w:lineRule="auto"/>
        <w:ind w:left="0" w:firstLine="0"/>
        <w:jc w:val="both"/>
        <w:rPr>
          <w:lang w:val="en-US" w:eastAsia="en-US"/>
        </w:rPr>
      </w:pPr>
      <w:r>
        <w:rPr>
          <w:lang w:val="en-US" w:eastAsia="en-US"/>
        </w:rPr>
        <w:t xml:space="preserve">Langmead B, Salzberg SL. Fast gapped-read alignment with Bowtie 2. Nat Methods. 2012;9(4):357-359. </w:t>
      </w:r>
    </w:p>
    <w:p w14:paraId="559BC701">
      <w:pPr>
        <w:widowControl w:val="0"/>
        <w:numPr>
          <w:ilvl w:val="0"/>
          <w:numId w:val="2"/>
        </w:numPr>
        <w:spacing w:line="360" w:lineRule="auto"/>
        <w:ind w:left="0" w:firstLine="0"/>
        <w:jc w:val="both"/>
        <w:rPr>
          <w:lang w:val="en-US" w:eastAsia="en-US"/>
        </w:rPr>
      </w:pPr>
      <w:r>
        <w:rPr>
          <w:lang w:val="en-US" w:eastAsia="en-US"/>
        </w:rPr>
        <w:t xml:space="preserve">Naccache SN, Federman S, Veeraraghavan N, et al. A cloud-compatible bioinformatics pipeline for ultrarapid pathogen identification from next-generation sequencing of clinical samples. Genome Res. 2014;24(7):1180-1192. </w:t>
      </w:r>
    </w:p>
    <w:p w14:paraId="2EA915C0">
      <w:pPr>
        <w:widowControl w:val="0"/>
        <w:numPr>
          <w:ilvl w:val="0"/>
          <w:numId w:val="2"/>
        </w:numPr>
        <w:spacing w:line="360" w:lineRule="auto"/>
        <w:ind w:left="0" w:firstLine="0"/>
        <w:jc w:val="both"/>
        <w:rPr>
          <w:lang w:val="en-US" w:eastAsia="en-US"/>
        </w:rPr>
      </w:pPr>
      <w:r>
        <w:rPr>
          <w:lang w:val="en-US" w:eastAsia="en-US"/>
        </w:rPr>
        <w:t xml:space="preserve">Schmieder R, Edwards R. Quality control and preprocessing of metagenomic datasets. Bioinformatics. 2011;27(6):863-864. </w:t>
      </w:r>
    </w:p>
    <w:p w14:paraId="32B44876">
      <w:pPr>
        <w:widowControl w:val="0"/>
        <w:numPr>
          <w:ilvl w:val="0"/>
          <w:numId w:val="2"/>
        </w:numPr>
        <w:spacing w:line="360" w:lineRule="auto"/>
        <w:ind w:left="0" w:firstLine="0"/>
        <w:jc w:val="both"/>
        <w:rPr>
          <w:lang w:val="en-US" w:eastAsia="en-US"/>
        </w:rPr>
      </w:pPr>
      <w:r>
        <w:rPr>
          <w:lang w:val="en-US" w:eastAsia="en-US"/>
        </w:rPr>
        <w:t xml:space="preserve">Zaragoza R, Ramírez P, López-Pueyo MJ. Infección nosocomial en las unidades de cuidados intensivos [Nosocomial infections in intensive care units]. Enferm Infecc Microbiol Clin. 2014;32(5):320-327. </w:t>
      </w:r>
    </w:p>
    <w:p w14:paraId="5AD02BAE">
      <w:pPr>
        <w:spacing w:line="360" w:lineRule="auto"/>
        <w:jc w:val="both"/>
        <w:rPr>
          <w:b/>
          <w:bCs/>
          <w:lang w:val="en-US"/>
        </w:rPr>
      </w:pPr>
      <w:r>
        <w:rPr>
          <w:b/>
          <w:bCs/>
          <w:lang w:val="en-US"/>
        </w:rPr>
        <w:t>The detailed definition and calculation formula of sensitivity and specificity</w:t>
      </w:r>
      <w:r>
        <w:rPr>
          <w:rFonts w:hint="eastAsia"/>
          <w:b/>
          <w:bCs/>
          <w:lang w:val="en-US"/>
        </w:rPr>
        <w:t>:</w:t>
      </w:r>
    </w:p>
    <w:p w14:paraId="28565566">
      <w:pPr>
        <w:spacing w:line="360" w:lineRule="auto"/>
        <w:jc w:val="both"/>
        <w:rPr>
          <w:lang w:val="en-US"/>
        </w:rPr>
      </w:pPr>
      <w:r>
        <w:rPr>
          <w:lang w:val="en-US"/>
        </w:rPr>
        <w:t xml:space="preserve">Each mNGS result was identified as a true positive (TP), false positive (FP), true negative (TN), or false negative (FN) result relative to the final clinical diagnosis. </w:t>
      </w:r>
    </w:p>
    <w:p w14:paraId="0DD3A87E">
      <w:pPr>
        <w:spacing w:line="360" w:lineRule="auto"/>
        <w:jc w:val="both"/>
        <w:rPr>
          <w:lang w:val="en-US"/>
        </w:rPr>
      </w:pPr>
      <w:r>
        <w:rPr>
          <w:lang w:val="en-US"/>
        </w:rPr>
        <w:t>TP</w:t>
      </w:r>
      <w:r>
        <w:rPr>
          <w:rFonts w:hint="eastAsia"/>
          <w:lang w:val="en-US"/>
        </w:rPr>
        <w:t xml:space="preserve">: </w:t>
      </w:r>
      <w:r>
        <w:rPr>
          <w:lang w:val="en-US"/>
        </w:rPr>
        <w:t xml:space="preserve">If the pathogen was consistent with the clinical diagnosis, it was considered true positive. </w:t>
      </w:r>
    </w:p>
    <w:p w14:paraId="3A9B384A">
      <w:pPr>
        <w:spacing w:line="360" w:lineRule="auto"/>
        <w:jc w:val="both"/>
        <w:rPr>
          <w:lang w:val="en-US"/>
        </w:rPr>
      </w:pPr>
      <w:r>
        <w:rPr>
          <w:lang w:val="en-US"/>
        </w:rPr>
        <w:t>FP</w:t>
      </w:r>
      <w:r>
        <w:rPr>
          <w:rFonts w:hint="eastAsia"/>
          <w:lang w:val="en-US"/>
        </w:rPr>
        <w:t>:</w:t>
      </w:r>
      <w:r>
        <w:rPr>
          <w:lang w:val="en-US"/>
        </w:rPr>
        <w:t xml:space="preserve"> A false positive was defined as a case where the detected pathogen was inconsistent with the clinical diagnosis. </w:t>
      </w:r>
    </w:p>
    <w:p w14:paraId="17789A07">
      <w:pPr>
        <w:spacing w:line="360" w:lineRule="auto"/>
        <w:jc w:val="both"/>
        <w:rPr>
          <w:lang w:val="en-US"/>
        </w:rPr>
      </w:pPr>
      <w:r>
        <w:rPr>
          <w:lang w:val="en-US"/>
        </w:rPr>
        <w:t>TN</w:t>
      </w:r>
      <w:r>
        <w:rPr>
          <w:rFonts w:hint="eastAsia"/>
          <w:lang w:val="en-US"/>
        </w:rPr>
        <w:t>:</w:t>
      </w:r>
      <w:r>
        <w:rPr>
          <w:lang w:val="en-US"/>
        </w:rPr>
        <w:t xml:space="preserve">A true negative case was defined if mNGS detected no pathogen and a clinical diagnosis of non-infectious diseases was ultimately determined. </w:t>
      </w:r>
    </w:p>
    <w:p w14:paraId="2B94216F">
      <w:pPr>
        <w:spacing w:line="360" w:lineRule="auto"/>
        <w:jc w:val="both"/>
        <w:rPr>
          <w:lang w:val="en-US"/>
        </w:rPr>
      </w:pPr>
      <w:r>
        <w:rPr>
          <w:lang w:val="en-US"/>
        </w:rPr>
        <w:t>FN</w:t>
      </w:r>
      <w:r>
        <w:rPr>
          <w:rFonts w:hint="eastAsia"/>
          <w:lang w:val="en-US"/>
        </w:rPr>
        <w:t>:</w:t>
      </w:r>
      <w:r>
        <w:rPr>
          <w:lang w:val="en-US"/>
        </w:rPr>
        <w:t xml:space="preserve"> Those whose samples detected no pathogen by mNGS but were clinically diagnosed as infectious diseases were all false-negative cases. </w:t>
      </w:r>
    </w:p>
    <w:p w14:paraId="20E16819">
      <w:pPr>
        <w:spacing w:line="360" w:lineRule="auto"/>
        <w:jc w:val="both"/>
        <w:rPr>
          <w:lang w:val="en-US"/>
        </w:rPr>
      </w:pPr>
      <w:r>
        <w:rPr>
          <w:rFonts w:hint="eastAsia"/>
          <w:lang w:val="en-US"/>
        </w:rPr>
        <w:t>S</w:t>
      </w:r>
      <w:r>
        <w:rPr>
          <w:lang w:val="en-US"/>
        </w:rPr>
        <w:t>ensitivity refers to the percentage of actual</w:t>
      </w:r>
      <w:r>
        <w:rPr>
          <w:rFonts w:hint="eastAsia"/>
          <w:lang w:val="en-US"/>
        </w:rPr>
        <w:t xml:space="preserve"> infectious</w:t>
      </w:r>
      <w:r>
        <w:rPr>
          <w:lang w:val="en-US"/>
        </w:rPr>
        <w:t xml:space="preserve"> patients correctly identified as positive (true positive). </w:t>
      </w:r>
      <w:r>
        <w:rPr>
          <w:rFonts w:hint="eastAsia"/>
          <w:lang w:val="en-US"/>
        </w:rPr>
        <w:t xml:space="preserve">The calculation formula is </w:t>
      </w:r>
      <w:r>
        <w:rPr>
          <w:lang w:val="en-US"/>
        </w:rPr>
        <w:t>TP/(TP</w:t>
      </w:r>
      <w:r>
        <w:rPr>
          <w:rFonts w:hint="eastAsia"/>
          <w:lang w:val="en-US"/>
        </w:rPr>
        <w:t>+</w:t>
      </w:r>
      <w:r>
        <w:rPr>
          <w:lang w:val="en-US"/>
        </w:rPr>
        <w:t>FN)</w:t>
      </w:r>
    </w:p>
    <w:p w14:paraId="0954522B">
      <w:pPr>
        <w:spacing w:line="360" w:lineRule="auto"/>
        <w:jc w:val="both"/>
        <w:rPr>
          <w:lang w:val="en-US"/>
        </w:rPr>
      </w:pPr>
      <w:r>
        <w:rPr>
          <w:rFonts w:hint="eastAsia"/>
          <w:lang w:val="en-US"/>
        </w:rPr>
        <w:t>S</w:t>
      </w:r>
      <w:r>
        <w:rPr>
          <w:lang w:val="en-US"/>
        </w:rPr>
        <w:t>pecificity</w:t>
      </w:r>
      <w:r>
        <w:rPr>
          <w:rFonts w:hint="eastAsia"/>
          <w:lang w:val="en-US"/>
        </w:rPr>
        <w:t xml:space="preserve"> </w:t>
      </w:r>
      <w:r>
        <w:rPr>
          <w:lang w:val="en-US"/>
        </w:rPr>
        <w:t xml:space="preserve">refers to the percentage of actual </w:t>
      </w:r>
      <w:r>
        <w:rPr>
          <w:rFonts w:hint="eastAsia"/>
          <w:lang w:val="en-US"/>
        </w:rPr>
        <w:t>n</w:t>
      </w:r>
      <w:r>
        <w:rPr>
          <w:lang w:val="en-US"/>
        </w:rPr>
        <w:t>on</w:t>
      </w:r>
      <w:r>
        <w:rPr>
          <w:rFonts w:hint="eastAsia"/>
          <w:lang w:val="en-US"/>
        </w:rPr>
        <w:t>-</w:t>
      </w:r>
      <w:r>
        <w:rPr>
          <w:lang w:val="en-US"/>
        </w:rPr>
        <w:t xml:space="preserve">infectious patients correctly identified as </w:t>
      </w:r>
      <w:r>
        <w:rPr>
          <w:rFonts w:hint="eastAsia"/>
          <w:lang w:val="en-US"/>
        </w:rPr>
        <w:t>negative</w:t>
      </w:r>
      <w:r>
        <w:rPr>
          <w:lang w:val="en-US"/>
        </w:rPr>
        <w:t xml:space="preserve"> (true </w:t>
      </w:r>
      <w:r>
        <w:rPr>
          <w:rFonts w:hint="eastAsia"/>
          <w:lang w:val="en-US"/>
        </w:rPr>
        <w:t>negative</w:t>
      </w:r>
      <w:r>
        <w:rPr>
          <w:lang w:val="en-US"/>
        </w:rPr>
        <w:t>)</w:t>
      </w:r>
      <w:r>
        <w:rPr>
          <w:rFonts w:hint="eastAsia"/>
          <w:lang w:val="en-US"/>
        </w:rPr>
        <w:t>. The calculation formula is: TN/(TN+FP)</w:t>
      </w:r>
    </w:p>
    <w:p w14:paraId="2DD4DF12">
      <w:pPr>
        <w:spacing w:line="360" w:lineRule="auto"/>
        <w:jc w:val="both"/>
        <w:rPr>
          <w:lang w:val="en-US"/>
        </w:rPr>
      </w:pPr>
      <w:r>
        <w:rPr>
          <w:rFonts w:hint="eastAsia"/>
          <w:lang w:val="en-US"/>
        </w:rPr>
        <w:t>P</w:t>
      </w:r>
      <w:r>
        <w:rPr>
          <w:lang w:val="en-US"/>
        </w:rPr>
        <w:t xml:space="preserve">ositive </w:t>
      </w:r>
      <w:r>
        <w:rPr>
          <w:rFonts w:hint="eastAsia"/>
          <w:lang w:val="en-US"/>
        </w:rPr>
        <w:t>P</w:t>
      </w:r>
      <w:r>
        <w:rPr>
          <w:lang w:val="en-US"/>
        </w:rPr>
        <w:t xml:space="preserve">redictive </w:t>
      </w:r>
      <w:r>
        <w:rPr>
          <w:rFonts w:hint="eastAsia"/>
          <w:lang w:val="en-US"/>
        </w:rPr>
        <w:t>V</w:t>
      </w:r>
      <w:r>
        <w:rPr>
          <w:lang w:val="en-US"/>
        </w:rPr>
        <w:t>alue (PPV)</w:t>
      </w:r>
      <w:r>
        <w:rPr>
          <w:rFonts w:hint="eastAsia"/>
          <w:lang w:val="en-US"/>
        </w:rPr>
        <w:t>: refers to the ratio of true positives in the positive results obtained by mNGS. The calculation formula is TP/(TP+FP)</w:t>
      </w:r>
    </w:p>
    <w:p w14:paraId="3EAEEB61">
      <w:pPr>
        <w:spacing w:line="360" w:lineRule="auto"/>
        <w:jc w:val="both"/>
        <w:rPr>
          <w:lang w:val="en-US"/>
        </w:rPr>
      </w:pPr>
      <w:r>
        <w:rPr>
          <w:rFonts w:hint="eastAsia"/>
          <w:lang w:val="en-US"/>
        </w:rPr>
        <w:t>N</w:t>
      </w:r>
      <w:r>
        <w:rPr>
          <w:lang w:val="en-US"/>
        </w:rPr>
        <w:t xml:space="preserve">egative </w:t>
      </w:r>
      <w:r>
        <w:rPr>
          <w:rFonts w:hint="eastAsia"/>
          <w:lang w:val="en-US"/>
        </w:rPr>
        <w:t>P</w:t>
      </w:r>
      <w:r>
        <w:rPr>
          <w:lang w:val="en-US"/>
        </w:rPr>
        <w:t xml:space="preserve">redictive </w:t>
      </w:r>
      <w:r>
        <w:rPr>
          <w:rFonts w:hint="eastAsia"/>
          <w:lang w:val="en-US"/>
        </w:rPr>
        <w:t>V</w:t>
      </w:r>
      <w:r>
        <w:rPr>
          <w:lang w:val="en-US"/>
        </w:rPr>
        <w:t>alue (NPV)</w:t>
      </w:r>
      <w:r>
        <w:rPr>
          <w:rFonts w:hint="eastAsia"/>
          <w:lang w:val="en-US"/>
        </w:rPr>
        <w:t>: refers to the ratio of true negatives in the negative results obtained by mNGS. The calculation formula is: TN/(TN+FN)</w:t>
      </w:r>
    </w:p>
    <w:p w14:paraId="3BC340DF">
      <w:pPr>
        <w:pStyle w:val="2"/>
        <w:spacing w:line="360" w:lineRule="auto"/>
        <w:rPr>
          <w:rFonts w:hint="eastAsia" w:cs="Times New Roman" w:eastAsiaTheme="minorEastAsia"/>
          <w:sz w:val="24"/>
          <w:lang w:val="en-US"/>
        </w:rPr>
      </w:pPr>
      <w:r>
        <w:rPr>
          <w:rFonts w:cs="Times New Roman"/>
          <w:sz w:val="24"/>
          <w:szCs w:val="24"/>
          <w:lang w:eastAsia="en-US"/>
        </w:rPr>
        <w:t>Diagnostic assessment of mNGS</w:t>
      </w:r>
    </w:p>
    <w:p w14:paraId="55063886">
      <w:pPr>
        <w:spacing w:line="360" w:lineRule="auto"/>
        <w:jc w:val="both"/>
        <w:rPr>
          <w:rFonts w:eastAsia="Verdana"/>
          <w:color w:val="000000"/>
          <w:shd w:val="clear" w:color="auto" w:fill="FFFFFF"/>
        </w:rPr>
      </w:pPr>
      <w:r>
        <w:rPr>
          <w:lang w:val="en-US"/>
        </w:rPr>
        <w:t xml:space="preserve">To </w:t>
      </w:r>
      <w:r>
        <w:rPr>
          <w:rFonts w:eastAsia="Verdana"/>
          <w:color w:val="000000"/>
          <w:shd w:val="clear" w:color="auto" w:fill="FFFFFF"/>
        </w:rPr>
        <w:t>evaluate the correctness of the microorganisms detected by mNGS as the microorganism causal of the fever of unknown origin</w:t>
      </w:r>
      <w:r>
        <w:rPr>
          <w:rFonts w:eastAsia="宋体"/>
          <w:color w:val="000000"/>
          <w:shd w:val="clear" w:color="auto" w:fill="FFFFFF"/>
          <w:lang w:val="en-US"/>
        </w:rPr>
        <w:t xml:space="preserve"> and </w:t>
      </w:r>
      <w:r>
        <w:rPr>
          <w:lang w:val="en-US"/>
        </w:rPr>
        <w:t xml:space="preserve">provide additional clarity regarding the criteria used in this study to define </w:t>
      </w:r>
      <w:r>
        <w:rPr>
          <w:rFonts w:hint="eastAsia"/>
          <w:lang w:val="en-US"/>
        </w:rPr>
        <w:t>“</w:t>
      </w:r>
      <w:r>
        <w:rPr>
          <w:lang w:val="en-US"/>
        </w:rPr>
        <w:t xml:space="preserve">True positive” and </w:t>
      </w:r>
      <w:r>
        <w:rPr>
          <w:rFonts w:hint="eastAsia"/>
          <w:lang w:val="en-US"/>
        </w:rPr>
        <w:t>“</w:t>
      </w:r>
      <w:r>
        <w:rPr>
          <w:lang w:val="en-US"/>
        </w:rPr>
        <w:t>false positive,”</w:t>
      </w:r>
      <w:r>
        <w:rPr>
          <w:rFonts w:eastAsia="宋体"/>
          <w:color w:val="000000"/>
          <w:shd w:val="clear" w:color="auto" w:fill="FFFFFF"/>
          <w:lang w:val="en-US"/>
        </w:rPr>
        <w:t xml:space="preserve"> </w:t>
      </w:r>
      <w:r>
        <w:rPr>
          <w:lang w:val="en-US"/>
        </w:rPr>
        <w:t xml:space="preserve">This table outlines </w:t>
      </w:r>
      <w:r>
        <w:rPr>
          <w:rFonts w:eastAsia="Verdana"/>
          <w:color w:val="000000"/>
          <w:shd w:val="clear" w:color="auto" w:fill="FFFFFF"/>
        </w:rPr>
        <w:t>some general ideas</w:t>
      </w:r>
      <w:r>
        <w:rPr>
          <w:rFonts w:eastAsia="宋体"/>
          <w:color w:val="000000"/>
          <w:shd w:val="clear" w:color="auto" w:fill="FFFFFF"/>
          <w:lang w:val="en-US"/>
        </w:rPr>
        <w:t xml:space="preserve"> </w:t>
      </w:r>
      <w:r>
        <w:rPr>
          <w:rFonts w:eastAsia="Verdana"/>
          <w:color w:val="000000"/>
          <w:shd w:val="clear" w:color="auto" w:fill="FFFFFF"/>
        </w:rPr>
        <w:t>to help clinical doctors to interpret the mNGS results in a useful way.</w:t>
      </w:r>
    </w:p>
    <w:p w14:paraId="05CC71D5">
      <w:pPr>
        <w:spacing w:line="360" w:lineRule="auto"/>
        <w:jc w:val="both"/>
        <w:rPr>
          <w:rFonts w:eastAsia="Verdana"/>
          <w:color w:val="000000"/>
          <w:shd w:val="clear" w:color="auto" w:fill="FFFFFF"/>
          <w:lang w:val="en-US"/>
        </w:rPr>
      </w:pPr>
      <w:r>
        <w:rPr>
          <w:rFonts w:eastAsia="Verdana"/>
          <w:color w:val="000000"/>
          <w:shd w:val="clear" w:color="auto" w:fill="FFFFFF"/>
          <w:lang w:val="en-US"/>
        </w:rPr>
        <w:t>Supplemental</w:t>
      </w:r>
      <w:r>
        <w:rPr>
          <w:rFonts w:hint="eastAsia" w:eastAsia="Verdana"/>
          <w:color w:val="000000"/>
          <w:shd w:val="clear" w:color="auto" w:fill="FFFFFF"/>
          <w:lang w:val="en-US"/>
        </w:rPr>
        <w:t xml:space="preserve"> </w:t>
      </w:r>
      <w:r>
        <w:rPr>
          <w:rFonts w:eastAsia="Verdana"/>
          <w:color w:val="000000"/>
          <w:shd w:val="clear" w:color="auto" w:fill="FFFFFF"/>
          <w:lang w:val="en-US"/>
        </w:rPr>
        <w:t>Table 1. General ideas for the diagnostic assessment of mNGS</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51"/>
        <w:gridCol w:w="6671"/>
      </w:tblGrid>
      <w:tr w14:paraId="6D45C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1" w:type="dxa"/>
            <w:tcBorders>
              <w:top w:val="single" w:color="auto" w:sz="4" w:space="0"/>
              <w:bottom w:val="single" w:color="auto" w:sz="4" w:space="0"/>
            </w:tcBorders>
          </w:tcPr>
          <w:p w14:paraId="20C0D1FF">
            <w:pPr>
              <w:widowControl/>
              <w:spacing w:line="360" w:lineRule="auto"/>
              <w:jc w:val="both"/>
              <w:rPr>
                <w:rFonts w:eastAsia="宋体"/>
                <w:lang w:val="en-US"/>
              </w:rPr>
            </w:pPr>
            <w:r>
              <w:rPr>
                <w:rFonts w:hint="eastAsia" w:eastAsia="宋体"/>
                <w:lang w:val="en-US"/>
              </w:rPr>
              <w:t>Clinical interpretation</w:t>
            </w:r>
          </w:p>
        </w:tc>
        <w:tc>
          <w:tcPr>
            <w:tcW w:w="6671" w:type="dxa"/>
            <w:tcBorders>
              <w:top w:val="single" w:color="auto" w:sz="4" w:space="0"/>
              <w:bottom w:val="single" w:color="auto" w:sz="4" w:space="0"/>
            </w:tcBorders>
          </w:tcPr>
          <w:p w14:paraId="34004C3B">
            <w:pPr>
              <w:widowControl/>
              <w:spacing w:line="360" w:lineRule="auto"/>
              <w:jc w:val="both"/>
              <w:rPr>
                <w:rFonts w:eastAsia="宋体"/>
                <w:lang w:val="en-US"/>
              </w:rPr>
            </w:pPr>
            <w:r>
              <w:rPr>
                <w:rFonts w:hint="eastAsia" w:eastAsia="宋体"/>
                <w:lang w:val="en-US"/>
              </w:rPr>
              <w:t>General ideas</w:t>
            </w:r>
          </w:p>
        </w:tc>
      </w:tr>
      <w:tr w14:paraId="29D85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1" w:type="dxa"/>
            <w:tcBorders>
              <w:top w:val="single" w:color="auto" w:sz="4" w:space="0"/>
            </w:tcBorders>
          </w:tcPr>
          <w:p w14:paraId="333ED4FB">
            <w:pPr>
              <w:widowControl/>
              <w:spacing w:line="360" w:lineRule="auto"/>
              <w:jc w:val="both"/>
              <w:rPr>
                <w:rFonts w:eastAsia="宋体"/>
                <w:lang w:val="en-US"/>
              </w:rPr>
            </w:pPr>
            <w:r>
              <w:rPr>
                <w:rFonts w:hint="eastAsia" w:eastAsia="宋体"/>
                <w:lang w:val="en-US"/>
              </w:rPr>
              <w:t>True positive</w:t>
            </w:r>
          </w:p>
        </w:tc>
        <w:tc>
          <w:tcPr>
            <w:tcW w:w="6671" w:type="dxa"/>
            <w:tcBorders>
              <w:top w:val="single" w:color="auto" w:sz="4" w:space="0"/>
            </w:tcBorders>
          </w:tcPr>
          <w:p w14:paraId="75A1F8AD">
            <w:pPr>
              <w:widowControl/>
              <w:numPr>
                <w:ilvl w:val="0"/>
                <w:numId w:val="3"/>
              </w:numPr>
              <w:spacing w:line="360" w:lineRule="auto"/>
              <w:jc w:val="both"/>
              <w:rPr>
                <w:rFonts w:eastAsia="宋体"/>
                <w:lang w:val="en-US"/>
              </w:rPr>
            </w:pPr>
            <w:r>
              <w:rPr>
                <w:rFonts w:hint="eastAsia" w:eastAsia="宋体"/>
                <w:lang w:val="en-US"/>
              </w:rPr>
              <w:t>Confirmed positive and primary etiology of disease: e.g., cultures exhibiting the identical bacteria as identified through mNGS testing.</w:t>
            </w:r>
          </w:p>
          <w:p w14:paraId="3027BAF8">
            <w:pPr>
              <w:widowControl/>
              <w:numPr>
                <w:ilvl w:val="0"/>
                <w:numId w:val="3"/>
              </w:numPr>
              <w:spacing w:line="360" w:lineRule="auto"/>
              <w:jc w:val="both"/>
              <w:rPr>
                <w:rFonts w:eastAsia="宋体"/>
                <w:lang w:val="en-US"/>
              </w:rPr>
            </w:pPr>
            <w:r>
              <w:rPr>
                <w:rFonts w:hint="eastAsia" w:eastAsia="宋体"/>
                <w:lang w:val="en-US"/>
              </w:rPr>
              <w:t>The diagnosis is clinically confirmed even without culture validation. e.g., Aspergillus sequences were detected in  mNGS, and pulmonary aspergillosis was confirmed by lung CT and G test/GM test</w:t>
            </w:r>
          </w:p>
          <w:p w14:paraId="2D5F9C08">
            <w:pPr>
              <w:widowControl/>
              <w:numPr>
                <w:ilvl w:val="0"/>
                <w:numId w:val="3"/>
              </w:numPr>
              <w:spacing w:line="360" w:lineRule="auto"/>
              <w:jc w:val="both"/>
              <w:rPr>
                <w:rFonts w:eastAsia="宋体"/>
                <w:lang w:val="en-US"/>
              </w:rPr>
            </w:pPr>
            <w:r>
              <w:rPr>
                <w:rFonts w:hint="eastAsia" w:eastAsia="宋体"/>
                <w:lang w:val="en-US"/>
              </w:rPr>
              <w:t xml:space="preserve">Confirmed positive but not the primary cause of disease: e.g., colonization of EBV was detected by mNGS in the plasma of patients with </w:t>
            </w:r>
            <w:r>
              <w:rPr>
                <w:rFonts w:eastAsia="宋体"/>
                <w:i/>
                <w:iCs/>
                <w:lang w:val="en-US"/>
              </w:rPr>
              <w:t>Pseudomonas aeruginosa</w:t>
            </w:r>
            <w:r>
              <w:rPr>
                <w:rFonts w:hint="eastAsia" w:eastAsia="宋体"/>
                <w:lang w:val="en-US"/>
              </w:rPr>
              <w:t>-induced sepsis, and EBV was confirmed by PCR</w:t>
            </w:r>
          </w:p>
          <w:p w14:paraId="6041D2A2">
            <w:pPr>
              <w:widowControl/>
              <w:numPr>
                <w:ilvl w:val="0"/>
                <w:numId w:val="3"/>
              </w:numPr>
              <w:spacing w:line="360" w:lineRule="auto"/>
              <w:jc w:val="both"/>
              <w:rPr>
                <w:rFonts w:eastAsia="宋体"/>
                <w:lang w:val="en-US"/>
              </w:rPr>
            </w:pPr>
            <w:r>
              <w:rPr>
                <w:rFonts w:hint="eastAsia" w:eastAsia="宋体"/>
                <w:lang w:val="en-US"/>
              </w:rPr>
              <w:t xml:space="preserve">Other conditions not confirmed positive but consistent with infectious diagnosis: e.g., in patients with clinically diagnosed disseminated tuberculosis, </w:t>
            </w:r>
            <w:r>
              <w:rPr>
                <w:rFonts w:eastAsia="宋体"/>
                <w:i/>
                <w:iCs/>
                <w:lang w:val="en-US"/>
              </w:rPr>
              <w:t>Mycobacterium tuberculosis</w:t>
            </w:r>
            <w:r>
              <w:rPr>
                <w:rFonts w:hint="eastAsia" w:eastAsia="宋体"/>
                <w:lang w:val="en-US"/>
              </w:rPr>
              <w:t xml:space="preserve"> was identified on mNGS testing but not by standard microbiological testing</w:t>
            </w:r>
          </w:p>
        </w:tc>
      </w:tr>
      <w:tr w14:paraId="7277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1" w:type="dxa"/>
          </w:tcPr>
          <w:p w14:paraId="14EEBED2">
            <w:pPr>
              <w:widowControl/>
              <w:spacing w:line="360" w:lineRule="auto"/>
              <w:jc w:val="both"/>
              <w:rPr>
                <w:rFonts w:eastAsia="宋体"/>
                <w:lang w:val="en-US"/>
              </w:rPr>
            </w:pPr>
            <w:r>
              <w:rPr>
                <w:rFonts w:hint="eastAsia" w:eastAsia="宋体"/>
                <w:lang w:val="en-US"/>
              </w:rPr>
              <w:t>False positive</w:t>
            </w:r>
          </w:p>
        </w:tc>
        <w:tc>
          <w:tcPr>
            <w:tcW w:w="6671" w:type="dxa"/>
          </w:tcPr>
          <w:p w14:paraId="094BEF2C">
            <w:pPr>
              <w:widowControl/>
              <w:numPr>
                <w:ilvl w:val="0"/>
                <w:numId w:val="4"/>
              </w:numPr>
              <w:spacing w:line="360" w:lineRule="auto"/>
              <w:jc w:val="both"/>
              <w:rPr>
                <w:rFonts w:eastAsia="宋体"/>
                <w:lang w:val="en-US"/>
              </w:rPr>
            </w:pPr>
            <w:r>
              <w:rPr>
                <w:rFonts w:hint="eastAsia" w:eastAsia="宋体"/>
                <w:lang w:val="en-US"/>
              </w:rPr>
              <w:t>Sequences may originate from interference or contamination: e.g., reagents or environmental contamination during production</w:t>
            </w:r>
          </w:p>
          <w:p w14:paraId="6FBEA226">
            <w:pPr>
              <w:widowControl/>
              <w:numPr>
                <w:ilvl w:val="0"/>
                <w:numId w:val="4"/>
              </w:numPr>
              <w:spacing w:line="360" w:lineRule="auto"/>
              <w:jc w:val="both"/>
              <w:rPr>
                <w:rFonts w:eastAsia="宋体"/>
                <w:lang w:val="en-US"/>
              </w:rPr>
            </w:pPr>
            <w:r>
              <w:rPr>
                <w:rFonts w:hint="eastAsia" w:eastAsia="宋体"/>
                <w:lang w:val="en-US"/>
              </w:rPr>
              <w:t>User normal gastrointestinal/skin/respiratory colonization flora but have no apparent infectious manifestations in patients: e.g., mNGS detected Neisseria. subflava, which is generally considered normal flora of the upper respiratory tract</w:t>
            </w:r>
          </w:p>
          <w:p w14:paraId="15016196">
            <w:pPr>
              <w:widowControl/>
              <w:numPr>
                <w:ilvl w:val="0"/>
                <w:numId w:val="4"/>
              </w:numPr>
              <w:spacing w:line="360" w:lineRule="auto"/>
              <w:jc w:val="both"/>
              <w:rPr>
                <w:rFonts w:eastAsia="宋体"/>
                <w:lang w:val="en-US"/>
              </w:rPr>
            </w:pPr>
            <w:r>
              <w:rPr>
                <w:rFonts w:hint="eastAsia" w:eastAsia="宋体"/>
                <w:lang w:val="en-US"/>
              </w:rPr>
              <w:t>Microorganisms with no known clinical significance: e.g., Torque teno virus was identified on mNGS in plasma, but its pathogenicity has not been proven</w:t>
            </w:r>
          </w:p>
          <w:p w14:paraId="1CFFD9F4">
            <w:pPr>
              <w:widowControl/>
              <w:numPr>
                <w:ilvl w:val="0"/>
                <w:numId w:val="4"/>
              </w:numPr>
              <w:spacing w:line="360" w:lineRule="auto"/>
              <w:jc w:val="both"/>
              <w:rPr>
                <w:rFonts w:eastAsia="宋体"/>
                <w:lang w:val="en-US"/>
              </w:rPr>
            </w:pPr>
            <w:r>
              <w:rPr>
                <w:rFonts w:hint="eastAsia" w:eastAsia="宋体"/>
                <w:lang w:val="en-US"/>
              </w:rPr>
              <w:t>Pathogens identified on plasma mNGS were inconsistent with final clinical diagnosis: Staphylococcus epidermidis was identified on mNGS in plasma without evidence of infection</w:t>
            </w:r>
          </w:p>
        </w:tc>
      </w:tr>
      <w:tr w14:paraId="2F3F0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1" w:type="dxa"/>
          </w:tcPr>
          <w:p w14:paraId="512D4B41">
            <w:pPr>
              <w:widowControl/>
              <w:spacing w:line="360" w:lineRule="auto"/>
              <w:jc w:val="both"/>
              <w:rPr>
                <w:rFonts w:eastAsia="宋体"/>
                <w:lang w:val="en-US"/>
              </w:rPr>
            </w:pPr>
            <w:r>
              <w:rPr>
                <w:rFonts w:hint="eastAsia" w:eastAsia="宋体"/>
                <w:lang w:val="en-US"/>
              </w:rPr>
              <w:t>True negative</w:t>
            </w:r>
          </w:p>
        </w:tc>
        <w:tc>
          <w:tcPr>
            <w:tcW w:w="6671" w:type="dxa"/>
          </w:tcPr>
          <w:p w14:paraId="295032F2">
            <w:pPr>
              <w:widowControl/>
              <w:numPr>
                <w:ilvl w:val="0"/>
                <w:numId w:val="5"/>
              </w:numPr>
              <w:spacing w:line="360" w:lineRule="auto"/>
              <w:jc w:val="both"/>
              <w:rPr>
                <w:rFonts w:eastAsia="宋体"/>
                <w:lang w:val="en-US"/>
              </w:rPr>
            </w:pPr>
            <w:r>
              <w:rPr>
                <w:rFonts w:hint="eastAsia" w:eastAsia="宋体"/>
                <w:lang w:val="en-US"/>
              </w:rPr>
              <w:t>No positive DNA fragments were detected, and clinical interpretation ruled out infections</w:t>
            </w:r>
          </w:p>
        </w:tc>
      </w:tr>
      <w:tr w14:paraId="1E44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1" w:type="dxa"/>
            <w:tcBorders>
              <w:bottom w:val="single" w:color="auto" w:sz="4" w:space="0"/>
            </w:tcBorders>
          </w:tcPr>
          <w:p w14:paraId="6547FDFC">
            <w:pPr>
              <w:widowControl/>
              <w:spacing w:line="360" w:lineRule="auto"/>
              <w:jc w:val="both"/>
              <w:rPr>
                <w:rFonts w:eastAsia="宋体"/>
                <w:lang w:val="en-US"/>
              </w:rPr>
            </w:pPr>
            <w:r>
              <w:rPr>
                <w:rFonts w:hint="eastAsia" w:eastAsia="宋体"/>
                <w:lang w:val="en-US"/>
              </w:rPr>
              <w:t>False negative</w:t>
            </w:r>
          </w:p>
        </w:tc>
        <w:tc>
          <w:tcPr>
            <w:tcW w:w="6671" w:type="dxa"/>
            <w:tcBorders>
              <w:bottom w:val="single" w:color="auto" w:sz="4" w:space="0"/>
            </w:tcBorders>
          </w:tcPr>
          <w:p w14:paraId="37C5C2EE">
            <w:pPr>
              <w:widowControl/>
              <w:numPr>
                <w:ilvl w:val="0"/>
                <w:numId w:val="6"/>
              </w:numPr>
              <w:spacing w:line="360" w:lineRule="auto"/>
              <w:jc w:val="both"/>
              <w:rPr>
                <w:rFonts w:eastAsia="宋体"/>
                <w:lang w:val="en-US"/>
              </w:rPr>
            </w:pPr>
            <w:r>
              <w:rPr>
                <w:rFonts w:hint="eastAsia" w:eastAsia="宋体"/>
                <w:lang w:val="en-US"/>
              </w:rPr>
              <w:t xml:space="preserve">mNGS did not detect DNA/RNA fragments, and infections were finally diagnosed by other experiments. </w:t>
            </w:r>
          </w:p>
          <w:p w14:paraId="43851C23">
            <w:pPr>
              <w:widowControl/>
              <w:numPr>
                <w:ilvl w:val="0"/>
                <w:numId w:val="6"/>
              </w:numPr>
              <w:spacing w:line="360" w:lineRule="auto"/>
              <w:jc w:val="both"/>
              <w:rPr>
                <w:rFonts w:eastAsia="宋体"/>
                <w:lang w:val="en-US"/>
              </w:rPr>
            </w:pPr>
            <w:r>
              <w:rPr>
                <w:rFonts w:hint="eastAsia" w:eastAsia="宋体"/>
                <w:lang w:val="en-US"/>
              </w:rPr>
              <w:t xml:space="preserve">Infection-related clinical laboratory tests such as procalcitonin, C-reactive protein, neutrophils, interleukin-6, beta glucan(1-3)-D test(G test) and serum galactomannan test(GM test), PCR; Infection-related imaging manifestations; Presence of infection-related clinical critera; Presence of infection-related symptoms; </w:t>
            </w:r>
            <w:r>
              <w:rPr>
                <w:rFonts w:eastAsia="宋体"/>
              </w:rPr>
              <w:t>Consistent with confirmed positive or other conditions not confirmed positive but consistent with infectious diagnosis</w:t>
            </w:r>
          </w:p>
        </w:tc>
      </w:tr>
    </w:tbl>
    <w:p w14:paraId="6814BA62">
      <w:pPr>
        <w:spacing w:line="360" w:lineRule="auto"/>
        <w:jc w:val="both"/>
        <w:rPr>
          <w:rFonts w:eastAsia="宋体"/>
          <w:lang w:val="en-US"/>
        </w:rPr>
      </w:pPr>
    </w:p>
    <w:p w14:paraId="374B80B4">
      <w:pPr>
        <w:spacing w:line="360" w:lineRule="auto"/>
        <w:jc w:val="both"/>
        <w:rPr>
          <w:lang w:val="en-US"/>
        </w:rPr>
      </w:pPr>
    </w:p>
    <w:p w14:paraId="7B0536F3">
      <w:pPr>
        <w:spacing w:line="360" w:lineRule="auto"/>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i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2DE5BB"/>
    <w:multiLevelType w:val="singleLevel"/>
    <w:tmpl w:val="882DE5BB"/>
    <w:lvl w:ilvl="0" w:tentative="0">
      <w:start w:val="1"/>
      <w:numFmt w:val="decimal"/>
      <w:suff w:val="space"/>
      <w:lvlText w:val="%1."/>
      <w:lvlJc w:val="left"/>
    </w:lvl>
  </w:abstractNum>
  <w:abstractNum w:abstractNumId="1">
    <w:nsid w:val="E80EF943"/>
    <w:multiLevelType w:val="singleLevel"/>
    <w:tmpl w:val="E80EF943"/>
    <w:lvl w:ilvl="0" w:tentative="0">
      <w:start w:val="1"/>
      <w:numFmt w:val="bullet"/>
      <w:lvlText w:val=""/>
      <w:lvlJc w:val="left"/>
      <w:pPr>
        <w:ind w:left="420" w:hanging="420"/>
      </w:pPr>
      <w:rPr>
        <w:rFonts w:hint="default" w:ascii="Wingdings" w:hAnsi="Wingdings"/>
      </w:rPr>
    </w:lvl>
  </w:abstractNum>
  <w:abstractNum w:abstractNumId="2">
    <w:nsid w:val="F2A86C6F"/>
    <w:multiLevelType w:val="singleLevel"/>
    <w:tmpl w:val="F2A86C6F"/>
    <w:lvl w:ilvl="0" w:tentative="0">
      <w:start w:val="1"/>
      <w:numFmt w:val="bullet"/>
      <w:lvlText w:val=""/>
      <w:lvlJc w:val="left"/>
      <w:pPr>
        <w:ind w:left="420" w:hanging="420"/>
      </w:pPr>
      <w:rPr>
        <w:rFonts w:hint="default" w:ascii="Wingdings" w:hAnsi="Wingdings"/>
      </w:rPr>
    </w:lvl>
  </w:abstractNum>
  <w:abstractNum w:abstractNumId="3">
    <w:nsid w:val="F50E8038"/>
    <w:multiLevelType w:val="singleLevel"/>
    <w:tmpl w:val="F50E8038"/>
    <w:lvl w:ilvl="0" w:tentative="0">
      <w:start w:val="1"/>
      <w:numFmt w:val="bullet"/>
      <w:lvlText w:val=""/>
      <w:lvlJc w:val="left"/>
      <w:pPr>
        <w:ind w:left="420" w:hanging="420"/>
      </w:pPr>
      <w:rPr>
        <w:rFonts w:hint="default" w:ascii="Wingdings" w:hAnsi="Wingdings"/>
      </w:rPr>
    </w:lvl>
  </w:abstractNum>
  <w:abstractNum w:abstractNumId="4">
    <w:nsid w:val="472F2FB5"/>
    <w:multiLevelType w:val="singleLevel"/>
    <w:tmpl w:val="472F2FB5"/>
    <w:lvl w:ilvl="0" w:tentative="0">
      <w:start w:val="1"/>
      <w:numFmt w:val="bullet"/>
      <w:lvlText w:val=""/>
      <w:lvlJc w:val="left"/>
      <w:pPr>
        <w:ind w:left="420" w:hanging="420"/>
      </w:pPr>
      <w:rPr>
        <w:rFonts w:hint="default" w:ascii="Wingdings" w:hAnsi="Wingdings"/>
      </w:rPr>
    </w:lvl>
  </w:abstractNum>
  <w:abstractNum w:abstractNumId="5">
    <w:nsid w:val="7461C855"/>
    <w:multiLevelType w:val="singleLevel"/>
    <w:tmpl w:val="7461C855"/>
    <w:lvl w:ilvl="0" w:tentative="0">
      <w:start w:val="1"/>
      <w:numFmt w:val="decimal"/>
      <w:suff w:val="space"/>
      <w:lvlText w:val="(%1)"/>
      <w:lvlJc w:val="left"/>
    </w:lvl>
  </w:abstractNum>
  <w:num w:numId="1">
    <w:abstractNumId w:val="5"/>
  </w:num>
  <w:num w:numId="2">
    <w:abstractNumId w:val="0"/>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zSxtDQyMzWyMDM3MDBS0lEKTi0uzszPAykwrAUAz/tg4CwAAAA="/>
    <w:docVar w:name="commondata" w:val="eyJoZGlkIjoiNzMwMTcxMjY4ZDRlNTA2MTJmMjMzMjhkNTFiMmRmMTIifQ=="/>
  </w:docVars>
  <w:rsids>
    <w:rsidRoot w:val="1F404610"/>
    <w:rsid w:val="002E1F16"/>
    <w:rsid w:val="007D4690"/>
    <w:rsid w:val="00A26362"/>
    <w:rsid w:val="00CE42AE"/>
    <w:rsid w:val="01877B89"/>
    <w:rsid w:val="03CC06C2"/>
    <w:rsid w:val="06CB676A"/>
    <w:rsid w:val="08AE1E9F"/>
    <w:rsid w:val="099D12BE"/>
    <w:rsid w:val="0A5262BC"/>
    <w:rsid w:val="0A5B1BB3"/>
    <w:rsid w:val="0B7848D7"/>
    <w:rsid w:val="0D006A41"/>
    <w:rsid w:val="0D6D1826"/>
    <w:rsid w:val="119C142F"/>
    <w:rsid w:val="14290F74"/>
    <w:rsid w:val="142A4FD0"/>
    <w:rsid w:val="14501963"/>
    <w:rsid w:val="16EA49EA"/>
    <w:rsid w:val="17AD77C6"/>
    <w:rsid w:val="186E7AC1"/>
    <w:rsid w:val="18D77CA4"/>
    <w:rsid w:val="18FC0F39"/>
    <w:rsid w:val="1D951428"/>
    <w:rsid w:val="1F404610"/>
    <w:rsid w:val="20362A4E"/>
    <w:rsid w:val="21CE6CB6"/>
    <w:rsid w:val="22272AE3"/>
    <w:rsid w:val="22574EFE"/>
    <w:rsid w:val="2265586D"/>
    <w:rsid w:val="23752EE6"/>
    <w:rsid w:val="240B5FA0"/>
    <w:rsid w:val="28F25980"/>
    <w:rsid w:val="29534671"/>
    <w:rsid w:val="2C1F042C"/>
    <w:rsid w:val="2CB573F1"/>
    <w:rsid w:val="30A212AB"/>
    <w:rsid w:val="316311C9"/>
    <w:rsid w:val="31813D45"/>
    <w:rsid w:val="32C17689"/>
    <w:rsid w:val="339935C8"/>
    <w:rsid w:val="362B0F33"/>
    <w:rsid w:val="367C6190"/>
    <w:rsid w:val="37F45271"/>
    <w:rsid w:val="38B5547D"/>
    <w:rsid w:val="3ADE6AD9"/>
    <w:rsid w:val="3F3900B0"/>
    <w:rsid w:val="416905D5"/>
    <w:rsid w:val="42E61AB1"/>
    <w:rsid w:val="444A7FC7"/>
    <w:rsid w:val="45B11EE5"/>
    <w:rsid w:val="47867568"/>
    <w:rsid w:val="4891632F"/>
    <w:rsid w:val="49805334"/>
    <w:rsid w:val="49D470F4"/>
    <w:rsid w:val="4A143551"/>
    <w:rsid w:val="4B0E61F2"/>
    <w:rsid w:val="4B257098"/>
    <w:rsid w:val="4C5E7F5B"/>
    <w:rsid w:val="4C9F3BD8"/>
    <w:rsid w:val="4CE317AF"/>
    <w:rsid w:val="4E1C4C29"/>
    <w:rsid w:val="5068396C"/>
    <w:rsid w:val="522307D5"/>
    <w:rsid w:val="537961D3"/>
    <w:rsid w:val="54433F57"/>
    <w:rsid w:val="551A0231"/>
    <w:rsid w:val="5686118A"/>
    <w:rsid w:val="5CD518EE"/>
    <w:rsid w:val="5CD660CA"/>
    <w:rsid w:val="5D5A0E23"/>
    <w:rsid w:val="5D740137"/>
    <w:rsid w:val="5DF03535"/>
    <w:rsid w:val="5E743B86"/>
    <w:rsid w:val="5FFA0F49"/>
    <w:rsid w:val="62416740"/>
    <w:rsid w:val="64CA2D32"/>
    <w:rsid w:val="655356B0"/>
    <w:rsid w:val="68E95B46"/>
    <w:rsid w:val="6AD4569B"/>
    <w:rsid w:val="6B657D97"/>
    <w:rsid w:val="6E8F4B21"/>
    <w:rsid w:val="6EA64531"/>
    <w:rsid w:val="6F763D53"/>
    <w:rsid w:val="70814BED"/>
    <w:rsid w:val="70DA254F"/>
    <w:rsid w:val="72C63560"/>
    <w:rsid w:val="73CD0149"/>
    <w:rsid w:val="74CC4CC9"/>
    <w:rsid w:val="78EF5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sv-SE" w:eastAsia="zh-CN" w:bidi="ar-SA"/>
    </w:rPr>
  </w:style>
  <w:style w:type="paragraph" w:styleId="2">
    <w:name w:val="heading 2"/>
    <w:basedOn w:val="1"/>
    <w:next w:val="1"/>
    <w:qFormat/>
    <w:uiPriority w:val="0"/>
    <w:pPr>
      <w:keepNext/>
      <w:spacing w:before="240" w:after="60"/>
      <w:outlineLvl w:val="1"/>
    </w:pPr>
    <w:rPr>
      <w:rFonts w:cs="Arial"/>
      <w:b/>
      <w:bCs/>
      <w:i/>
      <w:iCs/>
      <w:sz w:val="28"/>
      <w:szCs w:val="28"/>
    </w:rPr>
  </w:style>
  <w:style w:type="paragraph" w:styleId="3">
    <w:name w:val="heading 3"/>
    <w:basedOn w:val="1"/>
    <w:next w:val="1"/>
    <w:qFormat/>
    <w:uiPriority w:val="0"/>
    <w:pPr>
      <w:keepNext/>
      <w:spacing w:before="240" w:after="60"/>
      <w:outlineLvl w:val="2"/>
    </w:pPr>
    <w:rPr>
      <w:rFonts w:cs="Arial"/>
      <w:b/>
      <w:bCs/>
      <w:sz w:val="26"/>
      <w:szCs w:val="2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qFormat/>
    <w:uiPriority w:val="0"/>
    <w:pPr>
      <w:tabs>
        <w:tab w:val="center" w:pos="4153"/>
        <w:tab w:val="right" w:pos="8306"/>
      </w:tabs>
      <w:snapToGrid w:val="0"/>
    </w:pPr>
    <w:rPr>
      <w:sz w:val="18"/>
      <w:szCs w:val="18"/>
    </w:rPr>
  </w:style>
  <w:style w:type="paragraph" w:styleId="5">
    <w:name w:val="header"/>
    <w:basedOn w:val="1"/>
    <w:link w:val="11"/>
    <w:qFormat/>
    <w:uiPriority w:val="0"/>
    <w:pP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qFormat/>
    <w:uiPriority w:val="0"/>
    <w:rPr>
      <w:rFonts w:ascii="Times New Roman" w:hAnsi="Times New Roman" w:eastAsia="time"/>
      <w:color w:val="0000FF"/>
      <w:sz w:val="24"/>
      <w:u w:val="single"/>
    </w:rPr>
  </w:style>
  <w:style w:type="paragraph" w:customStyle="1" w:styleId="10">
    <w:name w:val="Revision"/>
    <w:hidden/>
    <w:unhideWhenUsed/>
    <w:qFormat/>
    <w:uiPriority w:val="99"/>
    <w:rPr>
      <w:rFonts w:ascii="Times New Roman" w:hAnsi="Times New Roman" w:eastAsia="Times New Roman" w:cs="Times New Roman"/>
      <w:sz w:val="24"/>
      <w:szCs w:val="24"/>
      <w:lang w:val="sv-SE" w:eastAsia="zh-CN" w:bidi="ar-SA"/>
    </w:rPr>
  </w:style>
  <w:style w:type="character" w:customStyle="1" w:styleId="11">
    <w:name w:val="页眉 字符"/>
    <w:basedOn w:val="8"/>
    <w:link w:val="5"/>
    <w:qFormat/>
    <w:uiPriority w:val="0"/>
    <w:rPr>
      <w:rFonts w:eastAsia="Times New Roman"/>
      <w:sz w:val="18"/>
      <w:szCs w:val="18"/>
      <w:lang w:val="sv-SE"/>
    </w:rPr>
  </w:style>
  <w:style w:type="character" w:customStyle="1" w:styleId="12">
    <w:name w:val="页脚 字符"/>
    <w:basedOn w:val="8"/>
    <w:link w:val="4"/>
    <w:qFormat/>
    <w:uiPriority w:val="0"/>
    <w:rPr>
      <w:rFonts w:eastAsia="Times New Roman"/>
      <w:sz w:val="18"/>
      <w:szCs w:val="18"/>
      <w:lang w:val="sv-S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1695</Words>
  <Characters>10706</Characters>
  <Lines>88</Lines>
  <Paragraphs>24</Paragraphs>
  <TotalTime>6</TotalTime>
  <ScaleCrop>false</ScaleCrop>
  <LinksUpToDate>false</LinksUpToDate>
  <CharactersWithSpaces>12357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2024-09-20T08:11:00Z</dcterms:created>
  <dc:creator>Author</dc:creator>
  <cp:lastModifiedBy>Author</cp:lastModifiedBy>
  <dcterms:modified xsi:type="dcterms:W3CDTF">2024-12-24T09:02:18Z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2D1607B91CE14F01B2D58DF44A2912AE_13</vt:lpwstr>
  </property>
</Properties>
</file>