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7D202" w14:textId="77777777" w:rsidR="001E3275" w:rsidRPr="004D4ABF" w:rsidRDefault="001E3275" w:rsidP="001E3275">
      <w:pPr>
        <w:overflowPunct w:val="0"/>
        <w:adjustRightInd w:val="0"/>
        <w:snapToGrid w:val="0"/>
        <w:spacing w:line="360" w:lineRule="auto"/>
        <w:jc w:val="center"/>
        <w:rPr>
          <w:bCs/>
          <w:sz w:val="24"/>
          <w:szCs w:val="24"/>
        </w:rPr>
      </w:pPr>
      <w:r w:rsidRPr="004D4ABF">
        <w:rPr>
          <w:bCs/>
          <w:sz w:val="24"/>
          <w:szCs w:val="24"/>
        </w:rPr>
        <w:t>Tab1e 1 miRNA Primer Sequences</w:t>
      </w:r>
    </w:p>
    <w:tbl>
      <w:tblPr>
        <w:tblStyle w:val="11"/>
        <w:tblW w:w="0" w:type="auto"/>
        <w:tblLook w:val="04A0" w:firstRow="1" w:lastRow="0" w:firstColumn="1" w:lastColumn="0" w:noHBand="0" w:noVBand="1"/>
      </w:tblPr>
      <w:tblGrid>
        <w:gridCol w:w="2376"/>
        <w:gridCol w:w="5954"/>
      </w:tblGrid>
      <w:tr w:rsidR="00967ED8" w:rsidRPr="004D4ABF" w14:paraId="5AFE34D1" w14:textId="77777777" w:rsidTr="001E3275">
        <w:trPr>
          <w:cnfStyle w:val="100000000000" w:firstRow="1" w:lastRow="0" w:firstColumn="0" w:lastColumn="0" w:oddVBand="0" w:evenVBand="0" w:oddHBand="0" w:evenHBand="0" w:firstRowFirstColumn="0" w:firstRowLastColumn="0" w:lastRowFirstColumn="0" w:lastRowLastColumn="0"/>
        </w:trPr>
        <w:tc>
          <w:tcPr>
            <w:tcW w:w="2376" w:type="dxa"/>
          </w:tcPr>
          <w:p w14:paraId="7ADFC168" w14:textId="328D6665" w:rsidR="001E3275" w:rsidRPr="004D4ABF" w:rsidRDefault="001E3275" w:rsidP="001E3275">
            <w:pPr>
              <w:overflowPunct w:val="0"/>
              <w:adjustRightInd w:val="0"/>
              <w:snapToGrid w:val="0"/>
              <w:spacing w:before="78" w:after="78" w:line="360" w:lineRule="auto"/>
              <w:jc w:val="center"/>
              <w:rPr>
                <w:sz w:val="24"/>
                <w:szCs w:val="24"/>
              </w:rPr>
            </w:pPr>
            <w:r w:rsidRPr="004D4ABF">
              <w:rPr>
                <w:rFonts w:hint="eastAsia"/>
                <w:sz w:val="24"/>
                <w:szCs w:val="24"/>
              </w:rPr>
              <w:t>miRNA</w:t>
            </w:r>
          </w:p>
        </w:tc>
        <w:tc>
          <w:tcPr>
            <w:tcW w:w="5954" w:type="dxa"/>
          </w:tcPr>
          <w:p w14:paraId="750BA678" w14:textId="6D76C714" w:rsidR="001E3275" w:rsidRPr="004D4ABF" w:rsidRDefault="001E3275" w:rsidP="001E3275">
            <w:pPr>
              <w:overflowPunct w:val="0"/>
              <w:adjustRightInd w:val="0"/>
              <w:snapToGrid w:val="0"/>
              <w:spacing w:before="78" w:after="78" w:line="360" w:lineRule="auto"/>
              <w:jc w:val="center"/>
              <w:rPr>
                <w:sz w:val="24"/>
                <w:szCs w:val="24"/>
              </w:rPr>
            </w:pPr>
            <w:r w:rsidRPr="004D4ABF">
              <w:rPr>
                <w:bCs/>
                <w:sz w:val="24"/>
                <w:szCs w:val="24"/>
              </w:rPr>
              <w:t>Primer Sequences</w:t>
            </w:r>
          </w:p>
        </w:tc>
      </w:tr>
      <w:tr w:rsidR="00967ED8" w:rsidRPr="004D4ABF" w14:paraId="7CBEBDB2" w14:textId="77777777" w:rsidTr="001E3275">
        <w:tc>
          <w:tcPr>
            <w:tcW w:w="2376" w:type="dxa"/>
          </w:tcPr>
          <w:p w14:paraId="653D0D11" w14:textId="20A739EB" w:rsidR="001E3275" w:rsidRPr="004D4ABF" w:rsidRDefault="001E3275" w:rsidP="001E3275">
            <w:pPr>
              <w:overflowPunct w:val="0"/>
              <w:adjustRightInd w:val="0"/>
              <w:snapToGrid w:val="0"/>
              <w:spacing w:before="78" w:after="78" w:line="360" w:lineRule="auto"/>
              <w:jc w:val="center"/>
              <w:rPr>
                <w:sz w:val="24"/>
                <w:szCs w:val="24"/>
              </w:rPr>
            </w:pPr>
            <w:r w:rsidRPr="004D4ABF">
              <w:rPr>
                <w:szCs w:val="21"/>
                <w:shd w:val="clear" w:color="auto" w:fill="FFFFFF"/>
              </w:rPr>
              <w:t>hsa-mir-338-3p</w:t>
            </w:r>
          </w:p>
        </w:tc>
        <w:tc>
          <w:tcPr>
            <w:tcW w:w="5954" w:type="dxa"/>
          </w:tcPr>
          <w:p w14:paraId="722B2887" w14:textId="0D7A5499" w:rsidR="001E3275" w:rsidRPr="004D4ABF" w:rsidRDefault="001E3275" w:rsidP="001E3275">
            <w:pPr>
              <w:overflowPunct w:val="0"/>
              <w:adjustRightInd w:val="0"/>
              <w:snapToGrid w:val="0"/>
              <w:spacing w:before="78" w:after="78" w:line="360" w:lineRule="auto"/>
              <w:jc w:val="center"/>
              <w:rPr>
                <w:sz w:val="24"/>
                <w:szCs w:val="24"/>
              </w:rPr>
            </w:pPr>
            <w:r w:rsidRPr="004D4ABF">
              <w:rPr>
                <w:kern w:val="0"/>
                <w:szCs w:val="21"/>
              </w:rPr>
              <w:t>5'-</w:t>
            </w:r>
            <w:r w:rsidRPr="004D4ABF">
              <w:rPr>
                <w:szCs w:val="21"/>
                <w:shd w:val="clear" w:color="auto" w:fill="FFFFFF"/>
              </w:rPr>
              <w:t>UCCAGCAUCAGUGAUUUUGUUG</w:t>
            </w:r>
            <w:r w:rsidRPr="004D4ABF">
              <w:rPr>
                <w:kern w:val="0"/>
                <w:szCs w:val="21"/>
              </w:rPr>
              <w:t>-3'</w:t>
            </w:r>
          </w:p>
        </w:tc>
      </w:tr>
      <w:tr w:rsidR="00967ED8" w:rsidRPr="004D4ABF" w14:paraId="77FF247E" w14:textId="77777777" w:rsidTr="001E3275">
        <w:tc>
          <w:tcPr>
            <w:tcW w:w="2376" w:type="dxa"/>
          </w:tcPr>
          <w:p w14:paraId="13F1B716" w14:textId="6960DDEF" w:rsidR="001E3275" w:rsidRPr="004D4ABF" w:rsidRDefault="001E3275" w:rsidP="001E3275">
            <w:pPr>
              <w:overflowPunct w:val="0"/>
              <w:adjustRightInd w:val="0"/>
              <w:snapToGrid w:val="0"/>
              <w:spacing w:before="78" w:after="78" w:line="360" w:lineRule="auto"/>
              <w:jc w:val="center"/>
              <w:rPr>
                <w:sz w:val="24"/>
                <w:szCs w:val="24"/>
              </w:rPr>
            </w:pPr>
            <w:r w:rsidRPr="004D4ABF">
              <w:rPr>
                <w:szCs w:val="21"/>
                <w:shd w:val="clear" w:color="auto" w:fill="FFFFFF"/>
              </w:rPr>
              <w:t>hsa-mir-1250-5p</w:t>
            </w:r>
          </w:p>
        </w:tc>
        <w:tc>
          <w:tcPr>
            <w:tcW w:w="5954" w:type="dxa"/>
          </w:tcPr>
          <w:p w14:paraId="3B0989FB" w14:textId="377AD231" w:rsidR="001E3275" w:rsidRPr="004D4ABF" w:rsidRDefault="001E3275" w:rsidP="001E3275">
            <w:pPr>
              <w:overflowPunct w:val="0"/>
              <w:adjustRightInd w:val="0"/>
              <w:snapToGrid w:val="0"/>
              <w:spacing w:before="78" w:after="78" w:line="360" w:lineRule="auto"/>
              <w:jc w:val="center"/>
              <w:rPr>
                <w:sz w:val="24"/>
                <w:szCs w:val="24"/>
              </w:rPr>
            </w:pPr>
            <w:r w:rsidRPr="004D4ABF">
              <w:rPr>
                <w:kern w:val="0"/>
                <w:szCs w:val="21"/>
              </w:rPr>
              <w:t>5'-</w:t>
            </w:r>
            <w:r w:rsidRPr="004D4ABF">
              <w:rPr>
                <w:szCs w:val="21"/>
                <w:shd w:val="clear" w:color="auto" w:fill="FFFFFF"/>
              </w:rPr>
              <w:t>CCACGGTGCTGGATGTGGCCTTT</w:t>
            </w:r>
            <w:r w:rsidRPr="004D4ABF">
              <w:rPr>
                <w:kern w:val="0"/>
                <w:szCs w:val="21"/>
              </w:rPr>
              <w:t>-3'</w:t>
            </w:r>
          </w:p>
        </w:tc>
      </w:tr>
      <w:tr w:rsidR="00967ED8" w:rsidRPr="004D4ABF" w14:paraId="29975E97" w14:textId="77777777" w:rsidTr="001E3275">
        <w:tc>
          <w:tcPr>
            <w:tcW w:w="2376" w:type="dxa"/>
          </w:tcPr>
          <w:p w14:paraId="3C806334" w14:textId="7658B7AD" w:rsidR="001E3275" w:rsidRPr="004D4ABF" w:rsidRDefault="001E3275" w:rsidP="001E3275">
            <w:pPr>
              <w:overflowPunct w:val="0"/>
              <w:adjustRightInd w:val="0"/>
              <w:snapToGrid w:val="0"/>
              <w:spacing w:before="78" w:after="78" w:line="360" w:lineRule="auto"/>
              <w:jc w:val="center"/>
              <w:rPr>
                <w:sz w:val="24"/>
                <w:szCs w:val="24"/>
              </w:rPr>
            </w:pPr>
            <w:r w:rsidRPr="004D4ABF">
              <w:rPr>
                <w:szCs w:val="21"/>
                <w:shd w:val="clear" w:color="auto" w:fill="FFFFFF"/>
              </w:rPr>
              <w:t>hsa-mir-3605-5p</w:t>
            </w:r>
          </w:p>
        </w:tc>
        <w:tc>
          <w:tcPr>
            <w:tcW w:w="5954" w:type="dxa"/>
          </w:tcPr>
          <w:p w14:paraId="246AA061" w14:textId="38AE8753" w:rsidR="001E3275" w:rsidRPr="004D4ABF" w:rsidRDefault="001E3275" w:rsidP="001E3275">
            <w:pPr>
              <w:overflowPunct w:val="0"/>
              <w:adjustRightInd w:val="0"/>
              <w:snapToGrid w:val="0"/>
              <w:spacing w:before="78" w:after="78" w:line="360" w:lineRule="auto"/>
              <w:jc w:val="center"/>
              <w:rPr>
                <w:sz w:val="24"/>
                <w:szCs w:val="24"/>
              </w:rPr>
            </w:pPr>
            <w:r w:rsidRPr="004D4ABF">
              <w:rPr>
                <w:kern w:val="0"/>
                <w:szCs w:val="21"/>
              </w:rPr>
              <w:t>5'-</w:t>
            </w:r>
            <w:r w:rsidRPr="004D4ABF">
              <w:rPr>
                <w:szCs w:val="21"/>
                <w:shd w:val="clear" w:color="auto" w:fill="FFFFFF"/>
              </w:rPr>
              <w:t>GCGCGCGTCAACAAAATCACTGATGCT</w:t>
            </w:r>
            <w:r w:rsidRPr="004D4ABF">
              <w:rPr>
                <w:kern w:val="0"/>
                <w:szCs w:val="21"/>
              </w:rPr>
              <w:t>-3'</w:t>
            </w:r>
          </w:p>
        </w:tc>
      </w:tr>
    </w:tbl>
    <w:p w14:paraId="4CEFF9D1" w14:textId="77777777" w:rsidR="001E3275" w:rsidRPr="004D4ABF" w:rsidRDefault="001E3275" w:rsidP="001E3275">
      <w:pPr>
        <w:overflowPunct w:val="0"/>
        <w:adjustRightInd w:val="0"/>
        <w:snapToGrid w:val="0"/>
        <w:spacing w:line="360" w:lineRule="auto"/>
        <w:jc w:val="center"/>
        <w:rPr>
          <w:sz w:val="24"/>
          <w:szCs w:val="24"/>
        </w:rPr>
      </w:pPr>
    </w:p>
    <w:p w14:paraId="22FBA9A5" w14:textId="77777777" w:rsidR="001E3275" w:rsidRPr="004D4ABF" w:rsidRDefault="001E3275" w:rsidP="00DC0079">
      <w:pPr>
        <w:overflowPunct w:val="0"/>
        <w:adjustRightInd w:val="0"/>
        <w:snapToGrid w:val="0"/>
        <w:spacing w:line="360" w:lineRule="auto"/>
        <w:ind w:firstLineChars="200" w:firstLine="560"/>
        <w:rPr>
          <w:bCs/>
        </w:rPr>
      </w:pPr>
    </w:p>
    <w:p w14:paraId="6A2BF52B" w14:textId="77777777" w:rsidR="00920E66" w:rsidRPr="004D4ABF" w:rsidRDefault="00106697" w:rsidP="00DC0079">
      <w:pPr>
        <w:overflowPunct w:val="0"/>
        <w:adjustRightInd w:val="0"/>
        <w:snapToGrid w:val="0"/>
        <w:spacing w:line="360" w:lineRule="auto"/>
        <w:ind w:firstLineChars="200" w:firstLine="20"/>
        <w:rPr>
          <w:rFonts w:eastAsiaTheme="minorEastAsia"/>
          <w:snapToGrid w:val="0"/>
          <w:w w:val="0"/>
          <w:kern w:val="0"/>
          <w:sz w:val="0"/>
          <w:szCs w:val="0"/>
          <w:u w:color="000000"/>
          <w:shd w:val="clear" w:color="000000" w:fill="000000"/>
          <w:lang w:bidi="zh-CN"/>
        </w:rPr>
      </w:pPr>
      <w:r w:rsidRPr="004D4ABF">
        <w:rPr>
          <w:rFonts w:eastAsia="Times New Roman"/>
          <w:snapToGrid w:val="0"/>
          <w:w w:val="0"/>
          <w:kern w:val="0"/>
          <w:sz w:val="0"/>
          <w:szCs w:val="0"/>
          <w:u w:color="000000"/>
          <w:shd w:val="clear" w:color="000000" w:fill="000000"/>
          <w:lang w:bidi="zh-CN"/>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485"/>
        <w:gridCol w:w="768"/>
        <w:gridCol w:w="3339"/>
      </w:tblGrid>
      <w:tr w:rsidR="00920E66" w:rsidRPr="004D4ABF" w14:paraId="39AE3DC1" w14:textId="77777777">
        <w:tc>
          <w:tcPr>
            <w:tcW w:w="704" w:type="dxa"/>
          </w:tcPr>
          <w:p w14:paraId="336957C6" w14:textId="77777777" w:rsidR="00920E66" w:rsidRPr="004D4ABF" w:rsidRDefault="00106697" w:rsidP="001E3275">
            <w:pPr>
              <w:overflowPunct w:val="0"/>
              <w:adjustRightInd w:val="0"/>
              <w:snapToGrid w:val="0"/>
              <w:spacing w:line="360" w:lineRule="auto"/>
              <w:rPr>
                <w:kern w:val="0"/>
              </w:rPr>
            </w:pPr>
            <w:r w:rsidRPr="004D4ABF">
              <w:rPr>
                <w:rFonts w:hint="eastAsia"/>
                <w:kern w:val="0"/>
              </w:rPr>
              <w:t>A</w:t>
            </w:r>
          </w:p>
        </w:tc>
        <w:tc>
          <w:tcPr>
            <w:tcW w:w="3485" w:type="dxa"/>
          </w:tcPr>
          <w:p w14:paraId="6B592902" w14:textId="77777777" w:rsidR="00920E66" w:rsidRPr="004D4ABF" w:rsidRDefault="00106697" w:rsidP="00DC0079">
            <w:pPr>
              <w:overflowPunct w:val="0"/>
              <w:adjustRightInd w:val="0"/>
              <w:snapToGrid w:val="0"/>
              <w:spacing w:line="360" w:lineRule="auto"/>
              <w:ind w:firstLineChars="200" w:firstLine="560"/>
              <w:rPr>
                <w:kern w:val="0"/>
              </w:rPr>
            </w:pPr>
            <w:r w:rsidRPr="004D4ABF">
              <w:rPr>
                <w:noProof/>
                <w:kern w:val="0"/>
              </w:rPr>
              <w:drawing>
                <wp:inline distT="0" distB="0" distL="0" distR="0" wp14:anchorId="1F8A0D90" wp14:editId="0E3715B2">
                  <wp:extent cx="1533525" cy="1976755"/>
                  <wp:effectExtent l="0" t="0" r="952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33525" cy="1976755"/>
                          </a:xfrm>
                          <a:prstGeom prst="rect">
                            <a:avLst/>
                          </a:prstGeom>
                          <a:noFill/>
                          <a:ln>
                            <a:noFill/>
                          </a:ln>
                        </pic:spPr>
                      </pic:pic>
                    </a:graphicData>
                  </a:graphic>
                </wp:inline>
              </w:drawing>
            </w:r>
          </w:p>
        </w:tc>
        <w:tc>
          <w:tcPr>
            <w:tcW w:w="768" w:type="dxa"/>
          </w:tcPr>
          <w:p w14:paraId="56872903" w14:textId="77777777" w:rsidR="00920E66" w:rsidRPr="004D4ABF" w:rsidRDefault="00106697" w:rsidP="001E3275">
            <w:pPr>
              <w:overflowPunct w:val="0"/>
              <w:adjustRightInd w:val="0"/>
              <w:snapToGrid w:val="0"/>
              <w:spacing w:line="360" w:lineRule="auto"/>
              <w:rPr>
                <w:kern w:val="0"/>
              </w:rPr>
            </w:pPr>
            <w:r w:rsidRPr="004D4ABF">
              <w:rPr>
                <w:rFonts w:hint="eastAsia"/>
                <w:kern w:val="0"/>
              </w:rPr>
              <w:t>B</w:t>
            </w:r>
          </w:p>
        </w:tc>
        <w:tc>
          <w:tcPr>
            <w:tcW w:w="3339" w:type="dxa"/>
          </w:tcPr>
          <w:p w14:paraId="1A3D3886" w14:textId="772858CD" w:rsidR="00920E66" w:rsidRPr="004D4ABF" w:rsidRDefault="002C484C" w:rsidP="00DC0079">
            <w:pPr>
              <w:overflowPunct w:val="0"/>
              <w:adjustRightInd w:val="0"/>
              <w:snapToGrid w:val="0"/>
              <w:spacing w:line="360" w:lineRule="auto"/>
              <w:ind w:firstLineChars="200" w:firstLine="560"/>
              <w:rPr>
                <w:kern w:val="0"/>
              </w:rPr>
            </w:pPr>
            <w:r w:rsidRPr="004D4ABF">
              <w:rPr>
                <w:noProof/>
              </w:rPr>
              <w:drawing>
                <wp:inline distT="0" distB="0" distL="0" distR="0" wp14:anchorId="3743A307" wp14:editId="2FB9BF2B">
                  <wp:extent cx="1466850" cy="1872961"/>
                  <wp:effectExtent l="0" t="0" r="0" b="0"/>
                  <wp:docPr id="8374473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47361" name=""/>
                          <pic:cNvPicPr/>
                        </pic:nvPicPr>
                        <pic:blipFill>
                          <a:blip r:embed="rId8"/>
                          <a:stretch>
                            <a:fillRect/>
                          </a:stretch>
                        </pic:blipFill>
                        <pic:spPr>
                          <a:xfrm>
                            <a:off x="0" y="0"/>
                            <a:ext cx="1474126" cy="1882252"/>
                          </a:xfrm>
                          <a:prstGeom prst="rect">
                            <a:avLst/>
                          </a:prstGeom>
                        </pic:spPr>
                      </pic:pic>
                    </a:graphicData>
                  </a:graphic>
                </wp:inline>
              </w:drawing>
            </w:r>
          </w:p>
        </w:tc>
      </w:tr>
      <w:tr w:rsidR="00920E66" w:rsidRPr="004D4ABF" w14:paraId="5C26563A" w14:textId="77777777">
        <w:tc>
          <w:tcPr>
            <w:tcW w:w="704" w:type="dxa"/>
          </w:tcPr>
          <w:p w14:paraId="6C83DD1E" w14:textId="68D34AC0" w:rsidR="00920E66" w:rsidRPr="004D4ABF" w:rsidRDefault="00920E66" w:rsidP="001E3275">
            <w:pPr>
              <w:overflowPunct w:val="0"/>
              <w:adjustRightInd w:val="0"/>
              <w:snapToGrid w:val="0"/>
              <w:spacing w:line="360" w:lineRule="auto"/>
              <w:rPr>
                <w:kern w:val="0"/>
              </w:rPr>
            </w:pPr>
          </w:p>
        </w:tc>
        <w:tc>
          <w:tcPr>
            <w:tcW w:w="3485" w:type="dxa"/>
          </w:tcPr>
          <w:p w14:paraId="19C6B718" w14:textId="0CE79898" w:rsidR="00920E66" w:rsidRPr="004D4ABF" w:rsidRDefault="00920E66" w:rsidP="00DC0079">
            <w:pPr>
              <w:overflowPunct w:val="0"/>
              <w:adjustRightInd w:val="0"/>
              <w:snapToGrid w:val="0"/>
              <w:spacing w:line="360" w:lineRule="auto"/>
              <w:ind w:firstLineChars="200" w:firstLine="560"/>
              <w:rPr>
                <w:kern w:val="0"/>
              </w:rPr>
            </w:pPr>
          </w:p>
        </w:tc>
        <w:tc>
          <w:tcPr>
            <w:tcW w:w="768" w:type="dxa"/>
          </w:tcPr>
          <w:p w14:paraId="776ADC79" w14:textId="67BB2241" w:rsidR="00920E66" w:rsidRPr="004D4ABF" w:rsidRDefault="00920E66" w:rsidP="001E3275">
            <w:pPr>
              <w:overflowPunct w:val="0"/>
              <w:adjustRightInd w:val="0"/>
              <w:snapToGrid w:val="0"/>
              <w:spacing w:line="360" w:lineRule="auto"/>
              <w:rPr>
                <w:kern w:val="0"/>
              </w:rPr>
            </w:pPr>
          </w:p>
        </w:tc>
        <w:tc>
          <w:tcPr>
            <w:tcW w:w="3339" w:type="dxa"/>
          </w:tcPr>
          <w:p w14:paraId="5998F61B" w14:textId="111E0E14" w:rsidR="00920E66" w:rsidRPr="004D4ABF" w:rsidRDefault="002C484C" w:rsidP="00DC0079">
            <w:pPr>
              <w:overflowPunct w:val="0"/>
              <w:adjustRightInd w:val="0"/>
              <w:snapToGrid w:val="0"/>
              <w:spacing w:line="360" w:lineRule="auto"/>
              <w:ind w:firstLineChars="200" w:firstLine="560"/>
              <w:rPr>
                <w:kern w:val="0"/>
              </w:rPr>
            </w:pPr>
            <w:r w:rsidRPr="004D4ABF">
              <w:rPr>
                <w:noProof/>
              </w:rPr>
              <w:t xml:space="preserve"> </w:t>
            </w:r>
          </w:p>
        </w:tc>
      </w:tr>
    </w:tbl>
    <w:p w14:paraId="45C6E8E7" w14:textId="03CEDA02" w:rsidR="00920E66" w:rsidRPr="004D4ABF" w:rsidRDefault="00106697" w:rsidP="00DC0079">
      <w:pPr>
        <w:overflowPunct w:val="0"/>
        <w:adjustRightInd w:val="0"/>
        <w:snapToGrid w:val="0"/>
        <w:spacing w:line="360" w:lineRule="auto"/>
        <w:ind w:firstLineChars="200" w:firstLine="400"/>
        <w:jc w:val="center"/>
        <w:rPr>
          <w:sz w:val="20"/>
          <w:szCs w:val="20"/>
        </w:rPr>
      </w:pPr>
      <w:r w:rsidRPr="004D4ABF">
        <w:rPr>
          <w:sz w:val="20"/>
          <w:szCs w:val="20"/>
        </w:rPr>
        <w:t xml:space="preserve">Fig.1 Gels images of </w:t>
      </w:r>
      <w:r w:rsidR="00111186" w:rsidRPr="004D4ABF">
        <w:rPr>
          <w:sz w:val="20"/>
          <w:szCs w:val="20"/>
        </w:rPr>
        <w:t>miRNA and</w:t>
      </w:r>
      <w:r w:rsidRPr="004D4ABF">
        <w:rPr>
          <w:sz w:val="20"/>
          <w:szCs w:val="20"/>
        </w:rPr>
        <w:t xml:space="preserve"> U6</w:t>
      </w:r>
    </w:p>
    <w:p w14:paraId="5395EE6B" w14:textId="4F870599" w:rsidR="00643367" w:rsidRPr="004D4ABF" w:rsidRDefault="00106697" w:rsidP="00DC0079">
      <w:pPr>
        <w:overflowPunct w:val="0"/>
        <w:adjustRightInd w:val="0"/>
        <w:snapToGrid w:val="0"/>
        <w:spacing w:line="360" w:lineRule="auto"/>
        <w:ind w:firstLineChars="200" w:firstLine="400"/>
        <w:rPr>
          <w:sz w:val="20"/>
          <w:szCs w:val="20"/>
        </w:rPr>
      </w:pPr>
      <w:r w:rsidRPr="004D4ABF">
        <w:rPr>
          <w:sz w:val="20"/>
          <w:szCs w:val="20"/>
        </w:rPr>
        <w:t xml:space="preserve">PCR products were analyzed </w:t>
      </w:r>
      <w:r w:rsidR="00111186" w:rsidRPr="004D4ABF">
        <w:rPr>
          <w:sz w:val="20"/>
          <w:szCs w:val="20"/>
        </w:rPr>
        <w:t>using</w:t>
      </w:r>
      <w:r w:rsidRPr="004D4ABF">
        <w:rPr>
          <w:sz w:val="20"/>
          <w:szCs w:val="20"/>
        </w:rPr>
        <w:t xml:space="preserve"> agarose gel electrophoresis(1%) stained with  G</w:t>
      </w:r>
      <w:r w:rsidRPr="004D4ABF">
        <w:rPr>
          <w:rFonts w:hint="eastAsia"/>
          <w:sz w:val="20"/>
          <w:szCs w:val="20"/>
        </w:rPr>
        <w:t>ene</w:t>
      </w:r>
      <w:r w:rsidRPr="004D4ABF">
        <w:rPr>
          <w:sz w:val="20"/>
          <w:szCs w:val="20"/>
        </w:rPr>
        <w:t xml:space="preserve">green Nucleic Acid Dye. </w:t>
      </w:r>
      <w:r w:rsidR="00111186" w:rsidRPr="004D4ABF">
        <w:rPr>
          <w:sz w:val="20"/>
          <w:szCs w:val="20"/>
        </w:rPr>
        <w:t>Gel</w:t>
      </w:r>
      <w:r w:rsidRPr="004D4ABF">
        <w:rPr>
          <w:sz w:val="20"/>
          <w:szCs w:val="20"/>
        </w:rPr>
        <w:t xml:space="preserve"> images of miRNA and U6 were visualized. U6 was used as </w:t>
      </w:r>
      <w:r w:rsidR="00111186" w:rsidRPr="004D4ABF">
        <w:rPr>
          <w:sz w:val="20"/>
          <w:szCs w:val="20"/>
        </w:rPr>
        <w:t xml:space="preserve">an </w:t>
      </w:r>
      <w:r w:rsidRPr="004D4ABF">
        <w:rPr>
          <w:sz w:val="20"/>
          <w:szCs w:val="20"/>
        </w:rPr>
        <w:t>internal reference.Lanes: M:Maker, (1)(2)(3) miRNA</w:t>
      </w:r>
      <w:r w:rsidR="002C484C" w:rsidRPr="004D4ABF">
        <w:rPr>
          <w:rFonts w:hint="eastAsia"/>
          <w:sz w:val="20"/>
          <w:szCs w:val="20"/>
        </w:rPr>
        <w:t>,</w:t>
      </w:r>
      <w:r w:rsidRPr="004D4ABF">
        <w:rPr>
          <w:sz w:val="20"/>
          <w:szCs w:val="20"/>
        </w:rPr>
        <w:t xml:space="preserve"> (4)(5)(6)U6.</w:t>
      </w:r>
    </w:p>
    <w:p w14:paraId="78BC7B6C" w14:textId="77777777" w:rsidR="007E2107" w:rsidRPr="004D4ABF" w:rsidRDefault="007E2107" w:rsidP="00DC0079">
      <w:pPr>
        <w:overflowPunct w:val="0"/>
        <w:adjustRightInd w:val="0"/>
        <w:snapToGrid w:val="0"/>
        <w:spacing w:line="360" w:lineRule="auto"/>
        <w:ind w:firstLineChars="200" w:firstLine="400"/>
        <w:rPr>
          <w:sz w:val="20"/>
          <w:szCs w:val="20"/>
        </w:rPr>
      </w:pPr>
    </w:p>
    <w:p w14:paraId="7CF2BB1F" w14:textId="77777777" w:rsidR="00DC0079" w:rsidRPr="004D4ABF" w:rsidRDefault="00DC0079" w:rsidP="00DC0079">
      <w:pPr>
        <w:overflowPunct w:val="0"/>
        <w:adjustRightInd w:val="0"/>
        <w:snapToGrid w:val="0"/>
        <w:spacing w:line="360" w:lineRule="auto"/>
        <w:ind w:firstLineChars="200" w:firstLine="400"/>
        <w:rPr>
          <w:sz w:val="20"/>
          <w:szCs w:val="20"/>
        </w:rPr>
      </w:pPr>
    </w:p>
    <w:p w14:paraId="6184382B" w14:textId="77777777" w:rsidR="00DC0079" w:rsidRPr="004D4ABF" w:rsidRDefault="00DC0079" w:rsidP="00DC0079">
      <w:pPr>
        <w:overflowPunct w:val="0"/>
        <w:adjustRightInd w:val="0"/>
        <w:snapToGrid w:val="0"/>
        <w:spacing w:line="360" w:lineRule="auto"/>
        <w:ind w:firstLineChars="200" w:firstLine="400"/>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1"/>
        <w:gridCol w:w="4311"/>
      </w:tblGrid>
      <w:tr w:rsidR="00643367" w:rsidRPr="004D4ABF" w14:paraId="5A9D6E3F" w14:textId="77777777" w:rsidTr="00106697">
        <w:tc>
          <w:tcPr>
            <w:tcW w:w="4311" w:type="dxa"/>
          </w:tcPr>
          <w:p w14:paraId="2D21C34A" w14:textId="77777777" w:rsidR="00223784" w:rsidRPr="004D4ABF" w:rsidRDefault="00223784" w:rsidP="00DC0079">
            <w:pPr>
              <w:overflowPunct w:val="0"/>
              <w:autoSpaceDE w:val="0"/>
              <w:autoSpaceDN w:val="0"/>
              <w:adjustRightInd w:val="0"/>
              <w:snapToGrid w:val="0"/>
              <w:spacing w:line="360" w:lineRule="auto"/>
              <w:ind w:firstLineChars="200" w:firstLine="420"/>
              <w:rPr>
                <w:sz w:val="21"/>
                <w:szCs w:val="21"/>
              </w:rPr>
            </w:pPr>
            <w:r w:rsidRPr="004D4ABF">
              <w:rPr>
                <w:rFonts w:hint="eastAsia"/>
                <w:sz w:val="21"/>
                <w:szCs w:val="21"/>
              </w:rPr>
              <w:t>A</w:t>
            </w:r>
          </w:p>
        </w:tc>
        <w:tc>
          <w:tcPr>
            <w:tcW w:w="4311" w:type="dxa"/>
          </w:tcPr>
          <w:p w14:paraId="034DCC26" w14:textId="77777777" w:rsidR="00223784" w:rsidRPr="004D4ABF" w:rsidRDefault="00223784" w:rsidP="00DC0079">
            <w:pPr>
              <w:overflowPunct w:val="0"/>
              <w:autoSpaceDE w:val="0"/>
              <w:autoSpaceDN w:val="0"/>
              <w:adjustRightInd w:val="0"/>
              <w:snapToGrid w:val="0"/>
              <w:spacing w:line="360" w:lineRule="auto"/>
              <w:ind w:firstLineChars="200" w:firstLine="420"/>
              <w:rPr>
                <w:sz w:val="21"/>
                <w:szCs w:val="21"/>
              </w:rPr>
            </w:pPr>
            <w:r w:rsidRPr="004D4ABF">
              <w:rPr>
                <w:rFonts w:hint="eastAsia"/>
                <w:sz w:val="21"/>
                <w:szCs w:val="21"/>
              </w:rPr>
              <w:t>B</w:t>
            </w:r>
          </w:p>
        </w:tc>
      </w:tr>
      <w:tr w:rsidR="00643367" w:rsidRPr="004D4ABF" w14:paraId="5453E6CD" w14:textId="77777777" w:rsidTr="00106697">
        <w:tc>
          <w:tcPr>
            <w:tcW w:w="4311" w:type="dxa"/>
          </w:tcPr>
          <w:p w14:paraId="649B59AD" w14:textId="5CA9E22F" w:rsidR="00223784" w:rsidRPr="004D4ABF" w:rsidRDefault="00643367" w:rsidP="00DC0079">
            <w:pPr>
              <w:overflowPunct w:val="0"/>
              <w:autoSpaceDE w:val="0"/>
              <w:autoSpaceDN w:val="0"/>
              <w:adjustRightInd w:val="0"/>
              <w:snapToGrid w:val="0"/>
              <w:spacing w:line="360" w:lineRule="auto"/>
              <w:ind w:firstLineChars="200" w:firstLine="560"/>
              <w:rPr>
                <w:sz w:val="18"/>
                <w:szCs w:val="18"/>
              </w:rPr>
            </w:pPr>
            <w:r w:rsidRPr="004D4ABF">
              <w:rPr>
                <w:noProof/>
              </w:rPr>
              <w:t xml:space="preserve"> </w:t>
            </w:r>
            <w:r w:rsidRPr="004D4ABF">
              <w:rPr>
                <w:noProof/>
              </w:rPr>
              <w:drawing>
                <wp:inline distT="0" distB="0" distL="0" distR="0" wp14:anchorId="7209DDAF" wp14:editId="74B2049C">
                  <wp:extent cx="1977662" cy="1531093"/>
                  <wp:effectExtent l="0" t="0" r="0" b="0"/>
                  <wp:docPr id="13132760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76051" name=""/>
                          <pic:cNvPicPr/>
                        </pic:nvPicPr>
                        <pic:blipFill>
                          <a:blip r:embed="rId9"/>
                          <a:stretch>
                            <a:fillRect/>
                          </a:stretch>
                        </pic:blipFill>
                        <pic:spPr>
                          <a:xfrm>
                            <a:off x="0" y="0"/>
                            <a:ext cx="2004743" cy="1552059"/>
                          </a:xfrm>
                          <a:prstGeom prst="rect">
                            <a:avLst/>
                          </a:prstGeom>
                        </pic:spPr>
                      </pic:pic>
                    </a:graphicData>
                  </a:graphic>
                </wp:inline>
              </w:drawing>
            </w:r>
          </w:p>
        </w:tc>
        <w:tc>
          <w:tcPr>
            <w:tcW w:w="4311" w:type="dxa"/>
          </w:tcPr>
          <w:p w14:paraId="36CC3D2E" w14:textId="3C8B5D14" w:rsidR="00223784" w:rsidRPr="004D4ABF" w:rsidRDefault="00F11E15" w:rsidP="00DC0079">
            <w:pPr>
              <w:overflowPunct w:val="0"/>
              <w:autoSpaceDE w:val="0"/>
              <w:autoSpaceDN w:val="0"/>
              <w:adjustRightInd w:val="0"/>
              <w:snapToGrid w:val="0"/>
              <w:spacing w:line="360" w:lineRule="auto"/>
              <w:ind w:firstLineChars="200" w:firstLine="560"/>
              <w:rPr>
                <w:sz w:val="18"/>
                <w:szCs w:val="18"/>
              </w:rPr>
            </w:pPr>
            <w:r w:rsidRPr="004D4ABF">
              <w:rPr>
                <w:noProof/>
              </w:rPr>
              <w:t xml:space="preserve"> </w:t>
            </w:r>
            <w:r w:rsidRPr="004D4ABF">
              <w:rPr>
                <w:noProof/>
              </w:rPr>
              <w:drawing>
                <wp:inline distT="0" distB="0" distL="0" distR="0" wp14:anchorId="23FC06DB" wp14:editId="0939996D">
                  <wp:extent cx="1928638" cy="1496587"/>
                  <wp:effectExtent l="0" t="0" r="0" b="0"/>
                  <wp:docPr id="20352281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28119" name=""/>
                          <pic:cNvPicPr/>
                        </pic:nvPicPr>
                        <pic:blipFill>
                          <a:blip r:embed="rId10"/>
                          <a:stretch>
                            <a:fillRect/>
                          </a:stretch>
                        </pic:blipFill>
                        <pic:spPr>
                          <a:xfrm>
                            <a:off x="0" y="0"/>
                            <a:ext cx="1944088" cy="1508576"/>
                          </a:xfrm>
                          <a:prstGeom prst="rect">
                            <a:avLst/>
                          </a:prstGeom>
                        </pic:spPr>
                      </pic:pic>
                    </a:graphicData>
                  </a:graphic>
                </wp:inline>
              </w:drawing>
            </w:r>
          </w:p>
        </w:tc>
      </w:tr>
      <w:tr w:rsidR="00643367" w:rsidRPr="004D4ABF" w14:paraId="5CF2C753" w14:textId="77777777" w:rsidTr="00106697">
        <w:tc>
          <w:tcPr>
            <w:tcW w:w="4311" w:type="dxa"/>
          </w:tcPr>
          <w:p w14:paraId="31CA1F30" w14:textId="77777777" w:rsidR="00223784" w:rsidRPr="004D4ABF" w:rsidRDefault="00223784" w:rsidP="00DC0079">
            <w:pPr>
              <w:overflowPunct w:val="0"/>
              <w:autoSpaceDE w:val="0"/>
              <w:autoSpaceDN w:val="0"/>
              <w:adjustRightInd w:val="0"/>
              <w:snapToGrid w:val="0"/>
              <w:spacing w:line="360" w:lineRule="auto"/>
              <w:ind w:firstLineChars="200" w:firstLine="420"/>
              <w:rPr>
                <w:sz w:val="18"/>
                <w:szCs w:val="18"/>
              </w:rPr>
            </w:pPr>
            <w:r w:rsidRPr="004D4ABF">
              <w:rPr>
                <w:rFonts w:hint="eastAsia"/>
                <w:sz w:val="21"/>
                <w:szCs w:val="21"/>
              </w:rPr>
              <w:t>C</w:t>
            </w:r>
          </w:p>
        </w:tc>
        <w:tc>
          <w:tcPr>
            <w:tcW w:w="4311" w:type="dxa"/>
          </w:tcPr>
          <w:p w14:paraId="321B50AD" w14:textId="77777777" w:rsidR="00223784" w:rsidRPr="004D4ABF" w:rsidRDefault="00223784" w:rsidP="00DC0079">
            <w:pPr>
              <w:overflowPunct w:val="0"/>
              <w:autoSpaceDE w:val="0"/>
              <w:autoSpaceDN w:val="0"/>
              <w:adjustRightInd w:val="0"/>
              <w:snapToGrid w:val="0"/>
              <w:spacing w:line="360" w:lineRule="auto"/>
              <w:ind w:firstLineChars="200" w:firstLine="360"/>
              <w:rPr>
                <w:sz w:val="18"/>
                <w:szCs w:val="18"/>
              </w:rPr>
            </w:pPr>
          </w:p>
        </w:tc>
      </w:tr>
      <w:tr w:rsidR="00643367" w:rsidRPr="004D4ABF" w14:paraId="6D98B378" w14:textId="77777777" w:rsidTr="00106697">
        <w:tc>
          <w:tcPr>
            <w:tcW w:w="4311" w:type="dxa"/>
          </w:tcPr>
          <w:p w14:paraId="68D5AA1E" w14:textId="7C6E0CD9" w:rsidR="00223784" w:rsidRPr="004D4ABF" w:rsidRDefault="00643367" w:rsidP="00DC0079">
            <w:pPr>
              <w:overflowPunct w:val="0"/>
              <w:autoSpaceDE w:val="0"/>
              <w:autoSpaceDN w:val="0"/>
              <w:adjustRightInd w:val="0"/>
              <w:snapToGrid w:val="0"/>
              <w:spacing w:line="360" w:lineRule="auto"/>
              <w:ind w:firstLineChars="200" w:firstLine="560"/>
              <w:rPr>
                <w:sz w:val="18"/>
                <w:szCs w:val="18"/>
              </w:rPr>
            </w:pPr>
            <w:r w:rsidRPr="004D4ABF">
              <w:rPr>
                <w:noProof/>
              </w:rPr>
              <w:t xml:space="preserve"> </w:t>
            </w:r>
            <w:r w:rsidRPr="004D4ABF">
              <w:rPr>
                <w:noProof/>
              </w:rPr>
              <w:lastRenderedPageBreak/>
              <w:drawing>
                <wp:inline distT="0" distB="0" distL="0" distR="0" wp14:anchorId="5619142C" wp14:editId="6A8154CB">
                  <wp:extent cx="2292531" cy="1727250"/>
                  <wp:effectExtent l="0" t="0" r="0" b="0"/>
                  <wp:docPr id="1665735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35685" name=""/>
                          <pic:cNvPicPr/>
                        </pic:nvPicPr>
                        <pic:blipFill>
                          <a:blip r:embed="rId11"/>
                          <a:stretch>
                            <a:fillRect/>
                          </a:stretch>
                        </pic:blipFill>
                        <pic:spPr>
                          <a:xfrm>
                            <a:off x="0" y="0"/>
                            <a:ext cx="2309258" cy="1739853"/>
                          </a:xfrm>
                          <a:prstGeom prst="rect">
                            <a:avLst/>
                          </a:prstGeom>
                        </pic:spPr>
                      </pic:pic>
                    </a:graphicData>
                  </a:graphic>
                </wp:inline>
              </w:drawing>
            </w:r>
          </w:p>
        </w:tc>
        <w:tc>
          <w:tcPr>
            <w:tcW w:w="4311" w:type="dxa"/>
          </w:tcPr>
          <w:p w14:paraId="67EC4179" w14:textId="77777777" w:rsidR="00223784" w:rsidRPr="004D4ABF" w:rsidRDefault="00223784" w:rsidP="00DC0079">
            <w:pPr>
              <w:overflowPunct w:val="0"/>
              <w:autoSpaceDE w:val="0"/>
              <w:autoSpaceDN w:val="0"/>
              <w:adjustRightInd w:val="0"/>
              <w:snapToGrid w:val="0"/>
              <w:spacing w:line="360" w:lineRule="auto"/>
              <w:ind w:firstLineChars="200" w:firstLine="360"/>
              <w:rPr>
                <w:sz w:val="18"/>
                <w:szCs w:val="18"/>
              </w:rPr>
            </w:pPr>
          </w:p>
        </w:tc>
      </w:tr>
    </w:tbl>
    <w:p w14:paraId="1629EDBE" w14:textId="3D3D632A" w:rsidR="00223784" w:rsidRPr="004D4ABF" w:rsidRDefault="00223784" w:rsidP="00DC0079">
      <w:pPr>
        <w:overflowPunct w:val="0"/>
        <w:autoSpaceDE w:val="0"/>
        <w:autoSpaceDN w:val="0"/>
        <w:adjustRightInd w:val="0"/>
        <w:snapToGrid w:val="0"/>
        <w:spacing w:line="360" w:lineRule="auto"/>
        <w:ind w:firstLineChars="200" w:firstLine="400"/>
        <w:jc w:val="center"/>
        <w:rPr>
          <w:sz w:val="20"/>
          <w:szCs w:val="20"/>
        </w:rPr>
      </w:pPr>
      <w:r w:rsidRPr="004D4ABF">
        <w:rPr>
          <w:sz w:val="20"/>
          <w:szCs w:val="20"/>
        </w:rPr>
        <w:t xml:space="preserve">Fig.2 </w:t>
      </w:r>
      <w:bookmarkStart w:id="0" w:name="_Hlk148867949"/>
      <w:r w:rsidRPr="004D4ABF">
        <w:rPr>
          <w:sz w:val="20"/>
          <w:szCs w:val="20"/>
        </w:rPr>
        <w:t>The predicted structure of miRNA-338, miRNA-1250 and miRNA-3065</w:t>
      </w:r>
    </w:p>
    <w:bookmarkEnd w:id="0"/>
    <w:p w14:paraId="61926245" w14:textId="5AE7EC1E" w:rsidR="00223784" w:rsidRPr="004D4ABF" w:rsidRDefault="00223784" w:rsidP="00DC0079">
      <w:pPr>
        <w:overflowPunct w:val="0"/>
        <w:autoSpaceDE w:val="0"/>
        <w:autoSpaceDN w:val="0"/>
        <w:adjustRightInd w:val="0"/>
        <w:snapToGrid w:val="0"/>
        <w:spacing w:line="360" w:lineRule="auto"/>
        <w:ind w:firstLineChars="200" w:firstLine="400"/>
        <w:rPr>
          <w:sz w:val="20"/>
          <w:szCs w:val="20"/>
        </w:rPr>
      </w:pPr>
      <w:r w:rsidRPr="004D4ABF">
        <w:rPr>
          <w:sz w:val="20"/>
          <w:szCs w:val="20"/>
        </w:rPr>
        <w:t>A.miR-338</w:t>
      </w:r>
      <w:r w:rsidR="00810E5E" w:rsidRPr="004D4ABF">
        <w:rPr>
          <w:sz w:val="20"/>
          <w:szCs w:val="20"/>
        </w:rPr>
        <w:t>(</w:t>
      </w:r>
      <w:hyperlink r:id="rId12" w:history="1">
        <w:r w:rsidR="00810E5E" w:rsidRPr="004D4ABF">
          <w:rPr>
            <w:sz w:val="20"/>
            <w:szCs w:val="20"/>
          </w:rPr>
          <w:t>hsa-mir-338</w:t>
        </w:r>
      </w:hyperlink>
      <w:r w:rsidR="00810E5E" w:rsidRPr="004D4ABF">
        <w:rPr>
          <w:sz w:val="20"/>
          <w:szCs w:val="20"/>
        </w:rPr>
        <w:t>)</w:t>
      </w:r>
      <w:r w:rsidRPr="004D4ABF">
        <w:rPr>
          <w:sz w:val="20"/>
          <w:szCs w:val="20"/>
        </w:rPr>
        <w:t>,B. miR-1250</w:t>
      </w:r>
      <w:r w:rsidR="00810E5E" w:rsidRPr="004D4ABF">
        <w:rPr>
          <w:sz w:val="20"/>
          <w:szCs w:val="20"/>
        </w:rPr>
        <w:t>(</w:t>
      </w:r>
      <w:hyperlink r:id="rId13" w:history="1">
        <w:r w:rsidR="00810E5E" w:rsidRPr="004D4ABF">
          <w:rPr>
            <w:sz w:val="20"/>
            <w:szCs w:val="20"/>
          </w:rPr>
          <w:t>hsa-mir-1250</w:t>
        </w:r>
      </w:hyperlink>
      <w:r w:rsidR="00810E5E" w:rsidRPr="004D4ABF">
        <w:rPr>
          <w:sz w:val="20"/>
          <w:szCs w:val="20"/>
        </w:rPr>
        <w:t>)</w:t>
      </w:r>
      <w:r w:rsidRPr="004D4ABF">
        <w:rPr>
          <w:sz w:val="20"/>
          <w:szCs w:val="20"/>
        </w:rPr>
        <w:t>.</w:t>
      </w:r>
      <w:r w:rsidR="00810E5E" w:rsidRPr="004D4ABF">
        <w:rPr>
          <w:sz w:val="20"/>
          <w:szCs w:val="20"/>
        </w:rPr>
        <w:t>C.miR-3065(</w:t>
      </w:r>
      <w:hyperlink r:id="rId14" w:history="1">
        <w:r w:rsidR="00810E5E" w:rsidRPr="004D4ABF">
          <w:rPr>
            <w:sz w:val="20"/>
            <w:szCs w:val="20"/>
          </w:rPr>
          <w:t>hsa-mir-3065</w:t>
        </w:r>
      </w:hyperlink>
      <w:r w:rsidR="00810E5E" w:rsidRPr="004D4ABF">
        <w:rPr>
          <w:sz w:val="20"/>
          <w:szCs w:val="20"/>
        </w:rPr>
        <w:t>). miR-338, miR-1250 and miR-3065 are all locate in chr17</w:t>
      </w:r>
      <w:r w:rsidRPr="004D4ABF">
        <w:rPr>
          <w:sz w:val="20"/>
          <w:szCs w:val="20"/>
        </w:rPr>
        <w:t>.From miRCarta V1.1(</w:t>
      </w:r>
      <w:hyperlink r:id="rId15" w:history="1">
        <w:r w:rsidR="007E2107" w:rsidRPr="004D4ABF">
          <w:rPr>
            <w:rStyle w:val="ac"/>
            <w:color w:val="auto"/>
            <w:sz w:val="20"/>
            <w:szCs w:val="20"/>
          </w:rPr>
          <w:t>https://mircarta.cs.uni-saarland.de/advanced</w:t>
        </w:r>
      </w:hyperlink>
      <w:r w:rsidR="007E2107" w:rsidRPr="004D4ABF">
        <w:rPr>
          <w:sz w:val="20"/>
          <w:szCs w:val="20"/>
        </w:rPr>
        <w:t xml:space="preserve"> _search/</w:t>
      </w:r>
      <w:r w:rsidRPr="004D4ABF">
        <w:rPr>
          <w:sz w:val="20"/>
          <w:szCs w:val="20"/>
        </w:rPr>
        <w:t>)</w:t>
      </w:r>
    </w:p>
    <w:p w14:paraId="63E3FDAF" w14:textId="69916AF6" w:rsidR="00920E66" w:rsidRPr="004D4ABF" w:rsidRDefault="00106697" w:rsidP="00DC0079">
      <w:pPr>
        <w:overflowPunct w:val="0"/>
        <w:autoSpaceDE w:val="0"/>
        <w:autoSpaceDN w:val="0"/>
        <w:adjustRightInd w:val="0"/>
        <w:snapToGrid w:val="0"/>
        <w:spacing w:line="360" w:lineRule="auto"/>
        <w:ind w:firstLineChars="200" w:firstLine="400"/>
        <w:jc w:val="center"/>
        <w:rPr>
          <w:sz w:val="20"/>
          <w:szCs w:val="20"/>
        </w:rPr>
      </w:pPr>
      <w:r w:rsidRPr="004D4ABF">
        <w:rPr>
          <w:sz w:val="20"/>
          <w:szCs w:val="20"/>
        </w:rPr>
        <w:t>Tab1e</w:t>
      </w:r>
      <w:r w:rsidRPr="004D4ABF">
        <w:rPr>
          <w:rFonts w:hint="eastAsia"/>
          <w:sz w:val="20"/>
          <w:szCs w:val="20"/>
        </w:rPr>
        <w:t xml:space="preserve"> </w:t>
      </w:r>
      <w:r w:rsidR="001E3275" w:rsidRPr="004D4ABF">
        <w:rPr>
          <w:rFonts w:hint="eastAsia"/>
          <w:sz w:val="20"/>
          <w:szCs w:val="20"/>
        </w:rPr>
        <w:t>2</w:t>
      </w:r>
      <w:r w:rsidRPr="004D4ABF">
        <w:rPr>
          <w:rFonts w:hint="eastAsia"/>
          <w:sz w:val="20"/>
          <w:szCs w:val="20"/>
        </w:rPr>
        <w:t xml:space="preserve">  </w:t>
      </w:r>
      <w:r w:rsidRPr="004D4ABF">
        <w:rPr>
          <w:sz w:val="20"/>
          <w:szCs w:val="20"/>
        </w:rPr>
        <w:t>D</w:t>
      </w:r>
      <w:r w:rsidRPr="004D4ABF">
        <w:rPr>
          <w:rFonts w:hint="eastAsia"/>
          <w:sz w:val="20"/>
          <w:szCs w:val="20"/>
        </w:rPr>
        <w:t>e</w:t>
      </w:r>
      <w:r w:rsidRPr="004D4ABF">
        <w:rPr>
          <w:sz w:val="20"/>
          <w:szCs w:val="20"/>
        </w:rPr>
        <w:t>mographic information, clinical characteristics</w:t>
      </w:r>
    </w:p>
    <w:tbl>
      <w:tblPr>
        <w:tblW w:w="5172" w:type="pct"/>
        <w:jc w:val="center"/>
        <w:tblLook w:val="04A0" w:firstRow="1" w:lastRow="0" w:firstColumn="1" w:lastColumn="0" w:noHBand="0" w:noVBand="1"/>
      </w:tblPr>
      <w:tblGrid>
        <w:gridCol w:w="2850"/>
        <w:gridCol w:w="2289"/>
        <w:gridCol w:w="2136"/>
        <w:gridCol w:w="1644"/>
      </w:tblGrid>
      <w:tr w:rsidR="00920E66" w:rsidRPr="004D4ABF" w14:paraId="1A4DDADE" w14:textId="77777777" w:rsidTr="00DC0079">
        <w:trPr>
          <w:jc w:val="center"/>
        </w:trPr>
        <w:tc>
          <w:tcPr>
            <w:tcW w:w="2850" w:type="dxa"/>
            <w:tcBorders>
              <w:top w:val="single" w:sz="8" w:space="0" w:color="auto"/>
              <w:bottom w:val="single" w:sz="4" w:space="0" w:color="auto"/>
            </w:tcBorders>
            <w:vAlign w:val="center"/>
          </w:tcPr>
          <w:p w14:paraId="3C8802A2"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Variables</w:t>
            </w:r>
          </w:p>
        </w:tc>
        <w:tc>
          <w:tcPr>
            <w:tcW w:w="2289" w:type="dxa"/>
            <w:tcBorders>
              <w:top w:val="single" w:sz="8" w:space="0" w:color="auto"/>
              <w:bottom w:val="single" w:sz="4" w:space="0" w:color="auto"/>
            </w:tcBorders>
            <w:vAlign w:val="center"/>
          </w:tcPr>
          <w:p w14:paraId="44094EA4" w14:textId="77777777" w:rsidR="00DC0079" w:rsidRPr="004D4ABF" w:rsidRDefault="00106697" w:rsidP="00DC0079">
            <w:pPr>
              <w:overflowPunct w:val="0"/>
              <w:autoSpaceDE w:val="0"/>
              <w:autoSpaceDN w:val="0"/>
              <w:adjustRightInd w:val="0"/>
              <w:snapToGrid w:val="0"/>
              <w:spacing w:line="360" w:lineRule="auto"/>
              <w:rPr>
                <w:sz w:val="18"/>
                <w:szCs w:val="18"/>
              </w:rPr>
            </w:pPr>
            <w:r w:rsidRPr="004D4ABF">
              <w:rPr>
                <w:sz w:val="18"/>
                <w:szCs w:val="18"/>
              </w:rPr>
              <w:t>Experimental</w:t>
            </w:r>
            <w:r w:rsidR="00DC0079" w:rsidRPr="004D4ABF">
              <w:rPr>
                <w:sz w:val="18"/>
                <w:szCs w:val="18"/>
              </w:rPr>
              <w:t xml:space="preserve"> </w:t>
            </w:r>
            <w:r w:rsidRPr="004D4ABF">
              <w:rPr>
                <w:sz w:val="18"/>
                <w:szCs w:val="18"/>
              </w:rPr>
              <w:t>group</w:t>
            </w:r>
          </w:p>
          <w:p w14:paraId="48D9D572" w14:textId="3036DEAD"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w:t>
            </w:r>
            <w:r w:rsidRPr="004D4ABF">
              <w:rPr>
                <w:i/>
                <w:sz w:val="18"/>
                <w:szCs w:val="18"/>
              </w:rPr>
              <w:t>n</w:t>
            </w:r>
            <w:r w:rsidRPr="004D4ABF">
              <w:rPr>
                <w:sz w:val="18"/>
                <w:szCs w:val="18"/>
              </w:rPr>
              <w:t>=83)</w:t>
            </w:r>
          </w:p>
        </w:tc>
        <w:tc>
          <w:tcPr>
            <w:tcW w:w="2136" w:type="dxa"/>
            <w:tcBorders>
              <w:top w:val="single" w:sz="8" w:space="0" w:color="auto"/>
              <w:bottom w:val="single" w:sz="4" w:space="0" w:color="auto"/>
            </w:tcBorders>
            <w:vAlign w:val="center"/>
          </w:tcPr>
          <w:p w14:paraId="017CF4E9" w14:textId="77777777" w:rsidR="00DC0079"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Control group</w:t>
            </w:r>
          </w:p>
          <w:p w14:paraId="67DE5306" w14:textId="341AC178" w:rsidR="00920E66" w:rsidRPr="004D4ABF" w:rsidRDefault="00106697" w:rsidP="00DC0079">
            <w:pPr>
              <w:overflowPunct w:val="0"/>
              <w:autoSpaceDE w:val="0"/>
              <w:autoSpaceDN w:val="0"/>
              <w:adjustRightInd w:val="0"/>
              <w:snapToGrid w:val="0"/>
              <w:spacing w:line="360" w:lineRule="auto"/>
              <w:ind w:firstLineChars="400" w:firstLine="720"/>
              <w:rPr>
                <w:sz w:val="18"/>
                <w:szCs w:val="18"/>
              </w:rPr>
            </w:pPr>
            <w:r w:rsidRPr="004D4ABF">
              <w:rPr>
                <w:sz w:val="18"/>
                <w:szCs w:val="18"/>
              </w:rPr>
              <w:t>(</w:t>
            </w:r>
            <w:r w:rsidRPr="004D4ABF">
              <w:rPr>
                <w:i/>
                <w:sz w:val="18"/>
                <w:szCs w:val="18"/>
              </w:rPr>
              <w:t>n</w:t>
            </w:r>
            <w:r w:rsidRPr="004D4ABF">
              <w:rPr>
                <w:sz w:val="18"/>
                <w:szCs w:val="18"/>
              </w:rPr>
              <w:t>=50)</w:t>
            </w:r>
          </w:p>
        </w:tc>
        <w:tc>
          <w:tcPr>
            <w:tcW w:w="1644" w:type="dxa"/>
            <w:tcBorders>
              <w:top w:val="single" w:sz="8" w:space="0" w:color="auto"/>
              <w:bottom w:val="single" w:sz="4" w:space="0" w:color="auto"/>
            </w:tcBorders>
            <w:vAlign w:val="center"/>
          </w:tcPr>
          <w:p w14:paraId="5723FA80"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i/>
                <w:iCs/>
                <w:sz w:val="18"/>
                <w:szCs w:val="18"/>
              </w:rPr>
              <w:t xml:space="preserve">P </w:t>
            </w:r>
          </w:p>
        </w:tc>
      </w:tr>
      <w:tr w:rsidR="00920E66" w:rsidRPr="004D4ABF" w14:paraId="5CB4CFE4" w14:textId="77777777" w:rsidTr="00DC0079">
        <w:trPr>
          <w:jc w:val="center"/>
        </w:trPr>
        <w:tc>
          <w:tcPr>
            <w:tcW w:w="2850" w:type="dxa"/>
            <w:tcBorders>
              <w:top w:val="nil"/>
            </w:tcBorders>
            <w:vAlign w:val="center"/>
          </w:tcPr>
          <w:p w14:paraId="37D22C5F"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Age(mean±SD)</w:t>
            </w:r>
          </w:p>
        </w:tc>
        <w:tc>
          <w:tcPr>
            <w:tcW w:w="2289" w:type="dxa"/>
            <w:tcBorders>
              <w:top w:val="nil"/>
            </w:tcBorders>
            <w:vAlign w:val="center"/>
          </w:tcPr>
          <w:p w14:paraId="14FD1B6C"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62.5±10.6</w:t>
            </w:r>
          </w:p>
        </w:tc>
        <w:tc>
          <w:tcPr>
            <w:tcW w:w="2136" w:type="dxa"/>
            <w:tcBorders>
              <w:top w:val="nil"/>
            </w:tcBorders>
            <w:vAlign w:val="center"/>
          </w:tcPr>
          <w:p w14:paraId="4D11A8B8"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60.0±7.0</w:t>
            </w:r>
          </w:p>
        </w:tc>
        <w:tc>
          <w:tcPr>
            <w:tcW w:w="1644" w:type="dxa"/>
            <w:tcBorders>
              <w:top w:val="nil"/>
            </w:tcBorders>
            <w:vAlign w:val="center"/>
          </w:tcPr>
          <w:p w14:paraId="3982744F" w14:textId="50320679"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0.107</w:t>
            </w:r>
          </w:p>
        </w:tc>
      </w:tr>
      <w:tr w:rsidR="00920E66" w:rsidRPr="004D4ABF" w14:paraId="73E1DC8F" w14:textId="77777777" w:rsidTr="00DC0079">
        <w:trPr>
          <w:jc w:val="center"/>
        </w:trPr>
        <w:tc>
          <w:tcPr>
            <w:tcW w:w="2850" w:type="dxa"/>
            <w:vAlign w:val="center"/>
          </w:tcPr>
          <w:p w14:paraId="1F984BD3"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Sex(men:women)</w:t>
            </w:r>
          </w:p>
        </w:tc>
        <w:tc>
          <w:tcPr>
            <w:tcW w:w="2289" w:type="dxa"/>
            <w:vAlign w:val="center"/>
          </w:tcPr>
          <w:p w14:paraId="30A1AA01"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52:31</w:t>
            </w:r>
          </w:p>
        </w:tc>
        <w:tc>
          <w:tcPr>
            <w:tcW w:w="2136" w:type="dxa"/>
            <w:vAlign w:val="center"/>
          </w:tcPr>
          <w:p w14:paraId="4503C5B9"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34:16</w:t>
            </w:r>
          </w:p>
        </w:tc>
        <w:tc>
          <w:tcPr>
            <w:tcW w:w="1644" w:type="dxa"/>
            <w:vAlign w:val="center"/>
          </w:tcPr>
          <w:p w14:paraId="3CC5307C" w14:textId="2ECB8174"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0.532</w:t>
            </w:r>
            <w:r w:rsidRPr="004D4ABF">
              <w:rPr>
                <w:sz w:val="18"/>
                <w:szCs w:val="18"/>
                <w:vertAlign w:val="superscript"/>
              </w:rPr>
              <w:t xml:space="preserve"> </w:t>
            </w:r>
          </w:p>
        </w:tc>
      </w:tr>
      <w:tr w:rsidR="00DC7331" w:rsidRPr="004D4ABF" w14:paraId="3A0B33BA" w14:textId="77777777" w:rsidTr="00111186">
        <w:trPr>
          <w:jc w:val="center"/>
        </w:trPr>
        <w:tc>
          <w:tcPr>
            <w:tcW w:w="2850" w:type="dxa"/>
          </w:tcPr>
          <w:p w14:paraId="5E9C3BC7" w14:textId="6B159ED1"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Dyslipidemia</w:t>
            </w:r>
            <w:r w:rsidRPr="004D4ABF">
              <w:rPr>
                <w:rFonts w:hint="eastAsia"/>
                <w:sz w:val="18"/>
                <w:szCs w:val="18"/>
              </w:rPr>
              <w:t xml:space="preserve">, </w:t>
            </w:r>
            <w:r w:rsidRPr="004D4ABF">
              <w:rPr>
                <w:sz w:val="18"/>
                <w:szCs w:val="18"/>
              </w:rPr>
              <w:t>n</w:t>
            </w:r>
            <w:r w:rsidRPr="004D4ABF">
              <w:rPr>
                <w:rFonts w:hint="eastAsia"/>
                <w:sz w:val="18"/>
                <w:szCs w:val="18"/>
              </w:rPr>
              <w:t>（</w:t>
            </w:r>
            <w:r w:rsidRPr="004D4ABF">
              <w:rPr>
                <w:sz w:val="18"/>
                <w:szCs w:val="18"/>
              </w:rPr>
              <w:t>%</w:t>
            </w:r>
            <w:r w:rsidRPr="004D4ABF">
              <w:rPr>
                <w:rFonts w:hint="eastAsia"/>
                <w:sz w:val="18"/>
                <w:szCs w:val="18"/>
              </w:rPr>
              <w:t>）</w:t>
            </w:r>
          </w:p>
        </w:tc>
        <w:tc>
          <w:tcPr>
            <w:tcW w:w="2289" w:type="dxa"/>
          </w:tcPr>
          <w:p w14:paraId="2AAE2D0B" w14:textId="0D2A965B" w:rsidR="00DC7331" w:rsidRPr="004D4ABF" w:rsidRDefault="00DC7331" w:rsidP="00DC7331">
            <w:pPr>
              <w:overflowPunct w:val="0"/>
              <w:adjustRightInd w:val="0"/>
              <w:snapToGrid w:val="0"/>
              <w:spacing w:line="360" w:lineRule="auto"/>
              <w:ind w:firstLineChars="200" w:firstLine="360"/>
              <w:rPr>
                <w:sz w:val="18"/>
                <w:szCs w:val="18"/>
              </w:rPr>
            </w:pPr>
            <w:r w:rsidRPr="004D4ABF">
              <w:rPr>
                <w:sz w:val="18"/>
                <w:szCs w:val="18"/>
              </w:rPr>
              <w:t>39</w:t>
            </w:r>
            <w:r w:rsidRPr="004D4ABF">
              <w:rPr>
                <w:rFonts w:hint="eastAsia"/>
                <w:sz w:val="18"/>
                <w:szCs w:val="18"/>
              </w:rPr>
              <w:t>（</w:t>
            </w:r>
            <w:r w:rsidRPr="004D4ABF">
              <w:rPr>
                <w:sz w:val="18"/>
                <w:szCs w:val="18"/>
              </w:rPr>
              <w:t>47.0%</w:t>
            </w:r>
            <w:r w:rsidRPr="004D4ABF">
              <w:rPr>
                <w:rFonts w:hint="eastAsia"/>
                <w:sz w:val="18"/>
                <w:szCs w:val="18"/>
              </w:rPr>
              <w:t>）</w:t>
            </w:r>
          </w:p>
        </w:tc>
        <w:tc>
          <w:tcPr>
            <w:tcW w:w="2136" w:type="dxa"/>
          </w:tcPr>
          <w:p w14:paraId="7702BA1D" w14:textId="35D6CA32"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20</w:t>
            </w:r>
            <w:r w:rsidRPr="004D4ABF">
              <w:rPr>
                <w:rFonts w:hint="eastAsia"/>
                <w:sz w:val="18"/>
                <w:szCs w:val="18"/>
              </w:rPr>
              <w:t>（</w:t>
            </w:r>
            <w:r w:rsidRPr="004D4ABF">
              <w:rPr>
                <w:sz w:val="18"/>
                <w:szCs w:val="18"/>
              </w:rPr>
              <w:t>40.0%</w:t>
            </w:r>
            <w:r w:rsidRPr="004D4ABF">
              <w:rPr>
                <w:rFonts w:hint="eastAsia"/>
                <w:sz w:val="18"/>
                <w:szCs w:val="18"/>
              </w:rPr>
              <w:t>）</w:t>
            </w:r>
          </w:p>
        </w:tc>
        <w:tc>
          <w:tcPr>
            <w:tcW w:w="1644" w:type="dxa"/>
          </w:tcPr>
          <w:p w14:paraId="3EAAD070" w14:textId="0C17AF4B"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0.432</w:t>
            </w:r>
          </w:p>
        </w:tc>
      </w:tr>
      <w:tr w:rsidR="00DC7331" w:rsidRPr="004D4ABF" w14:paraId="655FF700" w14:textId="77777777" w:rsidTr="00DC0079">
        <w:trPr>
          <w:jc w:val="center"/>
        </w:trPr>
        <w:tc>
          <w:tcPr>
            <w:tcW w:w="2850" w:type="dxa"/>
            <w:vAlign w:val="center"/>
          </w:tcPr>
          <w:p w14:paraId="3AD76025"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Course of disease</w:t>
            </w:r>
          </w:p>
        </w:tc>
        <w:tc>
          <w:tcPr>
            <w:tcW w:w="2289" w:type="dxa"/>
            <w:vAlign w:val="center"/>
          </w:tcPr>
          <w:p w14:paraId="73905191" w14:textId="77777777" w:rsidR="00DC7331" w:rsidRPr="004D4ABF" w:rsidRDefault="00DC7331" w:rsidP="00DC7331">
            <w:pPr>
              <w:overflowPunct w:val="0"/>
              <w:adjustRightInd w:val="0"/>
              <w:snapToGrid w:val="0"/>
              <w:spacing w:line="360" w:lineRule="auto"/>
              <w:ind w:firstLineChars="200" w:firstLine="360"/>
              <w:rPr>
                <w:sz w:val="18"/>
                <w:szCs w:val="18"/>
              </w:rPr>
            </w:pPr>
            <w:r w:rsidRPr="004D4ABF">
              <w:rPr>
                <w:sz w:val="18"/>
                <w:szCs w:val="18"/>
              </w:rPr>
              <w:t>2.6±2.8</w:t>
            </w:r>
          </w:p>
        </w:tc>
        <w:tc>
          <w:tcPr>
            <w:tcW w:w="2136" w:type="dxa"/>
            <w:vAlign w:val="center"/>
          </w:tcPr>
          <w:p w14:paraId="0296179F"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c>
          <w:tcPr>
            <w:tcW w:w="1644" w:type="dxa"/>
            <w:vAlign w:val="center"/>
          </w:tcPr>
          <w:p w14:paraId="5314F09F"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r>
      <w:tr w:rsidR="00DC7331" w:rsidRPr="004D4ABF" w14:paraId="28D21424" w14:textId="77777777" w:rsidTr="00DC0079">
        <w:trPr>
          <w:jc w:val="center"/>
        </w:trPr>
        <w:tc>
          <w:tcPr>
            <w:tcW w:w="2850" w:type="dxa"/>
            <w:vAlign w:val="center"/>
          </w:tcPr>
          <w:p w14:paraId="2D93B9C8"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Admission NIHSS score</w:t>
            </w:r>
          </w:p>
        </w:tc>
        <w:tc>
          <w:tcPr>
            <w:tcW w:w="2289" w:type="dxa"/>
            <w:vAlign w:val="center"/>
          </w:tcPr>
          <w:p w14:paraId="174AEE06" w14:textId="77777777" w:rsidR="00DC7331" w:rsidRPr="004D4ABF" w:rsidRDefault="00DC7331" w:rsidP="00DC7331">
            <w:pPr>
              <w:overflowPunct w:val="0"/>
              <w:adjustRightInd w:val="0"/>
              <w:snapToGrid w:val="0"/>
              <w:spacing w:line="360" w:lineRule="auto"/>
              <w:ind w:firstLineChars="200" w:firstLine="360"/>
              <w:rPr>
                <w:sz w:val="18"/>
                <w:szCs w:val="18"/>
              </w:rPr>
            </w:pPr>
            <w:r w:rsidRPr="004D4ABF">
              <w:rPr>
                <w:sz w:val="18"/>
                <w:szCs w:val="18"/>
              </w:rPr>
              <w:t>6.3±7.1</w:t>
            </w:r>
          </w:p>
        </w:tc>
        <w:tc>
          <w:tcPr>
            <w:tcW w:w="2136" w:type="dxa"/>
            <w:vAlign w:val="center"/>
          </w:tcPr>
          <w:p w14:paraId="309A10C8"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c>
          <w:tcPr>
            <w:tcW w:w="1644" w:type="dxa"/>
            <w:vAlign w:val="center"/>
          </w:tcPr>
          <w:p w14:paraId="21828FC4"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r>
      <w:tr w:rsidR="00DC7331" w:rsidRPr="004D4ABF" w14:paraId="0353700A" w14:textId="77777777" w:rsidTr="00DC0079">
        <w:trPr>
          <w:jc w:val="center"/>
        </w:trPr>
        <w:tc>
          <w:tcPr>
            <w:tcW w:w="2850" w:type="dxa"/>
            <w:vAlign w:val="center"/>
          </w:tcPr>
          <w:p w14:paraId="1E5B7CED"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Discharge NIHSS score</w:t>
            </w:r>
          </w:p>
        </w:tc>
        <w:tc>
          <w:tcPr>
            <w:tcW w:w="2289" w:type="dxa"/>
            <w:vAlign w:val="center"/>
          </w:tcPr>
          <w:p w14:paraId="36D44D64" w14:textId="77777777" w:rsidR="00DC7331" w:rsidRPr="004D4ABF" w:rsidRDefault="00DC7331" w:rsidP="00DC7331">
            <w:pPr>
              <w:overflowPunct w:val="0"/>
              <w:adjustRightInd w:val="0"/>
              <w:snapToGrid w:val="0"/>
              <w:spacing w:line="360" w:lineRule="auto"/>
              <w:ind w:firstLineChars="200" w:firstLine="360"/>
              <w:rPr>
                <w:sz w:val="18"/>
                <w:szCs w:val="18"/>
              </w:rPr>
            </w:pPr>
            <w:r w:rsidRPr="004D4ABF">
              <w:rPr>
                <w:sz w:val="18"/>
                <w:szCs w:val="18"/>
              </w:rPr>
              <w:t>4.6±6.9</w:t>
            </w:r>
          </w:p>
        </w:tc>
        <w:tc>
          <w:tcPr>
            <w:tcW w:w="2136" w:type="dxa"/>
            <w:vAlign w:val="center"/>
          </w:tcPr>
          <w:p w14:paraId="09A9BF23"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c>
          <w:tcPr>
            <w:tcW w:w="1644" w:type="dxa"/>
            <w:vAlign w:val="center"/>
          </w:tcPr>
          <w:p w14:paraId="501651F8"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r>
      <w:tr w:rsidR="00DC7331" w:rsidRPr="004D4ABF" w14:paraId="03A2DFD4" w14:textId="77777777" w:rsidTr="00DC0079">
        <w:trPr>
          <w:jc w:val="center"/>
        </w:trPr>
        <w:tc>
          <w:tcPr>
            <w:tcW w:w="2850" w:type="dxa"/>
            <w:tcBorders>
              <w:bottom w:val="single" w:sz="8" w:space="0" w:color="auto"/>
            </w:tcBorders>
            <w:vAlign w:val="center"/>
          </w:tcPr>
          <w:p w14:paraId="32FDD40D"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Discharge MRS score</w:t>
            </w:r>
          </w:p>
        </w:tc>
        <w:tc>
          <w:tcPr>
            <w:tcW w:w="2289" w:type="dxa"/>
            <w:tcBorders>
              <w:bottom w:val="single" w:sz="8" w:space="0" w:color="auto"/>
            </w:tcBorders>
            <w:vAlign w:val="center"/>
          </w:tcPr>
          <w:p w14:paraId="4EBCB4D7" w14:textId="77777777" w:rsidR="00DC7331" w:rsidRPr="004D4ABF" w:rsidRDefault="00DC7331" w:rsidP="00DC7331">
            <w:pPr>
              <w:overflowPunct w:val="0"/>
              <w:adjustRightInd w:val="0"/>
              <w:snapToGrid w:val="0"/>
              <w:spacing w:line="360" w:lineRule="auto"/>
              <w:ind w:firstLineChars="200" w:firstLine="360"/>
              <w:rPr>
                <w:sz w:val="18"/>
                <w:szCs w:val="18"/>
              </w:rPr>
            </w:pPr>
            <w:r w:rsidRPr="004D4ABF">
              <w:rPr>
                <w:sz w:val="18"/>
                <w:szCs w:val="18"/>
              </w:rPr>
              <w:t>1.8±1.7</w:t>
            </w:r>
          </w:p>
        </w:tc>
        <w:tc>
          <w:tcPr>
            <w:tcW w:w="2136" w:type="dxa"/>
            <w:tcBorders>
              <w:bottom w:val="single" w:sz="8" w:space="0" w:color="auto"/>
            </w:tcBorders>
            <w:vAlign w:val="center"/>
          </w:tcPr>
          <w:p w14:paraId="38727CD7"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c>
          <w:tcPr>
            <w:tcW w:w="1644" w:type="dxa"/>
            <w:tcBorders>
              <w:bottom w:val="single" w:sz="8" w:space="0" w:color="auto"/>
            </w:tcBorders>
            <w:vAlign w:val="center"/>
          </w:tcPr>
          <w:p w14:paraId="1B2C0AB1" w14:textId="77777777" w:rsidR="00DC7331" w:rsidRPr="004D4ABF" w:rsidRDefault="00DC7331" w:rsidP="00DC7331">
            <w:pPr>
              <w:overflowPunct w:val="0"/>
              <w:autoSpaceDE w:val="0"/>
              <w:autoSpaceDN w:val="0"/>
              <w:adjustRightInd w:val="0"/>
              <w:snapToGrid w:val="0"/>
              <w:spacing w:line="360" w:lineRule="auto"/>
              <w:ind w:firstLineChars="200" w:firstLine="360"/>
              <w:rPr>
                <w:sz w:val="18"/>
                <w:szCs w:val="18"/>
              </w:rPr>
            </w:pPr>
            <w:r w:rsidRPr="004D4ABF">
              <w:rPr>
                <w:sz w:val="18"/>
                <w:szCs w:val="18"/>
              </w:rPr>
              <w:t>NA</w:t>
            </w:r>
          </w:p>
        </w:tc>
      </w:tr>
    </w:tbl>
    <w:p w14:paraId="1A716BFC" w14:textId="48F3F97F" w:rsidR="00920E66" w:rsidRPr="004D4ABF" w:rsidRDefault="00106697" w:rsidP="00DC0079">
      <w:pPr>
        <w:overflowPunct w:val="0"/>
        <w:adjustRightInd w:val="0"/>
        <w:snapToGrid w:val="0"/>
        <w:spacing w:line="360" w:lineRule="auto"/>
        <w:ind w:firstLineChars="200" w:firstLine="420"/>
        <w:rPr>
          <w:rStyle w:val="2Char"/>
          <w:b w:val="0"/>
          <w:bCs w:val="0"/>
          <w:sz w:val="21"/>
          <w:szCs w:val="21"/>
          <w:vertAlign w:val="superscript"/>
        </w:rPr>
      </w:pPr>
      <w:r w:rsidRPr="004D4ABF">
        <w:rPr>
          <w:rStyle w:val="2Char"/>
          <w:b w:val="0"/>
          <w:bCs w:val="0"/>
          <w:sz w:val="21"/>
          <w:szCs w:val="21"/>
          <w:vertAlign w:val="superscript"/>
        </w:rPr>
        <w:t>n</w:t>
      </w:r>
      <w:r w:rsidRPr="004D4ABF">
        <w:rPr>
          <w:rStyle w:val="2Char"/>
          <w:rFonts w:hint="eastAsia"/>
          <w:b w:val="0"/>
          <w:bCs w:val="0"/>
          <w:sz w:val="21"/>
          <w:szCs w:val="21"/>
          <w:vertAlign w:val="superscript"/>
        </w:rPr>
        <w:t>:</w:t>
      </w:r>
      <w:r w:rsidR="00111186" w:rsidRPr="004D4ABF">
        <w:rPr>
          <w:rStyle w:val="2Char"/>
          <w:b w:val="0"/>
          <w:bCs w:val="0"/>
          <w:sz w:val="21"/>
          <w:szCs w:val="21"/>
          <w:vertAlign w:val="superscript"/>
        </w:rPr>
        <w:t xml:space="preserve"> </w:t>
      </w:r>
      <w:r w:rsidRPr="004D4ABF">
        <w:rPr>
          <w:rStyle w:val="2Char"/>
          <w:rFonts w:hint="eastAsia"/>
          <w:b w:val="0"/>
          <w:bCs w:val="0"/>
          <w:sz w:val="21"/>
          <w:szCs w:val="21"/>
          <w:vertAlign w:val="superscript"/>
        </w:rPr>
        <w:t>num</w:t>
      </w:r>
      <w:r w:rsidRPr="004D4ABF">
        <w:rPr>
          <w:rStyle w:val="2Char"/>
          <w:b w:val="0"/>
          <w:bCs w:val="0"/>
          <w:sz w:val="21"/>
          <w:szCs w:val="21"/>
          <w:vertAlign w:val="superscript"/>
        </w:rPr>
        <w:t>ber of subjects</w:t>
      </w:r>
      <w:r w:rsidRPr="004D4ABF">
        <w:rPr>
          <w:rStyle w:val="2Char"/>
          <w:rFonts w:hint="eastAsia"/>
          <w:b w:val="0"/>
          <w:bCs w:val="0"/>
          <w:sz w:val="21"/>
          <w:szCs w:val="21"/>
          <w:vertAlign w:val="superscript"/>
        </w:rPr>
        <w:t>,</w:t>
      </w:r>
      <w:r w:rsidRPr="004D4ABF">
        <w:rPr>
          <w:rStyle w:val="2Char"/>
          <w:b w:val="0"/>
          <w:bCs w:val="0"/>
          <w:sz w:val="21"/>
          <w:szCs w:val="21"/>
          <w:vertAlign w:val="superscript"/>
        </w:rPr>
        <w:t>%</w:t>
      </w:r>
      <w:r w:rsidRPr="004D4ABF">
        <w:rPr>
          <w:rStyle w:val="2Char"/>
          <w:rFonts w:hint="eastAsia"/>
          <w:b w:val="0"/>
          <w:bCs w:val="0"/>
          <w:sz w:val="21"/>
          <w:szCs w:val="21"/>
          <w:vertAlign w:val="superscript"/>
        </w:rPr>
        <w:t>:</w:t>
      </w:r>
      <w:r w:rsidR="00111186" w:rsidRPr="004D4ABF">
        <w:rPr>
          <w:rStyle w:val="2Char"/>
          <w:b w:val="0"/>
          <w:bCs w:val="0"/>
          <w:sz w:val="21"/>
          <w:szCs w:val="21"/>
          <w:vertAlign w:val="superscript"/>
        </w:rPr>
        <w:t xml:space="preserve"> </w:t>
      </w:r>
      <w:r w:rsidRPr="004D4ABF">
        <w:rPr>
          <w:rStyle w:val="2Char"/>
          <w:rFonts w:hint="eastAsia"/>
          <w:b w:val="0"/>
          <w:bCs w:val="0"/>
          <w:sz w:val="21"/>
          <w:szCs w:val="21"/>
          <w:vertAlign w:val="superscript"/>
        </w:rPr>
        <w:t>f</w:t>
      </w:r>
      <w:r w:rsidRPr="004D4ABF">
        <w:rPr>
          <w:rStyle w:val="2Char"/>
          <w:b w:val="0"/>
          <w:bCs w:val="0"/>
          <w:sz w:val="21"/>
          <w:szCs w:val="21"/>
          <w:vertAlign w:val="superscript"/>
        </w:rPr>
        <w:t>requency</w:t>
      </w:r>
      <w:r w:rsidRPr="004D4ABF">
        <w:rPr>
          <w:rStyle w:val="2Char"/>
          <w:rFonts w:hint="eastAsia"/>
          <w:b w:val="0"/>
          <w:bCs w:val="0"/>
          <w:sz w:val="21"/>
          <w:szCs w:val="21"/>
          <w:vertAlign w:val="superscript"/>
        </w:rPr>
        <w:t>,</w:t>
      </w:r>
      <w:r w:rsidRPr="004D4ABF">
        <w:rPr>
          <w:rStyle w:val="2Char"/>
          <w:b w:val="0"/>
          <w:bCs w:val="0"/>
          <w:sz w:val="21"/>
          <w:szCs w:val="21"/>
          <w:vertAlign w:val="superscript"/>
        </w:rPr>
        <w:t xml:space="preserve"> NIHSS:</w:t>
      </w:r>
      <w:r w:rsidR="00111186" w:rsidRPr="004D4ABF">
        <w:rPr>
          <w:rStyle w:val="2Char"/>
          <w:b w:val="0"/>
          <w:bCs w:val="0"/>
          <w:sz w:val="21"/>
          <w:szCs w:val="21"/>
          <w:vertAlign w:val="superscript"/>
        </w:rPr>
        <w:t xml:space="preserve"> </w:t>
      </w:r>
      <w:r w:rsidRPr="004D4ABF">
        <w:rPr>
          <w:rStyle w:val="2Char"/>
          <w:b w:val="0"/>
          <w:bCs w:val="0"/>
          <w:sz w:val="21"/>
          <w:szCs w:val="21"/>
          <w:vertAlign w:val="superscript"/>
        </w:rPr>
        <w:t>National Institutes of Health Stroke Scale, mRS:</w:t>
      </w:r>
      <w:r w:rsidR="00111186" w:rsidRPr="004D4ABF">
        <w:rPr>
          <w:rStyle w:val="2Char"/>
          <w:b w:val="0"/>
          <w:bCs w:val="0"/>
          <w:sz w:val="21"/>
          <w:szCs w:val="21"/>
          <w:vertAlign w:val="superscript"/>
        </w:rPr>
        <w:t xml:space="preserve"> </w:t>
      </w:r>
      <w:r w:rsidRPr="004D4ABF">
        <w:rPr>
          <w:rStyle w:val="2Char"/>
          <w:b w:val="0"/>
          <w:bCs w:val="0"/>
          <w:sz w:val="21"/>
          <w:szCs w:val="21"/>
          <w:vertAlign w:val="superscript"/>
        </w:rPr>
        <w:t>modified Rankin Scale</w:t>
      </w:r>
      <w:r w:rsidRPr="004D4ABF">
        <w:rPr>
          <w:rStyle w:val="2Char"/>
          <w:rFonts w:hint="eastAsia"/>
          <w:b w:val="0"/>
          <w:bCs w:val="0"/>
          <w:sz w:val="21"/>
          <w:szCs w:val="21"/>
          <w:vertAlign w:val="superscript"/>
        </w:rPr>
        <w:t>,</w:t>
      </w:r>
      <w:r w:rsidRPr="004D4ABF">
        <w:rPr>
          <w:rStyle w:val="2Char"/>
          <w:b w:val="0"/>
          <w:bCs w:val="0"/>
          <w:sz w:val="21"/>
          <w:szCs w:val="21"/>
          <w:vertAlign w:val="superscript"/>
        </w:rPr>
        <w:t xml:space="preserve"> </w:t>
      </w:r>
    </w:p>
    <w:p w14:paraId="120FB706" w14:textId="6A9A9B85" w:rsidR="00920E66" w:rsidRPr="004D4ABF" w:rsidRDefault="00106697" w:rsidP="00DC0079">
      <w:pPr>
        <w:overflowPunct w:val="0"/>
        <w:autoSpaceDE w:val="0"/>
        <w:autoSpaceDN w:val="0"/>
        <w:adjustRightInd w:val="0"/>
        <w:snapToGrid w:val="0"/>
        <w:spacing w:line="360" w:lineRule="auto"/>
        <w:ind w:firstLineChars="200" w:firstLine="400"/>
        <w:jc w:val="center"/>
        <w:rPr>
          <w:sz w:val="20"/>
          <w:szCs w:val="20"/>
        </w:rPr>
      </w:pPr>
      <w:r w:rsidRPr="004D4ABF">
        <w:rPr>
          <w:sz w:val="20"/>
          <w:szCs w:val="20"/>
        </w:rPr>
        <w:t xml:space="preserve">Tab1e </w:t>
      </w:r>
      <w:r w:rsidR="001E3275" w:rsidRPr="004D4ABF">
        <w:rPr>
          <w:rFonts w:hint="eastAsia"/>
          <w:sz w:val="20"/>
          <w:szCs w:val="20"/>
        </w:rPr>
        <w:t>3</w:t>
      </w:r>
      <w:r w:rsidRPr="004D4ABF">
        <w:rPr>
          <w:sz w:val="20"/>
          <w:szCs w:val="20"/>
        </w:rPr>
        <w:t xml:space="preserve"> The expression </w:t>
      </w:r>
      <w:r w:rsidR="00241E92" w:rsidRPr="004D4ABF">
        <w:rPr>
          <w:rFonts w:hint="eastAsia"/>
          <w:sz w:val="20"/>
          <w:szCs w:val="20"/>
        </w:rPr>
        <w:t>l</w:t>
      </w:r>
      <w:r w:rsidRPr="004D4ABF">
        <w:rPr>
          <w:sz w:val="20"/>
          <w:szCs w:val="20"/>
        </w:rPr>
        <w:t>evel</w:t>
      </w:r>
      <w:r w:rsidRPr="004D4ABF">
        <w:rPr>
          <w:rFonts w:hint="eastAsia"/>
          <w:sz w:val="20"/>
          <w:szCs w:val="20"/>
        </w:rPr>
        <w:t>s</w:t>
      </w:r>
      <w:r w:rsidRPr="004D4ABF">
        <w:rPr>
          <w:sz w:val="20"/>
          <w:szCs w:val="20"/>
        </w:rPr>
        <w:t xml:space="preserve"> of miRNA-338-3p, miRNA-1250-5p</w:t>
      </w:r>
      <w:r w:rsidR="00241E92" w:rsidRPr="004D4ABF">
        <w:rPr>
          <w:rFonts w:hint="eastAsia"/>
          <w:sz w:val="20"/>
          <w:szCs w:val="20"/>
        </w:rPr>
        <w:t>,</w:t>
      </w:r>
      <w:r w:rsidRPr="004D4ABF">
        <w:rPr>
          <w:sz w:val="20"/>
          <w:szCs w:val="20"/>
        </w:rPr>
        <w:t xml:space="preserve"> and miRNA-3065-5p </w:t>
      </w:r>
      <w:r w:rsidRPr="004D4ABF">
        <w:rPr>
          <w:rFonts w:hint="eastAsia"/>
          <w:sz w:val="20"/>
          <w:szCs w:val="20"/>
        </w:rPr>
        <w:t xml:space="preserve">between </w:t>
      </w:r>
      <w:r w:rsidRPr="004D4ABF">
        <w:rPr>
          <w:sz w:val="20"/>
          <w:szCs w:val="20"/>
        </w:rPr>
        <w:t xml:space="preserve">the experimental </w:t>
      </w:r>
      <w:r w:rsidRPr="004D4ABF">
        <w:rPr>
          <w:rFonts w:hint="eastAsia"/>
          <w:sz w:val="20"/>
          <w:szCs w:val="20"/>
        </w:rPr>
        <w:t>and</w:t>
      </w:r>
      <w:r w:rsidRPr="004D4ABF">
        <w:rPr>
          <w:sz w:val="20"/>
          <w:szCs w:val="20"/>
        </w:rPr>
        <w:t xml:space="preserve"> control group</w:t>
      </w:r>
      <w:r w:rsidR="00241E92" w:rsidRPr="004D4ABF">
        <w:rPr>
          <w:rFonts w:hint="eastAsia"/>
          <w:sz w:val="20"/>
          <w:szCs w:val="20"/>
        </w:rPr>
        <w:t>s</w:t>
      </w:r>
    </w:p>
    <w:tbl>
      <w:tblPr>
        <w:tblStyle w:val="11"/>
        <w:tblW w:w="7905" w:type="dxa"/>
        <w:tblLook w:val="04A0" w:firstRow="1" w:lastRow="0" w:firstColumn="1" w:lastColumn="0" w:noHBand="0" w:noVBand="1"/>
      </w:tblPr>
      <w:tblGrid>
        <w:gridCol w:w="2235"/>
        <w:gridCol w:w="2551"/>
        <w:gridCol w:w="1701"/>
        <w:gridCol w:w="1418"/>
      </w:tblGrid>
      <w:tr w:rsidR="00920E66" w:rsidRPr="004D4ABF" w14:paraId="13A9EC2C" w14:textId="77777777" w:rsidTr="00DC0079">
        <w:trPr>
          <w:cnfStyle w:val="100000000000" w:firstRow="1" w:lastRow="0" w:firstColumn="0" w:lastColumn="0" w:oddVBand="0" w:evenVBand="0" w:oddHBand="0" w:evenHBand="0" w:firstRowFirstColumn="0" w:firstRowLastColumn="0" w:lastRowFirstColumn="0" w:lastRowLastColumn="0"/>
        </w:trPr>
        <w:tc>
          <w:tcPr>
            <w:tcW w:w="2235" w:type="dxa"/>
          </w:tcPr>
          <w:p w14:paraId="7FED1794"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miRNA</w:t>
            </w:r>
          </w:p>
        </w:tc>
        <w:tc>
          <w:tcPr>
            <w:tcW w:w="2551" w:type="dxa"/>
          </w:tcPr>
          <w:p w14:paraId="02CF7F6C" w14:textId="77777777" w:rsidR="00DC0079" w:rsidRPr="004D4ABF" w:rsidRDefault="00106697" w:rsidP="00DC0079">
            <w:pPr>
              <w:overflowPunct w:val="0"/>
              <w:adjustRightInd w:val="0"/>
              <w:snapToGrid w:val="0"/>
              <w:spacing w:before="78" w:after="78" w:line="360" w:lineRule="auto"/>
              <w:ind w:leftChars="100" w:left="280"/>
              <w:rPr>
                <w:kern w:val="0"/>
                <w:sz w:val="18"/>
                <w:szCs w:val="18"/>
              </w:rPr>
            </w:pPr>
            <w:bookmarkStart w:id="1" w:name="OLE_LINK3"/>
            <w:r w:rsidRPr="004D4ABF">
              <w:rPr>
                <w:kern w:val="0"/>
                <w:sz w:val="18"/>
                <w:szCs w:val="18"/>
              </w:rPr>
              <w:t>Experimental</w:t>
            </w:r>
            <w:bookmarkEnd w:id="1"/>
            <w:r w:rsidR="00DC0079" w:rsidRPr="004D4ABF">
              <w:rPr>
                <w:kern w:val="0"/>
                <w:sz w:val="18"/>
                <w:szCs w:val="18"/>
              </w:rPr>
              <w:t xml:space="preserve"> </w:t>
            </w:r>
            <w:r w:rsidRPr="004D4ABF">
              <w:rPr>
                <w:kern w:val="0"/>
                <w:sz w:val="18"/>
                <w:szCs w:val="18"/>
              </w:rPr>
              <w:t>group</w:t>
            </w:r>
          </w:p>
          <w:p w14:paraId="45AE74AA" w14:textId="31CC39BB" w:rsidR="00920E66" w:rsidRPr="004D4ABF" w:rsidRDefault="00106697" w:rsidP="00DC0079">
            <w:pPr>
              <w:overflowPunct w:val="0"/>
              <w:adjustRightInd w:val="0"/>
              <w:snapToGrid w:val="0"/>
              <w:spacing w:before="78" w:after="78" w:line="360" w:lineRule="auto"/>
              <w:ind w:leftChars="100" w:left="280" w:firstLineChars="200" w:firstLine="360"/>
              <w:rPr>
                <w:kern w:val="0"/>
                <w:sz w:val="18"/>
                <w:szCs w:val="18"/>
              </w:rPr>
            </w:pPr>
            <w:r w:rsidRPr="004D4ABF">
              <w:rPr>
                <w:kern w:val="0"/>
                <w:sz w:val="18"/>
                <w:szCs w:val="18"/>
              </w:rPr>
              <w:t>（</w:t>
            </w:r>
            <w:r w:rsidRPr="004D4ABF">
              <w:rPr>
                <w:i/>
                <w:iCs/>
                <w:kern w:val="0"/>
                <w:sz w:val="18"/>
                <w:szCs w:val="18"/>
              </w:rPr>
              <w:t>n</w:t>
            </w:r>
            <w:r w:rsidRPr="004D4ABF">
              <w:rPr>
                <w:kern w:val="0"/>
                <w:sz w:val="18"/>
                <w:szCs w:val="18"/>
              </w:rPr>
              <w:t>=83</w:t>
            </w:r>
            <w:r w:rsidRPr="004D4ABF">
              <w:rPr>
                <w:kern w:val="0"/>
                <w:sz w:val="18"/>
                <w:szCs w:val="18"/>
              </w:rPr>
              <w:t>）</w:t>
            </w:r>
          </w:p>
        </w:tc>
        <w:tc>
          <w:tcPr>
            <w:tcW w:w="1701" w:type="dxa"/>
          </w:tcPr>
          <w:p w14:paraId="50BE66D0" w14:textId="77777777" w:rsidR="00920E66" w:rsidRPr="004D4ABF" w:rsidRDefault="00106697" w:rsidP="00DC0079">
            <w:pPr>
              <w:overflowPunct w:val="0"/>
              <w:adjustRightInd w:val="0"/>
              <w:snapToGrid w:val="0"/>
              <w:spacing w:before="78" w:after="78" w:line="360" w:lineRule="auto"/>
              <w:ind w:leftChars="-92" w:left="-258" w:firstLineChars="200" w:firstLine="360"/>
              <w:rPr>
                <w:kern w:val="0"/>
                <w:sz w:val="18"/>
                <w:szCs w:val="18"/>
              </w:rPr>
            </w:pPr>
            <w:r w:rsidRPr="004D4ABF">
              <w:rPr>
                <w:kern w:val="0"/>
                <w:sz w:val="18"/>
                <w:szCs w:val="18"/>
              </w:rPr>
              <w:t>Control group</w:t>
            </w:r>
          </w:p>
          <w:p w14:paraId="337B1739"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w:t>
            </w:r>
            <w:r w:rsidRPr="004D4ABF">
              <w:rPr>
                <w:i/>
                <w:iCs/>
                <w:kern w:val="0"/>
                <w:sz w:val="18"/>
                <w:szCs w:val="18"/>
              </w:rPr>
              <w:t>n</w:t>
            </w:r>
            <w:r w:rsidRPr="004D4ABF">
              <w:rPr>
                <w:kern w:val="0"/>
                <w:sz w:val="18"/>
                <w:szCs w:val="18"/>
              </w:rPr>
              <w:t>=50</w:t>
            </w:r>
            <w:r w:rsidRPr="004D4ABF">
              <w:rPr>
                <w:kern w:val="0"/>
                <w:sz w:val="18"/>
                <w:szCs w:val="18"/>
              </w:rPr>
              <w:t>）</w:t>
            </w:r>
          </w:p>
        </w:tc>
        <w:tc>
          <w:tcPr>
            <w:tcW w:w="1418" w:type="dxa"/>
          </w:tcPr>
          <w:p w14:paraId="1436C17F" w14:textId="77777777" w:rsidR="00920E66" w:rsidRPr="004D4ABF" w:rsidRDefault="00106697" w:rsidP="00DC0079">
            <w:pPr>
              <w:overflowPunct w:val="0"/>
              <w:adjustRightInd w:val="0"/>
              <w:snapToGrid w:val="0"/>
              <w:spacing w:before="78" w:after="78" w:line="360" w:lineRule="auto"/>
              <w:ind w:firstLineChars="200" w:firstLine="360"/>
              <w:rPr>
                <w:i/>
                <w:iCs/>
                <w:kern w:val="0"/>
                <w:sz w:val="18"/>
                <w:szCs w:val="18"/>
              </w:rPr>
            </w:pPr>
            <w:r w:rsidRPr="004D4ABF">
              <w:rPr>
                <w:i/>
                <w:iCs/>
                <w:kern w:val="0"/>
                <w:sz w:val="18"/>
                <w:szCs w:val="18"/>
              </w:rPr>
              <w:t>P</w:t>
            </w:r>
          </w:p>
        </w:tc>
      </w:tr>
      <w:tr w:rsidR="00920E66" w:rsidRPr="004D4ABF" w14:paraId="1131D4B8" w14:textId="77777777" w:rsidTr="00DC0079">
        <w:tc>
          <w:tcPr>
            <w:tcW w:w="2235" w:type="dxa"/>
          </w:tcPr>
          <w:p w14:paraId="78D60EF3" w14:textId="77777777" w:rsidR="00920E66" w:rsidRPr="004D4ABF" w:rsidRDefault="00106697" w:rsidP="00DC0079">
            <w:pPr>
              <w:overflowPunct w:val="0"/>
              <w:adjustRightInd w:val="0"/>
              <w:snapToGrid w:val="0"/>
              <w:spacing w:before="78" w:after="78" w:line="360" w:lineRule="auto"/>
              <w:rPr>
                <w:kern w:val="0"/>
                <w:sz w:val="18"/>
                <w:szCs w:val="18"/>
              </w:rPr>
            </w:pPr>
            <w:r w:rsidRPr="004D4ABF">
              <w:rPr>
                <w:kern w:val="0"/>
                <w:sz w:val="18"/>
                <w:szCs w:val="18"/>
              </w:rPr>
              <w:t>miRNA-338-3p</w:t>
            </w:r>
          </w:p>
        </w:tc>
        <w:tc>
          <w:tcPr>
            <w:tcW w:w="2551" w:type="dxa"/>
          </w:tcPr>
          <w:p w14:paraId="47087E9B"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1.87±0.22</w:t>
            </w:r>
          </w:p>
        </w:tc>
        <w:tc>
          <w:tcPr>
            <w:tcW w:w="1701" w:type="dxa"/>
          </w:tcPr>
          <w:p w14:paraId="2BEDE3BD"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1.25±0.11</w:t>
            </w:r>
          </w:p>
        </w:tc>
        <w:tc>
          <w:tcPr>
            <w:tcW w:w="1418" w:type="dxa"/>
          </w:tcPr>
          <w:p w14:paraId="6046A4EC"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0.309</w:t>
            </w:r>
          </w:p>
        </w:tc>
      </w:tr>
      <w:tr w:rsidR="00920E66" w:rsidRPr="004D4ABF" w14:paraId="0B9B42AF" w14:textId="77777777" w:rsidTr="00DC0079">
        <w:tc>
          <w:tcPr>
            <w:tcW w:w="2235" w:type="dxa"/>
          </w:tcPr>
          <w:p w14:paraId="3FBA484C" w14:textId="77777777" w:rsidR="00920E66" w:rsidRPr="004D4ABF" w:rsidRDefault="00106697" w:rsidP="00DC0079">
            <w:pPr>
              <w:overflowPunct w:val="0"/>
              <w:adjustRightInd w:val="0"/>
              <w:snapToGrid w:val="0"/>
              <w:spacing w:before="78" w:after="78" w:line="360" w:lineRule="auto"/>
              <w:rPr>
                <w:kern w:val="0"/>
                <w:sz w:val="18"/>
                <w:szCs w:val="18"/>
              </w:rPr>
            </w:pPr>
            <w:r w:rsidRPr="004D4ABF">
              <w:rPr>
                <w:kern w:val="0"/>
                <w:sz w:val="18"/>
                <w:szCs w:val="18"/>
              </w:rPr>
              <w:t>miRNA-1250-5p</w:t>
            </w:r>
          </w:p>
        </w:tc>
        <w:tc>
          <w:tcPr>
            <w:tcW w:w="2551" w:type="dxa"/>
          </w:tcPr>
          <w:p w14:paraId="687460F3"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2.04±0.22</w:t>
            </w:r>
          </w:p>
        </w:tc>
        <w:tc>
          <w:tcPr>
            <w:tcW w:w="1701" w:type="dxa"/>
          </w:tcPr>
          <w:p w14:paraId="53B84635"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1.54±0.33</w:t>
            </w:r>
          </w:p>
        </w:tc>
        <w:tc>
          <w:tcPr>
            <w:tcW w:w="1418" w:type="dxa"/>
          </w:tcPr>
          <w:p w14:paraId="5F6A49BA" w14:textId="36EB6E6C" w:rsidR="00920E66" w:rsidRPr="004D4ABF" w:rsidRDefault="00106697" w:rsidP="00DC0079">
            <w:pPr>
              <w:overflowPunct w:val="0"/>
              <w:adjustRightInd w:val="0"/>
              <w:snapToGrid w:val="0"/>
              <w:spacing w:before="78" w:after="78" w:line="360" w:lineRule="auto"/>
              <w:ind w:firstLineChars="200" w:firstLine="361"/>
              <w:rPr>
                <w:kern w:val="0"/>
                <w:sz w:val="18"/>
                <w:szCs w:val="18"/>
              </w:rPr>
            </w:pPr>
            <w:r w:rsidRPr="004D4ABF">
              <w:rPr>
                <w:b/>
                <w:bCs/>
                <w:kern w:val="0"/>
                <w:sz w:val="18"/>
                <w:szCs w:val="18"/>
              </w:rPr>
              <w:t>0.002</w:t>
            </w:r>
          </w:p>
        </w:tc>
      </w:tr>
      <w:tr w:rsidR="00920E66" w:rsidRPr="004D4ABF" w14:paraId="510CBDE1" w14:textId="77777777" w:rsidTr="00DC0079">
        <w:tc>
          <w:tcPr>
            <w:tcW w:w="2235" w:type="dxa"/>
          </w:tcPr>
          <w:p w14:paraId="5E59EC71" w14:textId="77777777" w:rsidR="00920E66" w:rsidRPr="004D4ABF" w:rsidRDefault="00106697" w:rsidP="00DC0079">
            <w:pPr>
              <w:overflowPunct w:val="0"/>
              <w:adjustRightInd w:val="0"/>
              <w:snapToGrid w:val="0"/>
              <w:spacing w:before="78" w:after="78" w:line="360" w:lineRule="auto"/>
              <w:rPr>
                <w:kern w:val="0"/>
                <w:sz w:val="18"/>
                <w:szCs w:val="18"/>
              </w:rPr>
            </w:pPr>
            <w:r w:rsidRPr="004D4ABF">
              <w:rPr>
                <w:kern w:val="0"/>
                <w:sz w:val="18"/>
                <w:szCs w:val="18"/>
              </w:rPr>
              <w:t>miRNA-3065-5p</w:t>
            </w:r>
          </w:p>
        </w:tc>
        <w:tc>
          <w:tcPr>
            <w:tcW w:w="2551" w:type="dxa"/>
          </w:tcPr>
          <w:p w14:paraId="3AD0A615"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6.41±2.17</w:t>
            </w:r>
          </w:p>
        </w:tc>
        <w:tc>
          <w:tcPr>
            <w:tcW w:w="1701" w:type="dxa"/>
          </w:tcPr>
          <w:p w14:paraId="71805735"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1.42±0.24</w:t>
            </w:r>
          </w:p>
        </w:tc>
        <w:tc>
          <w:tcPr>
            <w:tcW w:w="1418" w:type="dxa"/>
          </w:tcPr>
          <w:p w14:paraId="639E7574" w14:textId="6DF04DF4" w:rsidR="00920E66" w:rsidRPr="004D4ABF" w:rsidRDefault="00106697" w:rsidP="00DC0079">
            <w:pPr>
              <w:overflowPunct w:val="0"/>
              <w:adjustRightInd w:val="0"/>
              <w:snapToGrid w:val="0"/>
              <w:spacing w:before="78" w:after="78" w:line="360" w:lineRule="auto"/>
              <w:ind w:firstLineChars="200" w:firstLine="361"/>
              <w:rPr>
                <w:kern w:val="0"/>
                <w:sz w:val="18"/>
                <w:szCs w:val="18"/>
              </w:rPr>
            </w:pPr>
            <w:r w:rsidRPr="004D4ABF">
              <w:rPr>
                <w:b/>
                <w:bCs/>
                <w:kern w:val="0"/>
                <w:sz w:val="18"/>
                <w:szCs w:val="18"/>
              </w:rPr>
              <w:t>&lt;0.001</w:t>
            </w:r>
          </w:p>
        </w:tc>
      </w:tr>
      <w:tr w:rsidR="00920E66" w:rsidRPr="004D4ABF" w14:paraId="419DAA04" w14:textId="77777777" w:rsidTr="00DC0079">
        <w:tc>
          <w:tcPr>
            <w:tcW w:w="2235" w:type="dxa"/>
            <w:vAlign w:val="center"/>
          </w:tcPr>
          <w:p w14:paraId="70DD394D" w14:textId="77777777" w:rsidR="00920E66" w:rsidRPr="004D4ABF" w:rsidRDefault="00106697" w:rsidP="00DC0079">
            <w:pPr>
              <w:overflowPunct w:val="0"/>
              <w:adjustRightInd w:val="0"/>
              <w:snapToGrid w:val="0"/>
              <w:spacing w:before="78" w:after="78" w:line="360" w:lineRule="auto"/>
              <w:rPr>
                <w:kern w:val="0"/>
                <w:sz w:val="18"/>
                <w:szCs w:val="18"/>
              </w:rPr>
            </w:pPr>
            <w:r w:rsidRPr="004D4ABF">
              <w:rPr>
                <w:kern w:val="0"/>
                <w:sz w:val="18"/>
                <w:szCs w:val="18"/>
              </w:rPr>
              <w:t>miRNA-338-3p/miRNA-1250-5p/miRNA-3065-5p clusters</w:t>
            </w:r>
          </w:p>
        </w:tc>
        <w:tc>
          <w:tcPr>
            <w:tcW w:w="2551" w:type="dxa"/>
          </w:tcPr>
          <w:p w14:paraId="71EC33A2"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w:t>
            </w:r>
          </w:p>
        </w:tc>
        <w:tc>
          <w:tcPr>
            <w:tcW w:w="1701" w:type="dxa"/>
          </w:tcPr>
          <w:p w14:paraId="0D85C704" w14:textId="77777777" w:rsidR="00920E66" w:rsidRPr="004D4ABF" w:rsidRDefault="00106697" w:rsidP="00DC0079">
            <w:pPr>
              <w:overflowPunct w:val="0"/>
              <w:adjustRightInd w:val="0"/>
              <w:snapToGrid w:val="0"/>
              <w:spacing w:before="78" w:after="78" w:line="360" w:lineRule="auto"/>
              <w:ind w:firstLineChars="200" w:firstLine="360"/>
              <w:rPr>
                <w:kern w:val="0"/>
                <w:sz w:val="18"/>
                <w:szCs w:val="18"/>
              </w:rPr>
            </w:pPr>
            <w:r w:rsidRPr="004D4ABF">
              <w:rPr>
                <w:kern w:val="0"/>
                <w:sz w:val="18"/>
                <w:szCs w:val="18"/>
              </w:rPr>
              <w:t>-</w:t>
            </w:r>
          </w:p>
        </w:tc>
        <w:tc>
          <w:tcPr>
            <w:tcW w:w="1418" w:type="dxa"/>
          </w:tcPr>
          <w:p w14:paraId="60308CFD" w14:textId="2A2F26CD" w:rsidR="00920E66" w:rsidRPr="004D4ABF" w:rsidRDefault="00106697" w:rsidP="00DC0079">
            <w:pPr>
              <w:overflowPunct w:val="0"/>
              <w:adjustRightInd w:val="0"/>
              <w:snapToGrid w:val="0"/>
              <w:spacing w:before="78" w:after="78" w:line="360" w:lineRule="auto"/>
              <w:ind w:firstLineChars="200" w:firstLine="361"/>
              <w:rPr>
                <w:kern w:val="0"/>
                <w:sz w:val="18"/>
                <w:szCs w:val="18"/>
              </w:rPr>
            </w:pPr>
            <w:r w:rsidRPr="004D4ABF">
              <w:rPr>
                <w:b/>
                <w:bCs/>
                <w:kern w:val="0"/>
                <w:sz w:val="18"/>
                <w:szCs w:val="18"/>
              </w:rPr>
              <w:t>0.008</w:t>
            </w:r>
          </w:p>
        </w:tc>
      </w:tr>
    </w:tbl>
    <w:p w14:paraId="589028B4" w14:textId="6E9F047B" w:rsidR="00920E66" w:rsidRPr="004D4ABF" w:rsidRDefault="00111186" w:rsidP="00DC0079">
      <w:pPr>
        <w:overflowPunct w:val="0"/>
        <w:adjustRightInd w:val="0"/>
        <w:snapToGrid w:val="0"/>
        <w:spacing w:line="360" w:lineRule="auto"/>
        <w:ind w:firstLineChars="200" w:firstLine="300"/>
        <w:rPr>
          <w:rStyle w:val="20"/>
          <w:rFonts w:ascii="Times New Roman" w:hAnsi="Times New Roman"/>
          <w:b w:val="0"/>
          <w:sz w:val="15"/>
          <w:szCs w:val="15"/>
        </w:rPr>
      </w:pPr>
      <w:r w:rsidRPr="004D4ABF">
        <w:rPr>
          <w:rStyle w:val="2Char"/>
          <w:rFonts w:ascii="Times New Roman" w:hAnsi="Times New Roman"/>
          <w:b w:val="0"/>
          <w:sz w:val="15"/>
          <w:szCs w:val="15"/>
        </w:rPr>
        <w:t>Bold characters highlight all significant p-values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7"/>
        <w:gridCol w:w="2758"/>
        <w:gridCol w:w="2601"/>
      </w:tblGrid>
      <w:tr w:rsidR="00920E66" w:rsidRPr="004D4ABF" w14:paraId="70D3A7EF" w14:textId="77777777">
        <w:tc>
          <w:tcPr>
            <w:tcW w:w="2947" w:type="dxa"/>
          </w:tcPr>
          <w:p w14:paraId="2D7665A5" w14:textId="77777777" w:rsidR="00920E66" w:rsidRPr="004D4ABF" w:rsidRDefault="00106697" w:rsidP="00DC0079">
            <w:pPr>
              <w:overflowPunct w:val="0"/>
              <w:adjustRightInd w:val="0"/>
              <w:snapToGrid w:val="0"/>
              <w:spacing w:line="360" w:lineRule="auto"/>
              <w:ind w:firstLineChars="200" w:firstLine="560"/>
              <w:rPr>
                <w:kern w:val="0"/>
              </w:rPr>
            </w:pPr>
            <w:r w:rsidRPr="004D4ABF">
              <w:rPr>
                <w:kern w:val="0"/>
              </w:rPr>
              <w:t>A</w:t>
            </w:r>
          </w:p>
        </w:tc>
        <w:tc>
          <w:tcPr>
            <w:tcW w:w="2758" w:type="dxa"/>
          </w:tcPr>
          <w:p w14:paraId="32264621" w14:textId="77777777" w:rsidR="00920E66" w:rsidRPr="004D4ABF" w:rsidRDefault="00106697" w:rsidP="00DC0079">
            <w:pPr>
              <w:overflowPunct w:val="0"/>
              <w:adjustRightInd w:val="0"/>
              <w:snapToGrid w:val="0"/>
              <w:spacing w:line="360" w:lineRule="auto"/>
              <w:ind w:firstLineChars="200" w:firstLine="560"/>
              <w:rPr>
                <w:kern w:val="0"/>
              </w:rPr>
            </w:pPr>
            <w:r w:rsidRPr="004D4ABF">
              <w:rPr>
                <w:kern w:val="0"/>
              </w:rPr>
              <w:t>B</w:t>
            </w:r>
          </w:p>
        </w:tc>
        <w:tc>
          <w:tcPr>
            <w:tcW w:w="2601" w:type="dxa"/>
          </w:tcPr>
          <w:p w14:paraId="015D3C01" w14:textId="77777777" w:rsidR="00920E66" w:rsidRPr="004D4ABF" w:rsidRDefault="00106697" w:rsidP="00DC0079">
            <w:pPr>
              <w:overflowPunct w:val="0"/>
              <w:adjustRightInd w:val="0"/>
              <w:snapToGrid w:val="0"/>
              <w:spacing w:line="360" w:lineRule="auto"/>
              <w:ind w:firstLineChars="200" w:firstLine="560"/>
              <w:rPr>
                <w:kern w:val="0"/>
              </w:rPr>
            </w:pPr>
            <w:r w:rsidRPr="004D4ABF">
              <w:rPr>
                <w:kern w:val="0"/>
              </w:rPr>
              <w:t>C</w:t>
            </w:r>
          </w:p>
        </w:tc>
      </w:tr>
      <w:tr w:rsidR="00920E66" w:rsidRPr="004D4ABF" w14:paraId="432B8CB9" w14:textId="77777777">
        <w:tc>
          <w:tcPr>
            <w:tcW w:w="2947" w:type="dxa"/>
          </w:tcPr>
          <w:p w14:paraId="02DE7729" w14:textId="77777777" w:rsidR="00920E66" w:rsidRPr="004D4ABF" w:rsidRDefault="00106697" w:rsidP="00DC0079">
            <w:pPr>
              <w:overflowPunct w:val="0"/>
              <w:adjustRightInd w:val="0"/>
              <w:snapToGrid w:val="0"/>
              <w:spacing w:line="360" w:lineRule="auto"/>
              <w:ind w:firstLineChars="200" w:firstLine="560"/>
              <w:rPr>
                <w:kern w:val="0"/>
              </w:rPr>
            </w:pPr>
            <w:r w:rsidRPr="004D4ABF">
              <w:rPr>
                <w:noProof/>
                <w:kern w:val="0"/>
              </w:rPr>
              <w:lastRenderedPageBreak/>
              <w:drawing>
                <wp:inline distT="0" distB="0" distL="0" distR="0" wp14:anchorId="762B7FF2" wp14:editId="4E664752">
                  <wp:extent cx="1390650" cy="1660571"/>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6530" cy="1679534"/>
                          </a:xfrm>
                          <a:prstGeom prst="rect">
                            <a:avLst/>
                          </a:prstGeom>
                        </pic:spPr>
                      </pic:pic>
                    </a:graphicData>
                  </a:graphic>
                </wp:inline>
              </w:drawing>
            </w:r>
          </w:p>
        </w:tc>
        <w:tc>
          <w:tcPr>
            <w:tcW w:w="2758" w:type="dxa"/>
          </w:tcPr>
          <w:p w14:paraId="2B8E1E29" w14:textId="77777777" w:rsidR="00920E66" w:rsidRPr="004D4ABF" w:rsidRDefault="00106697" w:rsidP="00DC0079">
            <w:pPr>
              <w:overflowPunct w:val="0"/>
              <w:adjustRightInd w:val="0"/>
              <w:snapToGrid w:val="0"/>
              <w:spacing w:line="360" w:lineRule="auto"/>
              <w:ind w:firstLineChars="200" w:firstLine="560"/>
              <w:rPr>
                <w:kern w:val="0"/>
              </w:rPr>
            </w:pPr>
            <w:r w:rsidRPr="004D4ABF">
              <w:rPr>
                <w:noProof/>
                <w:kern w:val="0"/>
              </w:rPr>
              <w:drawing>
                <wp:inline distT="0" distB="0" distL="0" distR="0" wp14:anchorId="705DAE10" wp14:editId="3B0F20B3">
                  <wp:extent cx="1397000" cy="155305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16405" cy="1574628"/>
                          </a:xfrm>
                          <a:prstGeom prst="rect">
                            <a:avLst/>
                          </a:prstGeom>
                        </pic:spPr>
                      </pic:pic>
                    </a:graphicData>
                  </a:graphic>
                </wp:inline>
              </w:drawing>
            </w:r>
          </w:p>
        </w:tc>
        <w:tc>
          <w:tcPr>
            <w:tcW w:w="2601" w:type="dxa"/>
          </w:tcPr>
          <w:p w14:paraId="0627E291" w14:textId="77777777" w:rsidR="00920E66" w:rsidRPr="004D4ABF" w:rsidRDefault="00106697" w:rsidP="00DC0079">
            <w:pPr>
              <w:overflowPunct w:val="0"/>
              <w:adjustRightInd w:val="0"/>
              <w:snapToGrid w:val="0"/>
              <w:spacing w:line="360" w:lineRule="auto"/>
              <w:ind w:firstLineChars="200" w:firstLine="420"/>
              <w:rPr>
                <w:kern w:val="0"/>
              </w:rPr>
            </w:pPr>
            <w:r w:rsidRPr="004D4ABF">
              <w:rPr>
                <w:rFonts w:hint="eastAsia"/>
                <w:bCs/>
                <w:noProof/>
                <w:sz w:val="21"/>
                <w:szCs w:val="21"/>
              </w:rPr>
              <w:drawing>
                <wp:inline distT="0" distB="0" distL="0" distR="0" wp14:anchorId="6A12C222" wp14:editId="0371AD39">
                  <wp:extent cx="1377950" cy="1528182"/>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2310" cy="1555198"/>
                          </a:xfrm>
                          <a:prstGeom prst="rect">
                            <a:avLst/>
                          </a:prstGeom>
                        </pic:spPr>
                      </pic:pic>
                    </a:graphicData>
                  </a:graphic>
                </wp:inline>
              </w:drawing>
            </w:r>
          </w:p>
        </w:tc>
      </w:tr>
    </w:tbl>
    <w:p w14:paraId="78C269F3" w14:textId="095B1123" w:rsidR="00920E66" w:rsidRPr="004D4ABF" w:rsidRDefault="00106697" w:rsidP="00DC0079">
      <w:pPr>
        <w:overflowPunct w:val="0"/>
        <w:adjustRightInd w:val="0"/>
        <w:snapToGrid w:val="0"/>
        <w:spacing w:line="360" w:lineRule="auto"/>
        <w:ind w:firstLineChars="200" w:firstLine="400"/>
        <w:jc w:val="center"/>
        <w:rPr>
          <w:sz w:val="20"/>
          <w:szCs w:val="20"/>
        </w:rPr>
      </w:pPr>
      <w:bookmarkStart w:id="2" w:name="OLE_LINK28"/>
      <w:r w:rsidRPr="004D4ABF">
        <w:rPr>
          <w:sz w:val="20"/>
          <w:szCs w:val="20"/>
        </w:rPr>
        <w:t>Fig.</w:t>
      </w:r>
      <w:r w:rsidR="007E2107" w:rsidRPr="004D4ABF">
        <w:rPr>
          <w:sz w:val="20"/>
          <w:szCs w:val="20"/>
        </w:rPr>
        <w:t>3</w:t>
      </w:r>
      <w:r w:rsidRPr="004D4ABF">
        <w:rPr>
          <w:sz w:val="20"/>
          <w:szCs w:val="20"/>
        </w:rPr>
        <w:t xml:space="preserve"> The expression </w:t>
      </w:r>
      <w:r w:rsidR="00241E92" w:rsidRPr="004D4ABF">
        <w:rPr>
          <w:rFonts w:hint="eastAsia"/>
          <w:sz w:val="20"/>
          <w:szCs w:val="20"/>
        </w:rPr>
        <w:t xml:space="preserve">levels </w:t>
      </w:r>
      <w:r w:rsidRPr="004D4ABF">
        <w:rPr>
          <w:sz w:val="20"/>
          <w:szCs w:val="20"/>
        </w:rPr>
        <w:t>of miRNA-338-3p, miRNA-1250-5p</w:t>
      </w:r>
      <w:r w:rsidR="00241E92" w:rsidRPr="004D4ABF">
        <w:rPr>
          <w:rFonts w:hint="eastAsia"/>
          <w:sz w:val="20"/>
          <w:szCs w:val="20"/>
        </w:rPr>
        <w:t>,</w:t>
      </w:r>
      <w:r w:rsidRPr="004D4ABF">
        <w:rPr>
          <w:sz w:val="20"/>
          <w:szCs w:val="20"/>
        </w:rPr>
        <w:t xml:space="preserve"> and miRNA-3065-5p in PBMCs between </w:t>
      </w:r>
      <w:bookmarkStart w:id="3" w:name="OLE_LINK2"/>
      <w:r w:rsidR="00241E92" w:rsidRPr="004D4ABF">
        <w:rPr>
          <w:rFonts w:hint="eastAsia"/>
          <w:sz w:val="20"/>
          <w:szCs w:val="20"/>
        </w:rPr>
        <w:t xml:space="preserve">the </w:t>
      </w:r>
      <w:r w:rsidRPr="004D4ABF">
        <w:rPr>
          <w:sz w:val="20"/>
          <w:szCs w:val="20"/>
        </w:rPr>
        <w:t xml:space="preserve">experimental </w:t>
      </w:r>
      <w:bookmarkEnd w:id="3"/>
      <w:r w:rsidR="00EF466C" w:rsidRPr="004D4ABF">
        <w:rPr>
          <w:sz w:val="20"/>
          <w:szCs w:val="20"/>
        </w:rPr>
        <w:t>and control groups</w:t>
      </w:r>
      <w:r w:rsidRPr="004D4ABF">
        <w:rPr>
          <w:rFonts w:hint="eastAsia"/>
          <w:sz w:val="20"/>
          <w:szCs w:val="20"/>
        </w:rPr>
        <w:t>.</w:t>
      </w:r>
      <w:r w:rsidRPr="004D4ABF">
        <w:rPr>
          <w:sz w:val="20"/>
          <w:szCs w:val="20"/>
        </w:rPr>
        <w:t xml:space="preserve"> </w:t>
      </w:r>
    </w:p>
    <w:p w14:paraId="556779D3" w14:textId="6E113DD3" w:rsidR="00920E66" w:rsidRDefault="00106697" w:rsidP="00DC0079">
      <w:pPr>
        <w:overflowPunct w:val="0"/>
        <w:adjustRightInd w:val="0"/>
        <w:snapToGrid w:val="0"/>
        <w:spacing w:line="360" w:lineRule="auto"/>
        <w:ind w:firstLineChars="200" w:firstLine="400"/>
        <w:rPr>
          <w:sz w:val="20"/>
          <w:szCs w:val="20"/>
        </w:rPr>
      </w:pPr>
      <w:r w:rsidRPr="004D4ABF">
        <w:rPr>
          <w:sz w:val="20"/>
          <w:szCs w:val="20"/>
        </w:rPr>
        <w:t>(A) The expression level of miRNA-338-3p in the experimental group was higher than in the control group</w:t>
      </w:r>
      <w:r w:rsidR="00EF466C" w:rsidRPr="004D4ABF">
        <w:rPr>
          <w:sz w:val="20"/>
          <w:szCs w:val="20"/>
        </w:rPr>
        <w:t>. However</w:t>
      </w:r>
      <w:r w:rsidR="00241E92" w:rsidRPr="004D4ABF">
        <w:rPr>
          <w:rFonts w:hint="eastAsia"/>
          <w:sz w:val="20"/>
          <w:szCs w:val="20"/>
        </w:rPr>
        <w:t>, this</w:t>
      </w:r>
      <w:r w:rsidRPr="004D4ABF">
        <w:rPr>
          <w:sz w:val="20"/>
          <w:szCs w:val="20"/>
        </w:rPr>
        <w:t xml:space="preserve"> difference was not statistically significant. (B) The expression level of miRNA-1250-5p in the experimental group was higher than that in the control group, and the difference between the two groups was statistically significant.</w:t>
      </w:r>
      <w:r w:rsidR="00241E92" w:rsidRPr="004D4ABF">
        <w:rPr>
          <w:rFonts w:hint="eastAsia"/>
          <w:sz w:val="20"/>
          <w:szCs w:val="20"/>
        </w:rPr>
        <w:t xml:space="preserve"> </w:t>
      </w:r>
      <w:r w:rsidRPr="004D4ABF">
        <w:rPr>
          <w:sz w:val="20"/>
          <w:szCs w:val="20"/>
        </w:rPr>
        <w:t>(C) The expression level of miRNA-3065-5p in the experimental group was</w:t>
      </w:r>
      <w:r w:rsidR="00241E92" w:rsidRPr="004D4ABF">
        <w:rPr>
          <w:rFonts w:hint="eastAsia"/>
          <w:sz w:val="20"/>
          <w:szCs w:val="20"/>
        </w:rPr>
        <w:t xml:space="preserve"> also</w:t>
      </w:r>
      <w:r w:rsidRPr="004D4ABF">
        <w:rPr>
          <w:sz w:val="20"/>
          <w:szCs w:val="20"/>
        </w:rPr>
        <w:t xml:space="preserve"> higher than in the control group, </w:t>
      </w:r>
      <w:r w:rsidR="00416F37" w:rsidRPr="004D4ABF">
        <w:rPr>
          <w:rFonts w:hint="eastAsia"/>
          <w:sz w:val="20"/>
          <w:szCs w:val="20"/>
        </w:rPr>
        <w:t xml:space="preserve">with a statistically significant difference </w:t>
      </w:r>
      <w:r w:rsidR="00EF466C" w:rsidRPr="004D4ABF">
        <w:rPr>
          <w:sz w:val="20"/>
          <w:szCs w:val="20"/>
        </w:rPr>
        <w:t>observed between</w:t>
      </w:r>
      <w:r w:rsidRPr="004D4ABF">
        <w:rPr>
          <w:sz w:val="20"/>
          <w:szCs w:val="20"/>
        </w:rPr>
        <w:t xml:space="preserve"> the two groups</w:t>
      </w:r>
      <w:r w:rsidRPr="004D4ABF">
        <w:rPr>
          <w:rFonts w:hint="eastAsia"/>
          <w:sz w:val="20"/>
          <w:szCs w:val="20"/>
        </w:rPr>
        <w:t>.</w:t>
      </w:r>
      <w:r w:rsidRPr="004D4ABF">
        <w:rPr>
          <w:sz w:val="20"/>
          <w:szCs w:val="20"/>
        </w:rPr>
        <w:t xml:space="preserve"> *P&lt;0.05,**P&lt;0.01</w:t>
      </w:r>
      <w:r w:rsidRPr="004D4ABF">
        <w:rPr>
          <w:rFonts w:hint="eastAsia"/>
          <w:sz w:val="20"/>
          <w:szCs w:val="20"/>
        </w:rPr>
        <w:t>,</w:t>
      </w:r>
      <w:r w:rsidRPr="004D4ABF">
        <w:rPr>
          <w:sz w:val="20"/>
          <w:szCs w:val="20"/>
        </w:rPr>
        <w:t>***P&lt;0.001</w:t>
      </w:r>
    </w:p>
    <w:p w14:paraId="7F8AC584" w14:textId="77777777" w:rsidR="00653A8D" w:rsidRPr="004D4ABF" w:rsidRDefault="00653A8D" w:rsidP="00DC0079">
      <w:pPr>
        <w:overflowPunct w:val="0"/>
        <w:adjustRightInd w:val="0"/>
        <w:snapToGrid w:val="0"/>
        <w:spacing w:line="360" w:lineRule="auto"/>
        <w:ind w:firstLineChars="200" w:firstLine="400"/>
        <w:rPr>
          <w:sz w:val="20"/>
          <w:szCs w:val="20"/>
        </w:rPr>
      </w:pPr>
    </w:p>
    <w:bookmarkEnd w:id="2"/>
    <w:p w14:paraId="13126A56" w14:textId="7D8A40FF" w:rsidR="00920E66" w:rsidRPr="004D4ABF" w:rsidRDefault="00106697" w:rsidP="00DC0079">
      <w:pPr>
        <w:overflowPunct w:val="0"/>
        <w:autoSpaceDE w:val="0"/>
        <w:autoSpaceDN w:val="0"/>
        <w:adjustRightInd w:val="0"/>
        <w:snapToGrid w:val="0"/>
        <w:spacing w:line="360" w:lineRule="auto"/>
        <w:ind w:firstLineChars="200" w:firstLine="400"/>
        <w:jc w:val="center"/>
        <w:rPr>
          <w:sz w:val="20"/>
          <w:szCs w:val="20"/>
        </w:rPr>
      </w:pPr>
      <w:r w:rsidRPr="004D4ABF">
        <w:rPr>
          <w:sz w:val="20"/>
          <w:szCs w:val="20"/>
        </w:rPr>
        <w:t>Tab1e</w:t>
      </w:r>
      <w:r w:rsidR="00653A8D">
        <w:rPr>
          <w:rFonts w:hint="eastAsia"/>
          <w:sz w:val="20"/>
          <w:szCs w:val="20"/>
        </w:rPr>
        <w:t xml:space="preserve"> </w:t>
      </w:r>
      <w:r w:rsidR="001E3275" w:rsidRPr="004D4ABF">
        <w:rPr>
          <w:rFonts w:hint="eastAsia"/>
          <w:sz w:val="20"/>
          <w:szCs w:val="20"/>
        </w:rPr>
        <w:t>4</w:t>
      </w:r>
      <w:r w:rsidRPr="004D4ABF">
        <w:rPr>
          <w:sz w:val="20"/>
          <w:szCs w:val="20"/>
        </w:rPr>
        <w:t xml:space="preserve"> </w:t>
      </w:r>
      <w:r w:rsidRPr="004D4ABF">
        <w:rPr>
          <w:rFonts w:hint="eastAsia"/>
          <w:sz w:val="20"/>
          <w:szCs w:val="20"/>
        </w:rPr>
        <w:t xml:space="preserve"> </w:t>
      </w:r>
      <w:bookmarkStart w:id="4" w:name="OLE_LINK31"/>
      <w:r w:rsidRPr="004D4ABF">
        <w:rPr>
          <w:sz w:val="20"/>
          <w:szCs w:val="20"/>
        </w:rPr>
        <w:t>The analysis of</w:t>
      </w:r>
      <w:r w:rsidR="005C338F" w:rsidRPr="004D4ABF">
        <w:rPr>
          <w:rFonts w:hint="eastAsia"/>
          <w:sz w:val="20"/>
          <w:szCs w:val="20"/>
        </w:rPr>
        <w:t xml:space="preserve"> the expression levels of</w:t>
      </w:r>
      <w:r w:rsidRPr="004D4ABF">
        <w:rPr>
          <w:sz w:val="20"/>
          <w:szCs w:val="20"/>
        </w:rPr>
        <w:t xml:space="preserve"> miRNA-338-3p, miRNA-1250-5p</w:t>
      </w:r>
      <w:r w:rsidR="005C338F" w:rsidRPr="004D4ABF">
        <w:rPr>
          <w:rFonts w:hint="eastAsia"/>
          <w:sz w:val="20"/>
          <w:szCs w:val="20"/>
        </w:rPr>
        <w:t>,</w:t>
      </w:r>
      <w:r w:rsidRPr="004D4ABF">
        <w:rPr>
          <w:sz w:val="20"/>
          <w:szCs w:val="20"/>
        </w:rPr>
        <w:t xml:space="preserve"> and miRNA-3065-5p in</w:t>
      </w:r>
      <w:r w:rsidR="005C338F" w:rsidRPr="004D4ABF">
        <w:rPr>
          <w:rFonts w:hint="eastAsia"/>
          <w:sz w:val="20"/>
          <w:szCs w:val="20"/>
        </w:rPr>
        <w:t xml:space="preserve"> the</w:t>
      </w:r>
      <w:r w:rsidRPr="004D4ABF">
        <w:rPr>
          <w:sz w:val="20"/>
          <w:szCs w:val="20"/>
        </w:rPr>
        <w:t xml:space="preserve"> experimental grou</w:t>
      </w:r>
      <w:r w:rsidRPr="004D4ABF">
        <w:rPr>
          <w:bCs/>
          <w:sz w:val="21"/>
          <w:szCs w:val="21"/>
        </w:rPr>
        <w:t>p</w:t>
      </w:r>
      <w:bookmarkEnd w:id="4"/>
    </w:p>
    <w:tbl>
      <w:tblPr>
        <w:tblStyle w:val="11"/>
        <w:tblW w:w="9767" w:type="dxa"/>
        <w:jc w:val="center"/>
        <w:tblLayout w:type="fixed"/>
        <w:tblLook w:val="04A0" w:firstRow="1" w:lastRow="0" w:firstColumn="1" w:lastColumn="0" w:noHBand="0" w:noVBand="1"/>
      </w:tblPr>
      <w:tblGrid>
        <w:gridCol w:w="1056"/>
        <w:gridCol w:w="2012"/>
        <w:gridCol w:w="1233"/>
        <w:gridCol w:w="1146"/>
        <w:gridCol w:w="857"/>
        <w:gridCol w:w="899"/>
        <w:gridCol w:w="985"/>
        <w:gridCol w:w="772"/>
        <w:gridCol w:w="807"/>
      </w:tblGrid>
      <w:tr w:rsidR="00920E66" w:rsidRPr="004D4ABF" w14:paraId="5B6334D6" w14:textId="77777777" w:rsidTr="00DC0079">
        <w:trPr>
          <w:cnfStyle w:val="100000000000" w:firstRow="1" w:lastRow="0" w:firstColumn="0" w:lastColumn="0" w:oddVBand="0" w:evenVBand="0" w:oddHBand="0" w:evenHBand="0" w:firstRowFirstColumn="0" w:firstRowLastColumn="0" w:lastRowFirstColumn="0" w:lastRowLastColumn="0"/>
          <w:jc w:val="center"/>
        </w:trPr>
        <w:tc>
          <w:tcPr>
            <w:tcW w:w="3068" w:type="dxa"/>
            <w:gridSpan w:val="2"/>
            <w:vMerge w:val="restart"/>
            <w:vAlign w:val="center"/>
          </w:tcPr>
          <w:p w14:paraId="44862D9F" w14:textId="77777777" w:rsidR="00920E66" w:rsidRPr="004D4ABF" w:rsidRDefault="00106697" w:rsidP="00DC0079">
            <w:pPr>
              <w:overflowPunct w:val="0"/>
              <w:autoSpaceDE w:val="0"/>
              <w:autoSpaceDN w:val="0"/>
              <w:adjustRightInd w:val="0"/>
              <w:snapToGrid w:val="0"/>
              <w:spacing w:before="78" w:after="78" w:line="360" w:lineRule="auto"/>
              <w:ind w:leftChars="-229" w:left="-641" w:firstLineChars="200" w:firstLine="360"/>
              <w:jc w:val="center"/>
              <w:rPr>
                <w:sz w:val="18"/>
                <w:szCs w:val="18"/>
              </w:rPr>
            </w:pPr>
            <w:r w:rsidRPr="004D4ABF">
              <w:rPr>
                <w:rFonts w:hint="eastAsia"/>
                <w:sz w:val="18"/>
                <w:szCs w:val="18"/>
              </w:rPr>
              <w:t>V</w:t>
            </w:r>
            <w:r w:rsidRPr="004D4ABF">
              <w:rPr>
                <w:sz w:val="18"/>
                <w:szCs w:val="18"/>
              </w:rPr>
              <w:t>ariables</w:t>
            </w:r>
          </w:p>
        </w:tc>
        <w:tc>
          <w:tcPr>
            <w:tcW w:w="6699" w:type="dxa"/>
            <w:gridSpan w:val="7"/>
          </w:tcPr>
          <w:p w14:paraId="6A91186E"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jc w:val="center"/>
              <w:rPr>
                <w:sz w:val="18"/>
                <w:szCs w:val="18"/>
              </w:rPr>
            </w:pPr>
            <w:r w:rsidRPr="004D4ABF">
              <w:rPr>
                <w:kern w:val="0"/>
                <w:sz w:val="18"/>
                <w:szCs w:val="18"/>
              </w:rPr>
              <w:t>Experimental group</w:t>
            </w:r>
            <w:r w:rsidRPr="004D4ABF">
              <w:rPr>
                <w:sz w:val="18"/>
                <w:szCs w:val="18"/>
              </w:rPr>
              <w:t>（</w:t>
            </w:r>
            <w:r w:rsidRPr="004D4ABF">
              <w:rPr>
                <w:i/>
                <w:iCs/>
                <w:sz w:val="18"/>
                <w:szCs w:val="18"/>
              </w:rPr>
              <w:t>n</w:t>
            </w:r>
            <w:r w:rsidRPr="004D4ABF">
              <w:rPr>
                <w:sz w:val="18"/>
                <w:szCs w:val="18"/>
              </w:rPr>
              <w:t>=83</w:t>
            </w:r>
            <w:r w:rsidRPr="004D4ABF">
              <w:rPr>
                <w:sz w:val="18"/>
                <w:szCs w:val="18"/>
              </w:rPr>
              <w:t>）</w:t>
            </w:r>
          </w:p>
        </w:tc>
      </w:tr>
      <w:tr w:rsidR="00920E66" w:rsidRPr="004D4ABF" w14:paraId="06B86BA2" w14:textId="77777777" w:rsidTr="001B4C93">
        <w:trPr>
          <w:jc w:val="center"/>
        </w:trPr>
        <w:tc>
          <w:tcPr>
            <w:tcW w:w="3068" w:type="dxa"/>
            <w:gridSpan w:val="2"/>
            <w:vMerge/>
          </w:tcPr>
          <w:p w14:paraId="07EEDFC5"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sz w:val="18"/>
                <w:szCs w:val="18"/>
              </w:rPr>
            </w:pPr>
          </w:p>
        </w:tc>
        <w:tc>
          <w:tcPr>
            <w:tcW w:w="2379" w:type="dxa"/>
            <w:gridSpan w:val="2"/>
            <w:tcBorders>
              <w:bottom w:val="single" w:sz="4" w:space="0" w:color="auto"/>
            </w:tcBorders>
          </w:tcPr>
          <w:p w14:paraId="720B3CDD" w14:textId="77777777" w:rsidR="00920E66" w:rsidRPr="004D4ABF" w:rsidRDefault="00106697" w:rsidP="00DC0079">
            <w:pPr>
              <w:overflowPunct w:val="0"/>
              <w:autoSpaceDE w:val="0"/>
              <w:autoSpaceDN w:val="0"/>
              <w:adjustRightInd w:val="0"/>
              <w:snapToGrid w:val="0"/>
              <w:spacing w:before="78" w:after="78" w:line="360" w:lineRule="auto"/>
              <w:ind w:firstLineChars="100" w:firstLine="180"/>
              <w:rPr>
                <w:sz w:val="18"/>
                <w:szCs w:val="18"/>
              </w:rPr>
            </w:pPr>
            <w:r w:rsidRPr="004D4ABF">
              <w:rPr>
                <w:sz w:val="18"/>
                <w:szCs w:val="18"/>
              </w:rPr>
              <w:t>miRNA</w:t>
            </w:r>
            <w:r w:rsidRPr="004D4ABF">
              <w:rPr>
                <w:rStyle w:val="15"/>
                <w:rFonts w:ascii="Times New Roman" w:hAnsi="Times New Roman"/>
                <w:b w:val="0"/>
                <w:bCs w:val="0"/>
                <w:sz w:val="18"/>
                <w:szCs w:val="18"/>
              </w:rPr>
              <w:t>-338-3p</w:t>
            </w:r>
          </w:p>
        </w:tc>
        <w:tc>
          <w:tcPr>
            <w:tcW w:w="1756" w:type="dxa"/>
            <w:gridSpan w:val="2"/>
            <w:tcBorders>
              <w:bottom w:val="single" w:sz="4" w:space="0" w:color="auto"/>
            </w:tcBorders>
          </w:tcPr>
          <w:p w14:paraId="342AE23F" w14:textId="77777777" w:rsidR="00920E66" w:rsidRPr="004D4ABF" w:rsidRDefault="00106697" w:rsidP="00DC0079">
            <w:pPr>
              <w:overflowPunct w:val="0"/>
              <w:autoSpaceDE w:val="0"/>
              <w:autoSpaceDN w:val="0"/>
              <w:adjustRightInd w:val="0"/>
              <w:snapToGrid w:val="0"/>
              <w:spacing w:before="78" w:after="78" w:line="360" w:lineRule="auto"/>
              <w:ind w:firstLineChars="100" w:firstLine="180"/>
              <w:rPr>
                <w:sz w:val="18"/>
                <w:szCs w:val="18"/>
              </w:rPr>
            </w:pPr>
            <w:r w:rsidRPr="004D4ABF">
              <w:rPr>
                <w:rStyle w:val="15"/>
                <w:rFonts w:ascii="Times New Roman" w:hAnsi="Times New Roman"/>
                <w:b w:val="0"/>
                <w:bCs w:val="0"/>
                <w:sz w:val="18"/>
                <w:szCs w:val="18"/>
              </w:rPr>
              <w:t>miRNA-1250-5p</w:t>
            </w:r>
          </w:p>
        </w:tc>
        <w:tc>
          <w:tcPr>
            <w:tcW w:w="1757" w:type="dxa"/>
            <w:gridSpan w:val="2"/>
            <w:tcBorders>
              <w:bottom w:val="single" w:sz="4" w:space="0" w:color="auto"/>
            </w:tcBorders>
          </w:tcPr>
          <w:p w14:paraId="6C365D61" w14:textId="77777777" w:rsidR="00920E66" w:rsidRPr="004D4ABF" w:rsidRDefault="00106697" w:rsidP="00DC0079">
            <w:pPr>
              <w:overflowPunct w:val="0"/>
              <w:autoSpaceDE w:val="0"/>
              <w:autoSpaceDN w:val="0"/>
              <w:adjustRightInd w:val="0"/>
              <w:snapToGrid w:val="0"/>
              <w:spacing w:before="78" w:after="78" w:line="360" w:lineRule="auto"/>
              <w:ind w:firstLineChars="100" w:firstLine="180"/>
              <w:rPr>
                <w:sz w:val="18"/>
                <w:szCs w:val="18"/>
              </w:rPr>
            </w:pPr>
            <w:r w:rsidRPr="004D4ABF">
              <w:rPr>
                <w:rStyle w:val="15"/>
                <w:rFonts w:ascii="Times New Roman" w:hAnsi="Times New Roman"/>
                <w:b w:val="0"/>
                <w:bCs w:val="0"/>
                <w:sz w:val="18"/>
                <w:szCs w:val="18"/>
              </w:rPr>
              <w:t>miRNA-3065-5p</w:t>
            </w:r>
          </w:p>
        </w:tc>
        <w:tc>
          <w:tcPr>
            <w:tcW w:w="807" w:type="dxa"/>
          </w:tcPr>
          <w:p w14:paraId="7CA951EA"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sz w:val="18"/>
                <w:szCs w:val="18"/>
              </w:rPr>
            </w:pPr>
            <w:r w:rsidRPr="004D4ABF">
              <w:rPr>
                <w:i/>
                <w:iCs/>
                <w:sz w:val="18"/>
                <w:szCs w:val="18"/>
              </w:rPr>
              <w:t>P</w:t>
            </w:r>
          </w:p>
        </w:tc>
      </w:tr>
      <w:tr w:rsidR="00920E66" w:rsidRPr="004D4ABF" w14:paraId="6D8E553F" w14:textId="77777777" w:rsidTr="001B4C93">
        <w:trPr>
          <w:jc w:val="center"/>
        </w:trPr>
        <w:tc>
          <w:tcPr>
            <w:tcW w:w="3068" w:type="dxa"/>
            <w:gridSpan w:val="2"/>
            <w:vMerge/>
            <w:tcBorders>
              <w:bottom w:val="single" w:sz="4" w:space="0" w:color="auto"/>
            </w:tcBorders>
          </w:tcPr>
          <w:p w14:paraId="6C05CF6F"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c>
          <w:tcPr>
            <w:tcW w:w="1233" w:type="dxa"/>
            <w:tcBorders>
              <w:top w:val="single" w:sz="4" w:space="0" w:color="auto"/>
              <w:bottom w:val="single" w:sz="4" w:space="0" w:color="auto"/>
            </w:tcBorders>
          </w:tcPr>
          <w:p w14:paraId="35F3CE42"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sz w:val="18"/>
                <w:szCs w:val="18"/>
              </w:rPr>
            </w:pPr>
            <w:r w:rsidRPr="004D4ABF">
              <w:rPr>
                <w:noProof/>
                <w:sz w:val="18"/>
                <w:szCs w:val="18"/>
              </w:rPr>
              <w:drawing>
                <wp:inline distT="0" distB="0" distL="0" distR="0" wp14:anchorId="7F44CE3F" wp14:editId="0DA94BBD">
                  <wp:extent cx="117475" cy="1174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17475" cy="117475"/>
                          </a:xfrm>
                          <a:prstGeom prst="rect">
                            <a:avLst/>
                          </a:prstGeom>
                          <a:noFill/>
                          <a:ln>
                            <a:noFill/>
                          </a:ln>
                        </pic:spPr>
                      </pic:pic>
                    </a:graphicData>
                  </a:graphic>
                </wp:inline>
              </w:drawing>
            </w:r>
            <w:r w:rsidRPr="004D4ABF">
              <w:rPr>
                <w:sz w:val="18"/>
                <w:szCs w:val="18"/>
              </w:rPr>
              <w:t>±</w:t>
            </w:r>
            <w:r w:rsidRPr="004D4ABF">
              <w:rPr>
                <w:i/>
                <w:sz w:val="18"/>
                <w:szCs w:val="18"/>
              </w:rPr>
              <w:t>s</w:t>
            </w:r>
          </w:p>
        </w:tc>
        <w:tc>
          <w:tcPr>
            <w:tcW w:w="1146" w:type="dxa"/>
            <w:tcBorders>
              <w:top w:val="single" w:sz="4" w:space="0" w:color="auto"/>
              <w:bottom w:val="single" w:sz="4" w:space="0" w:color="auto"/>
            </w:tcBorders>
          </w:tcPr>
          <w:p w14:paraId="653C9A68"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sz w:val="18"/>
                <w:szCs w:val="18"/>
              </w:rPr>
            </w:pPr>
            <w:r w:rsidRPr="004D4ABF">
              <w:rPr>
                <w:i/>
                <w:iCs/>
                <w:sz w:val="18"/>
                <w:szCs w:val="18"/>
              </w:rPr>
              <w:t>P</w:t>
            </w:r>
          </w:p>
        </w:tc>
        <w:tc>
          <w:tcPr>
            <w:tcW w:w="857" w:type="dxa"/>
            <w:tcBorders>
              <w:top w:val="single" w:sz="4" w:space="0" w:color="auto"/>
              <w:bottom w:val="single" w:sz="4" w:space="0" w:color="auto"/>
            </w:tcBorders>
          </w:tcPr>
          <w:p w14:paraId="60FC7F37" w14:textId="77777777" w:rsidR="00920E66" w:rsidRPr="004D4ABF" w:rsidRDefault="00106697" w:rsidP="00DC0079">
            <w:pPr>
              <w:overflowPunct w:val="0"/>
              <w:autoSpaceDE w:val="0"/>
              <w:autoSpaceDN w:val="0"/>
              <w:adjustRightInd w:val="0"/>
              <w:snapToGrid w:val="0"/>
              <w:spacing w:before="78" w:after="78" w:line="360" w:lineRule="auto"/>
              <w:rPr>
                <w:sz w:val="18"/>
                <w:szCs w:val="18"/>
              </w:rPr>
            </w:pPr>
            <w:r w:rsidRPr="004D4ABF">
              <w:rPr>
                <w:noProof/>
                <w:sz w:val="18"/>
                <w:szCs w:val="18"/>
              </w:rPr>
              <w:drawing>
                <wp:inline distT="0" distB="0" distL="0" distR="0" wp14:anchorId="32CB4716" wp14:editId="3B72DE06">
                  <wp:extent cx="117475" cy="1174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17475" cy="117475"/>
                          </a:xfrm>
                          <a:prstGeom prst="rect">
                            <a:avLst/>
                          </a:prstGeom>
                          <a:noFill/>
                          <a:ln>
                            <a:noFill/>
                          </a:ln>
                        </pic:spPr>
                      </pic:pic>
                    </a:graphicData>
                  </a:graphic>
                </wp:inline>
              </w:drawing>
            </w:r>
            <w:r w:rsidRPr="004D4ABF">
              <w:rPr>
                <w:sz w:val="18"/>
                <w:szCs w:val="18"/>
              </w:rPr>
              <w:t>±</w:t>
            </w:r>
            <w:r w:rsidRPr="004D4ABF">
              <w:rPr>
                <w:i/>
                <w:sz w:val="18"/>
                <w:szCs w:val="18"/>
              </w:rPr>
              <w:t>s</w:t>
            </w:r>
          </w:p>
        </w:tc>
        <w:tc>
          <w:tcPr>
            <w:tcW w:w="899" w:type="dxa"/>
            <w:tcBorders>
              <w:top w:val="single" w:sz="4" w:space="0" w:color="auto"/>
              <w:bottom w:val="single" w:sz="4" w:space="0" w:color="auto"/>
            </w:tcBorders>
          </w:tcPr>
          <w:p w14:paraId="51A94F59"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sz w:val="18"/>
                <w:szCs w:val="18"/>
              </w:rPr>
            </w:pPr>
            <w:r w:rsidRPr="004D4ABF">
              <w:rPr>
                <w:i/>
                <w:iCs/>
                <w:sz w:val="18"/>
                <w:szCs w:val="18"/>
              </w:rPr>
              <w:t>P</w:t>
            </w:r>
          </w:p>
        </w:tc>
        <w:tc>
          <w:tcPr>
            <w:tcW w:w="985" w:type="dxa"/>
            <w:tcBorders>
              <w:top w:val="single" w:sz="4" w:space="0" w:color="auto"/>
              <w:bottom w:val="single" w:sz="4" w:space="0" w:color="auto"/>
            </w:tcBorders>
          </w:tcPr>
          <w:p w14:paraId="6755F886"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sz w:val="18"/>
                <w:szCs w:val="18"/>
              </w:rPr>
            </w:pPr>
            <w:r w:rsidRPr="004D4ABF">
              <w:rPr>
                <w:noProof/>
                <w:sz w:val="18"/>
                <w:szCs w:val="18"/>
              </w:rPr>
              <w:drawing>
                <wp:inline distT="0" distB="0" distL="0" distR="0" wp14:anchorId="40BC6D83" wp14:editId="17C2128F">
                  <wp:extent cx="117475" cy="1174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17475" cy="117475"/>
                          </a:xfrm>
                          <a:prstGeom prst="rect">
                            <a:avLst/>
                          </a:prstGeom>
                          <a:noFill/>
                          <a:ln>
                            <a:noFill/>
                          </a:ln>
                        </pic:spPr>
                      </pic:pic>
                    </a:graphicData>
                  </a:graphic>
                </wp:inline>
              </w:drawing>
            </w:r>
            <w:r w:rsidRPr="004D4ABF">
              <w:rPr>
                <w:sz w:val="18"/>
                <w:szCs w:val="18"/>
              </w:rPr>
              <w:t>±</w:t>
            </w:r>
            <w:r w:rsidRPr="004D4ABF">
              <w:rPr>
                <w:i/>
                <w:sz w:val="18"/>
                <w:szCs w:val="18"/>
              </w:rPr>
              <w:t>s</w:t>
            </w:r>
          </w:p>
        </w:tc>
        <w:tc>
          <w:tcPr>
            <w:tcW w:w="772" w:type="dxa"/>
            <w:tcBorders>
              <w:top w:val="single" w:sz="4" w:space="0" w:color="auto"/>
              <w:bottom w:val="single" w:sz="4" w:space="0" w:color="auto"/>
            </w:tcBorders>
          </w:tcPr>
          <w:p w14:paraId="682C1BCC"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sz w:val="18"/>
                <w:szCs w:val="18"/>
              </w:rPr>
            </w:pPr>
            <w:r w:rsidRPr="004D4ABF">
              <w:rPr>
                <w:i/>
                <w:iCs/>
                <w:sz w:val="18"/>
                <w:szCs w:val="18"/>
              </w:rPr>
              <w:t>P</w:t>
            </w:r>
          </w:p>
        </w:tc>
        <w:tc>
          <w:tcPr>
            <w:tcW w:w="807" w:type="dxa"/>
            <w:tcBorders>
              <w:bottom w:val="single" w:sz="4" w:space="0" w:color="auto"/>
            </w:tcBorders>
          </w:tcPr>
          <w:p w14:paraId="7F334942"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r>
      <w:tr w:rsidR="00920E66" w:rsidRPr="004D4ABF" w14:paraId="5D531528" w14:textId="77777777" w:rsidTr="001B4C93">
        <w:trPr>
          <w:jc w:val="center"/>
        </w:trPr>
        <w:tc>
          <w:tcPr>
            <w:tcW w:w="1056" w:type="dxa"/>
            <w:vMerge w:val="restart"/>
            <w:tcBorders>
              <w:top w:val="single" w:sz="4" w:space="0" w:color="auto"/>
            </w:tcBorders>
          </w:tcPr>
          <w:p w14:paraId="08693DDD"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sz w:val="18"/>
                <w:szCs w:val="18"/>
              </w:rPr>
              <w:t>Age</w:t>
            </w:r>
          </w:p>
        </w:tc>
        <w:tc>
          <w:tcPr>
            <w:tcW w:w="2012" w:type="dxa"/>
            <w:tcBorders>
              <w:top w:val="single" w:sz="4" w:space="0" w:color="auto"/>
              <w:bottom w:val="nil"/>
            </w:tcBorders>
          </w:tcPr>
          <w:p w14:paraId="559795E5" w14:textId="77777777" w:rsidR="00DC0079"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rFonts w:hint="eastAsia"/>
                <w:sz w:val="18"/>
                <w:szCs w:val="18"/>
              </w:rPr>
              <w:t>≤</w:t>
            </w:r>
            <w:r w:rsidRPr="004D4ABF">
              <w:rPr>
                <w:rFonts w:hint="eastAsia"/>
                <w:sz w:val="18"/>
                <w:szCs w:val="18"/>
              </w:rPr>
              <w:t>4</w:t>
            </w:r>
            <w:r w:rsidRPr="004D4ABF">
              <w:rPr>
                <w:sz w:val="18"/>
                <w:szCs w:val="18"/>
              </w:rPr>
              <w:t>5</w:t>
            </w:r>
            <w:r w:rsidRPr="004D4ABF">
              <w:rPr>
                <w:bCs/>
                <w:sz w:val="18"/>
                <w:szCs w:val="18"/>
              </w:rPr>
              <w:t xml:space="preserve"> year</w:t>
            </w:r>
          </w:p>
          <w:p w14:paraId="4876F105" w14:textId="4D6C7A2B"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(5,6.0%)</w:t>
            </w:r>
          </w:p>
        </w:tc>
        <w:tc>
          <w:tcPr>
            <w:tcW w:w="1233" w:type="dxa"/>
            <w:tcBorders>
              <w:top w:val="single" w:sz="4" w:space="0" w:color="auto"/>
              <w:bottom w:val="nil"/>
            </w:tcBorders>
          </w:tcPr>
          <w:p w14:paraId="16092D54"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2.0±1.0</w:t>
            </w:r>
          </w:p>
        </w:tc>
        <w:tc>
          <w:tcPr>
            <w:tcW w:w="1146" w:type="dxa"/>
            <w:tcBorders>
              <w:top w:val="single" w:sz="4" w:space="0" w:color="auto"/>
              <w:bottom w:val="nil"/>
            </w:tcBorders>
          </w:tcPr>
          <w:p w14:paraId="791CA131" w14:textId="587D6FA0"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0.248</w:t>
            </w:r>
          </w:p>
        </w:tc>
        <w:tc>
          <w:tcPr>
            <w:tcW w:w="857" w:type="dxa"/>
            <w:tcBorders>
              <w:top w:val="single" w:sz="4" w:space="0" w:color="auto"/>
              <w:bottom w:val="nil"/>
            </w:tcBorders>
          </w:tcPr>
          <w:p w14:paraId="5A60BF0C"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1.1±0.7</w:t>
            </w:r>
          </w:p>
        </w:tc>
        <w:tc>
          <w:tcPr>
            <w:tcW w:w="899" w:type="dxa"/>
            <w:tcBorders>
              <w:top w:val="single" w:sz="4" w:space="0" w:color="auto"/>
              <w:bottom w:val="nil"/>
            </w:tcBorders>
          </w:tcPr>
          <w:p w14:paraId="4C8E1F14" w14:textId="591F37B0"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0.126</w:t>
            </w:r>
          </w:p>
        </w:tc>
        <w:tc>
          <w:tcPr>
            <w:tcW w:w="985" w:type="dxa"/>
            <w:tcBorders>
              <w:top w:val="single" w:sz="4" w:space="0" w:color="auto"/>
              <w:bottom w:val="nil"/>
            </w:tcBorders>
          </w:tcPr>
          <w:p w14:paraId="034B1571"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2.6±0.9</w:t>
            </w:r>
          </w:p>
        </w:tc>
        <w:tc>
          <w:tcPr>
            <w:tcW w:w="772" w:type="dxa"/>
            <w:tcBorders>
              <w:top w:val="single" w:sz="4" w:space="0" w:color="auto"/>
              <w:bottom w:val="nil"/>
            </w:tcBorders>
          </w:tcPr>
          <w:p w14:paraId="728234FD" w14:textId="208F7C84"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0.533</w:t>
            </w:r>
          </w:p>
        </w:tc>
        <w:tc>
          <w:tcPr>
            <w:tcW w:w="807" w:type="dxa"/>
            <w:tcBorders>
              <w:top w:val="single" w:sz="4" w:space="0" w:color="auto"/>
              <w:bottom w:val="nil"/>
            </w:tcBorders>
          </w:tcPr>
          <w:p w14:paraId="0837BCCF" w14:textId="2A1BE8AE"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0.714</w:t>
            </w:r>
          </w:p>
        </w:tc>
      </w:tr>
      <w:tr w:rsidR="00920E66" w:rsidRPr="004D4ABF" w14:paraId="12F8EA26" w14:textId="77777777" w:rsidTr="001B4C93">
        <w:trPr>
          <w:jc w:val="center"/>
        </w:trPr>
        <w:tc>
          <w:tcPr>
            <w:tcW w:w="1056" w:type="dxa"/>
            <w:vMerge/>
          </w:tcPr>
          <w:p w14:paraId="575F9611"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c>
          <w:tcPr>
            <w:tcW w:w="2012" w:type="dxa"/>
            <w:tcBorders>
              <w:top w:val="nil"/>
            </w:tcBorders>
          </w:tcPr>
          <w:p w14:paraId="43D3FDDD" w14:textId="77777777" w:rsidR="00DC0079"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rFonts w:hint="eastAsia"/>
                <w:sz w:val="18"/>
                <w:szCs w:val="18"/>
              </w:rPr>
              <w:t>＞</w:t>
            </w:r>
            <w:r w:rsidRPr="004D4ABF">
              <w:rPr>
                <w:rFonts w:hint="eastAsia"/>
                <w:sz w:val="18"/>
                <w:szCs w:val="18"/>
              </w:rPr>
              <w:t>4</w:t>
            </w:r>
            <w:r w:rsidRPr="004D4ABF">
              <w:rPr>
                <w:sz w:val="18"/>
                <w:szCs w:val="18"/>
              </w:rPr>
              <w:t>5</w:t>
            </w:r>
            <w:r w:rsidRPr="004D4ABF">
              <w:rPr>
                <w:bCs/>
                <w:sz w:val="18"/>
                <w:szCs w:val="18"/>
              </w:rPr>
              <w:t>year</w:t>
            </w:r>
          </w:p>
          <w:p w14:paraId="090CF1A8" w14:textId="335E4D9B"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(78,94.0%)</w:t>
            </w:r>
          </w:p>
        </w:tc>
        <w:tc>
          <w:tcPr>
            <w:tcW w:w="1233" w:type="dxa"/>
            <w:tcBorders>
              <w:top w:val="nil"/>
            </w:tcBorders>
          </w:tcPr>
          <w:p w14:paraId="509F6796"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1.9±2.0</w:t>
            </w:r>
          </w:p>
        </w:tc>
        <w:tc>
          <w:tcPr>
            <w:tcW w:w="1146" w:type="dxa"/>
            <w:tcBorders>
              <w:top w:val="nil"/>
            </w:tcBorders>
          </w:tcPr>
          <w:p w14:paraId="0E55D01E"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57" w:type="dxa"/>
            <w:tcBorders>
              <w:top w:val="nil"/>
            </w:tcBorders>
          </w:tcPr>
          <w:p w14:paraId="0D1DD496"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2.1±2.0</w:t>
            </w:r>
          </w:p>
        </w:tc>
        <w:tc>
          <w:tcPr>
            <w:tcW w:w="899" w:type="dxa"/>
            <w:tcBorders>
              <w:top w:val="nil"/>
            </w:tcBorders>
          </w:tcPr>
          <w:p w14:paraId="4C712F1F"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985" w:type="dxa"/>
            <w:tcBorders>
              <w:top w:val="nil"/>
            </w:tcBorders>
          </w:tcPr>
          <w:p w14:paraId="2D298DAE"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3.9±4.9</w:t>
            </w:r>
          </w:p>
        </w:tc>
        <w:tc>
          <w:tcPr>
            <w:tcW w:w="772" w:type="dxa"/>
            <w:tcBorders>
              <w:top w:val="nil"/>
            </w:tcBorders>
          </w:tcPr>
          <w:p w14:paraId="2E2D28C0"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07" w:type="dxa"/>
            <w:tcBorders>
              <w:top w:val="nil"/>
            </w:tcBorders>
          </w:tcPr>
          <w:p w14:paraId="15810DBE"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r>
      <w:tr w:rsidR="00920E66" w:rsidRPr="004D4ABF" w14:paraId="6F25E7CB" w14:textId="77777777" w:rsidTr="001B4C93">
        <w:trPr>
          <w:jc w:val="center"/>
        </w:trPr>
        <w:tc>
          <w:tcPr>
            <w:tcW w:w="1056" w:type="dxa"/>
            <w:vMerge w:val="restart"/>
          </w:tcPr>
          <w:p w14:paraId="723B6927" w14:textId="77777777" w:rsidR="00920E66" w:rsidRPr="004D4ABF" w:rsidRDefault="00106697" w:rsidP="00DC0079">
            <w:pPr>
              <w:overflowPunct w:val="0"/>
              <w:autoSpaceDE w:val="0"/>
              <w:autoSpaceDN w:val="0"/>
              <w:adjustRightInd w:val="0"/>
              <w:snapToGrid w:val="0"/>
              <w:spacing w:before="78" w:after="78" w:line="360" w:lineRule="auto"/>
              <w:rPr>
                <w:bCs/>
                <w:sz w:val="18"/>
                <w:szCs w:val="18"/>
              </w:rPr>
            </w:pPr>
            <w:r w:rsidRPr="004D4ABF">
              <w:rPr>
                <w:sz w:val="18"/>
                <w:szCs w:val="18"/>
              </w:rPr>
              <w:t>Course of disease</w:t>
            </w:r>
          </w:p>
        </w:tc>
        <w:tc>
          <w:tcPr>
            <w:tcW w:w="2012" w:type="dxa"/>
          </w:tcPr>
          <w:p w14:paraId="52458C04" w14:textId="77777777" w:rsidR="00DC0079"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 xml:space="preserve">≤24 </w:t>
            </w:r>
            <w:hyperlink r:id="rId20" w:history="1">
              <w:r w:rsidR="00DC0079" w:rsidRPr="004D4ABF">
                <w:rPr>
                  <w:sz w:val="18"/>
                  <w:szCs w:val="18"/>
                </w:rPr>
                <w:t>hour</w:t>
              </w:r>
            </w:hyperlink>
            <w:r w:rsidRPr="004D4ABF">
              <w:rPr>
                <w:bCs/>
                <w:sz w:val="18"/>
                <w:szCs w:val="18"/>
              </w:rPr>
              <w:t xml:space="preserve"> </w:t>
            </w:r>
          </w:p>
          <w:p w14:paraId="6C3DE398" w14:textId="36BED6DC"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(50,60.2%)</w:t>
            </w:r>
          </w:p>
        </w:tc>
        <w:tc>
          <w:tcPr>
            <w:tcW w:w="1233" w:type="dxa"/>
          </w:tcPr>
          <w:p w14:paraId="1D5123C0"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1.9±2.0</w:t>
            </w:r>
          </w:p>
        </w:tc>
        <w:tc>
          <w:tcPr>
            <w:tcW w:w="1146" w:type="dxa"/>
          </w:tcPr>
          <w:p w14:paraId="4CD53505" w14:textId="5F30404A"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0.859</w:t>
            </w:r>
          </w:p>
        </w:tc>
        <w:tc>
          <w:tcPr>
            <w:tcW w:w="857" w:type="dxa"/>
          </w:tcPr>
          <w:p w14:paraId="2A5FEA78"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1.8±1.7</w:t>
            </w:r>
          </w:p>
        </w:tc>
        <w:tc>
          <w:tcPr>
            <w:tcW w:w="899" w:type="dxa"/>
          </w:tcPr>
          <w:p w14:paraId="3CB2B56A" w14:textId="1DA84EDB"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
                <w:sz w:val="18"/>
                <w:szCs w:val="18"/>
              </w:rPr>
              <w:t>0.040</w:t>
            </w:r>
          </w:p>
        </w:tc>
        <w:tc>
          <w:tcPr>
            <w:tcW w:w="985" w:type="dxa"/>
          </w:tcPr>
          <w:p w14:paraId="2EE689B6"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3.6±4.7</w:t>
            </w:r>
          </w:p>
        </w:tc>
        <w:tc>
          <w:tcPr>
            <w:tcW w:w="772" w:type="dxa"/>
          </w:tcPr>
          <w:p w14:paraId="5D3DDBAA" w14:textId="2BB38203"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0.111</w:t>
            </w:r>
          </w:p>
        </w:tc>
        <w:tc>
          <w:tcPr>
            <w:tcW w:w="807" w:type="dxa"/>
          </w:tcPr>
          <w:p w14:paraId="2920ECB7" w14:textId="0BBA156F"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0.49</w:t>
            </w:r>
            <w:r w:rsidR="005D4550" w:rsidRPr="004D4ABF">
              <w:rPr>
                <w:bCs/>
                <w:sz w:val="18"/>
                <w:szCs w:val="18"/>
              </w:rPr>
              <w:t>5</w:t>
            </w:r>
          </w:p>
        </w:tc>
      </w:tr>
      <w:tr w:rsidR="00920E66" w:rsidRPr="004D4ABF" w14:paraId="64521ED3" w14:textId="77777777" w:rsidTr="001B4C93">
        <w:trPr>
          <w:jc w:val="center"/>
        </w:trPr>
        <w:tc>
          <w:tcPr>
            <w:tcW w:w="1056" w:type="dxa"/>
            <w:vMerge/>
          </w:tcPr>
          <w:p w14:paraId="1C3A433F"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c>
          <w:tcPr>
            <w:tcW w:w="2012" w:type="dxa"/>
          </w:tcPr>
          <w:p w14:paraId="02327BF7"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7</w:t>
            </w:r>
            <w:r w:rsidRPr="004D4ABF">
              <w:rPr>
                <w:rFonts w:hint="eastAsia"/>
                <w:bCs/>
                <w:sz w:val="18"/>
                <w:szCs w:val="18"/>
              </w:rPr>
              <w:t>d</w:t>
            </w:r>
            <w:r w:rsidRPr="004D4ABF">
              <w:rPr>
                <w:bCs/>
                <w:sz w:val="18"/>
                <w:szCs w:val="18"/>
              </w:rPr>
              <w:t>ay</w:t>
            </w:r>
            <w:r w:rsidRPr="004D4ABF">
              <w:rPr>
                <w:rFonts w:hint="eastAsia"/>
                <w:bCs/>
                <w:sz w:val="18"/>
                <w:szCs w:val="18"/>
              </w:rPr>
              <w:t>≥</w:t>
            </w:r>
            <w:r w:rsidRPr="004D4ABF">
              <w:rPr>
                <w:rFonts w:hint="eastAsia"/>
                <w:bCs/>
                <w:sz w:val="18"/>
                <w:szCs w:val="18"/>
              </w:rPr>
              <w:t>an</w:t>
            </w:r>
            <w:r w:rsidRPr="004D4ABF">
              <w:rPr>
                <w:bCs/>
                <w:sz w:val="18"/>
                <w:szCs w:val="18"/>
              </w:rPr>
              <w:t>d</w:t>
            </w:r>
            <w:r w:rsidRPr="004D4ABF">
              <w:rPr>
                <w:rFonts w:hint="eastAsia"/>
                <w:bCs/>
                <w:sz w:val="18"/>
                <w:szCs w:val="18"/>
              </w:rPr>
              <w:t>＞</w:t>
            </w:r>
            <w:r w:rsidRPr="004D4ABF">
              <w:rPr>
                <w:rFonts w:hint="eastAsia"/>
                <w:bCs/>
                <w:sz w:val="18"/>
                <w:szCs w:val="18"/>
              </w:rPr>
              <w:t>1</w:t>
            </w:r>
            <w:r w:rsidRPr="004D4ABF">
              <w:rPr>
                <w:bCs/>
                <w:sz w:val="18"/>
                <w:szCs w:val="18"/>
              </w:rPr>
              <w:t>day</w:t>
            </w:r>
          </w:p>
          <w:p w14:paraId="65CA6F6C"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(27,32.5%)</w:t>
            </w:r>
          </w:p>
        </w:tc>
        <w:tc>
          <w:tcPr>
            <w:tcW w:w="1233" w:type="dxa"/>
          </w:tcPr>
          <w:p w14:paraId="22216106"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2.0±2.1</w:t>
            </w:r>
          </w:p>
        </w:tc>
        <w:tc>
          <w:tcPr>
            <w:tcW w:w="1146" w:type="dxa"/>
          </w:tcPr>
          <w:p w14:paraId="7593E50A"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57" w:type="dxa"/>
          </w:tcPr>
          <w:p w14:paraId="45C6A3DF"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2.7±2.4</w:t>
            </w:r>
          </w:p>
        </w:tc>
        <w:tc>
          <w:tcPr>
            <w:tcW w:w="899" w:type="dxa"/>
          </w:tcPr>
          <w:p w14:paraId="708989EF"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985" w:type="dxa"/>
          </w:tcPr>
          <w:p w14:paraId="677D938D"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4.7±5.3</w:t>
            </w:r>
          </w:p>
        </w:tc>
        <w:tc>
          <w:tcPr>
            <w:tcW w:w="772" w:type="dxa"/>
          </w:tcPr>
          <w:p w14:paraId="579280A2"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07" w:type="dxa"/>
          </w:tcPr>
          <w:p w14:paraId="2A5D9CB9"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r>
      <w:tr w:rsidR="00920E66" w:rsidRPr="004D4ABF" w14:paraId="1EE9D508" w14:textId="77777777" w:rsidTr="001B4C93">
        <w:trPr>
          <w:jc w:val="center"/>
        </w:trPr>
        <w:tc>
          <w:tcPr>
            <w:tcW w:w="1056" w:type="dxa"/>
            <w:vMerge/>
          </w:tcPr>
          <w:p w14:paraId="3D7578A4"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c>
          <w:tcPr>
            <w:tcW w:w="2012" w:type="dxa"/>
          </w:tcPr>
          <w:p w14:paraId="5EA20C4F"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14</w:t>
            </w:r>
            <w:r w:rsidRPr="004D4ABF">
              <w:rPr>
                <w:rFonts w:hint="eastAsia"/>
                <w:bCs/>
                <w:sz w:val="18"/>
                <w:szCs w:val="18"/>
              </w:rPr>
              <w:t>d</w:t>
            </w:r>
            <w:r w:rsidRPr="004D4ABF">
              <w:rPr>
                <w:bCs/>
                <w:sz w:val="18"/>
                <w:szCs w:val="18"/>
              </w:rPr>
              <w:t>ay</w:t>
            </w:r>
            <w:r w:rsidRPr="004D4ABF">
              <w:rPr>
                <w:rFonts w:hint="eastAsia"/>
                <w:bCs/>
                <w:sz w:val="18"/>
                <w:szCs w:val="18"/>
              </w:rPr>
              <w:t>≥</w:t>
            </w:r>
            <w:r w:rsidRPr="004D4ABF">
              <w:rPr>
                <w:rFonts w:hint="eastAsia"/>
                <w:bCs/>
                <w:sz w:val="18"/>
                <w:szCs w:val="18"/>
              </w:rPr>
              <w:t>an</w:t>
            </w:r>
            <w:r w:rsidRPr="004D4ABF">
              <w:rPr>
                <w:bCs/>
                <w:sz w:val="18"/>
                <w:szCs w:val="18"/>
              </w:rPr>
              <w:t>d</w:t>
            </w:r>
            <w:r w:rsidRPr="004D4ABF">
              <w:rPr>
                <w:rFonts w:hint="eastAsia"/>
                <w:bCs/>
                <w:sz w:val="18"/>
                <w:szCs w:val="18"/>
              </w:rPr>
              <w:t>＞</w:t>
            </w:r>
            <w:r w:rsidRPr="004D4ABF">
              <w:rPr>
                <w:rFonts w:hint="eastAsia"/>
                <w:bCs/>
                <w:sz w:val="18"/>
                <w:szCs w:val="18"/>
              </w:rPr>
              <w:t>7</w:t>
            </w:r>
            <w:r w:rsidRPr="004D4ABF">
              <w:rPr>
                <w:bCs/>
                <w:sz w:val="18"/>
                <w:szCs w:val="18"/>
              </w:rPr>
              <w:t>day</w:t>
            </w:r>
          </w:p>
          <w:p w14:paraId="09BF1FA6"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(6,7.2%)</w:t>
            </w:r>
          </w:p>
        </w:tc>
        <w:tc>
          <w:tcPr>
            <w:tcW w:w="1233" w:type="dxa"/>
          </w:tcPr>
          <w:p w14:paraId="042DDAD5"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1.3±0.6</w:t>
            </w:r>
          </w:p>
        </w:tc>
        <w:tc>
          <w:tcPr>
            <w:tcW w:w="1146" w:type="dxa"/>
          </w:tcPr>
          <w:p w14:paraId="6E30C158"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57" w:type="dxa"/>
          </w:tcPr>
          <w:p w14:paraId="5F762E00"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1.2±0.7</w:t>
            </w:r>
          </w:p>
        </w:tc>
        <w:tc>
          <w:tcPr>
            <w:tcW w:w="899" w:type="dxa"/>
          </w:tcPr>
          <w:p w14:paraId="53CF9888"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985" w:type="dxa"/>
          </w:tcPr>
          <w:p w14:paraId="5E1B6DC6"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1.5±0.6</w:t>
            </w:r>
          </w:p>
        </w:tc>
        <w:tc>
          <w:tcPr>
            <w:tcW w:w="772" w:type="dxa"/>
          </w:tcPr>
          <w:p w14:paraId="5D4F32FF"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07" w:type="dxa"/>
          </w:tcPr>
          <w:p w14:paraId="42645A52"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r>
      <w:tr w:rsidR="001B4C93" w:rsidRPr="004D4ABF" w14:paraId="3BE7C76C" w14:textId="77777777" w:rsidTr="001B4C93">
        <w:trPr>
          <w:jc w:val="center"/>
        </w:trPr>
        <w:tc>
          <w:tcPr>
            <w:tcW w:w="1056" w:type="dxa"/>
          </w:tcPr>
          <w:p w14:paraId="2220DE1D" w14:textId="20888C01" w:rsidR="001B4C93" w:rsidRPr="004D4ABF" w:rsidRDefault="001B4C93" w:rsidP="001B4C93">
            <w:pPr>
              <w:overflowPunct w:val="0"/>
              <w:autoSpaceDE w:val="0"/>
              <w:autoSpaceDN w:val="0"/>
              <w:adjustRightInd w:val="0"/>
              <w:snapToGrid w:val="0"/>
              <w:spacing w:before="78" w:after="78" w:line="360" w:lineRule="auto"/>
              <w:rPr>
                <w:bCs/>
                <w:sz w:val="18"/>
                <w:szCs w:val="18"/>
              </w:rPr>
            </w:pPr>
            <w:r w:rsidRPr="004D4ABF">
              <w:rPr>
                <w:bCs/>
                <w:sz w:val="18"/>
                <w:szCs w:val="18"/>
              </w:rPr>
              <w:t>TOAST</w:t>
            </w:r>
            <w:r w:rsidR="00971088" w:rsidRPr="004D4ABF">
              <w:rPr>
                <w:rFonts w:hint="eastAsia"/>
                <w:bCs/>
                <w:sz w:val="18"/>
                <w:szCs w:val="18"/>
              </w:rPr>
              <w:t xml:space="preserve"> classification</w:t>
            </w:r>
          </w:p>
        </w:tc>
        <w:tc>
          <w:tcPr>
            <w:tcW w:w="2012" w:type="dxa"/>
          </w:tcPr>
          <w:p w14:paraId="61F5B6E1" w14:textId="37049A3B" w:rsidR="001B4C93" w:rsidRPr="004D4ABF" w:rsidRDefault="001B4C93" w:rsidP="001B4C93">
            <w:pPr>
              <w:overflowPunct w:val="0"/>
              <w:autoSpaceDE w:val="0"/>
              <w:autoSpaceDN w:val="0"/>
              <w:adjustRightInd w:val="0"/>
              <w:snapToGrid w:val="0"/>
              <w:spacing w:before="78" w:after="78" w:line="360" w:lineRule="auto"/>
              <w:ind w:firstLineChars="200" w:firstLine="360"/>
              <w:rPr>
                <w:bCs/>
                <w:kern w:val="0"/>
                <w:sz w:val="18"/>
                <w:szCs w:val="18"/>
              </w:rPr>
            </w:pPr>
            <w:r w:rsidRPr="004D4ABF">
              <w:rPr>
                <w:bCs/>
                <w:kern w:val="0"/>
                <w:sz w:val="18"/>
                <w:szCs w:val="18"/>
              </w:rPr>
              <w:t>LAA(33,39.8%)</w:t>
            </w:r>
          </w:p>
        </w:tc>
        <w:tc>
          <w:tcPr>
            <w:tcW w:w="1233" w:type="dxa"/>
          </w:tcPr>
          <w:p w14:paraId="2A75C65B" w14:textId="5E2BA150"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1.8±2.0</w:t>
            </w:r>
          </w:p>
        </w:tc>
        <w:tc>
          <w:tcPr>
            <w:tcW w:w="1146" w:type="dxa"/>
          </w:tcPr>
          <w:p w14:paraId="03476B20" w14:textId="4AD857A6"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0.505</w:t>
            </w:r>
          </w:p>
        </w:tc>
        <w:tc>
          <w:tcPr>
            <w:tcW w:w="857" w:type="dxa"/>
          </w:tcPr>
          <w:p w14:paraId="65E56AD6" w14:textId="68A7501F"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2.0±1.9</w:t>
            </w:r>
          </w:p>
        </w:tc>
        <w:tc>
          <w:tcPr>
            <w:tcW w:w="899" w:type="dxa"/>
          </w:tcPr>
          <w:p w14:paraId="2D408723" w14:textId="75B9A6C6"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0.300</w:t>
            </w:r>
          </w:p>
        </w:tc>
        <w:tc>
          <w:tcPr>
            <w:tcW w:w="985" w:type="dxa"/>
          </w:tcPr>
          <w:p w14:paraId="1F8D09B5" w14:textId="6E40013F"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4.0±4.7</w:t>
            </w:r>
          </w:p>
        </w:tc>
        <w:tc>
          <w:tcPr>
            <w:tcW w:w="772" w:type="dxa"/>
          </w:tcPr>
          <w:p w14:paraId="00BA1CE1" w14:textId="287CCFE4"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0.579</w:t>
            </w:r>
          </w:p>
        </w:tc>
        <w:tc>
          <w:tcPr>
            <w:tcW w:w="807" w:type="dxa"/>
          </w:tcPr>
          <w:p w14:paraId="7EF29915" w14:textId="574016FF"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0.918</w:t>
            </w:r>
          </w:p>
        </w:tc>
      </w:tr>
      <w:tr w:rsidR="001B4C93" w:rsidRPr="004D4ABF" w14:paraId="1712D7BC" w14:textId="77777777" w:rsidTr="001B4C93">
        <w:trPr>
          <w:jc w:val="center"/>
        </w:trPr>
        <w:tc>
          <w:tcPr>
            <w:tcW w:w="1056" w:type="dxa"/>
          </w:tcPr>
          <w:p w14:paraId="45DA44F0" w14:textId="77777777" w:rsidR="001B4C93" w:rsidRPr="004D4ABF" w:rsidRDefault="001B4C93" w:rsidP="001B4C93">
            <w:pPr>
              <w:overflowPunct w:val="0"/>
              <w:autoSpaceDE w:val="0"/>
              <w:autoSpaceDN w:val="0"/>
              <w:adjustRightInd w:val="0"/>
              <w:snapToGrid w:val="0"/>
              <w:spacing w:before="78" w:after="78" w:line="360" w:lineRule="auto"/>
              <w:rPr>
                <w:bCs/>
                <w:sz w:val="18"/>
                <w:szCs w:val="18"/>
              </w:rPr>
            </w:pPr>
          </w:p>
        </w:tc>
        <w:tc>
          <w:tcPr>
            <w:tcW w:w="2012" w:type="dxa"/>
          </w:tcPr>
          <w:p w14:paraId="619388B2" w14:textId="469DA9A4" w:rsidR="001B4C93" w:rsidRPr="004D4ABF" w:rsidRDefault="001B4C93" w:rsidP="001B4C93">
            <w:pPr>
              <w:overflowPunct w:val="0"/>
              <w:autoSpaceDE w:val="0"/>
              <w:autoSpaceDN w:val="0"/>
              <w:adjustRightInd w:val="0"/>
              <w:snapToGrid w:val="0"/>
              <w:spacing w:before="78" w:after="78" w:line="360" w:lineRule="auto"/>
              <w:ind w:firstLineChars="200" w:firstLine="360"/>
              <w:rPr>
                <w:bCs/>
                <w:kern w:val="0"/>
                <w:sz w:val="18"/>
                <w:szCs w:val="18"/>
              </w:rPr>
            </w:pPr>
            <w:r w:rsidRPr="004D4ABF">
              <w:rPr>
                <w:bCs/>
                <w:kern w:val="0"/>
                <w:sz w:val="18"/>
                <w:szCs w:val="18"/>
              </w:rPr>
              <w:t>CE(37,44.6%)</w:t>
            </w:r>
          </w:p>
        </w:tc>
        <w:tc>
          <w:tcPr>
            <w:tcW w:w="1233" w:type="dxa"/>
          </w:tcPr>
          <w:p w14:paraId="73F008E0" w14:textId="50BF252E"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1.9±1.5</w:t>
            </w:r>
          </w:p>
        </w:tc>
        <w:tc>
          <w:tcPr>
            <w:tcW w:w="1146" w:type="dxa"/>
          </w:tcPr>
          <w:p w14:paraId="5A916F03"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57" w:type="dxa"/>
          </w:tcPr>
          <w:p w14:paraId="185CA6D3" w14:textId="500228CE"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2.8±3.1</w:t>
            </w:r>
          </w:p>
        </w:tc>
        <w:tc>
          <w:tcPr>
            <w:tcW w:w="899" w:type="dxa"/>
          </w:tcPr>
          <w:p w14:paraId="3578B33C"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985" w:type="dxa"/>
          </w:tcPr>
          <w:p w14:paraId="7280E2AE" w14:textId="7DE45188"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5.1±7.6</w:t>
            </w:r>
          </w:p>
        </w:tc>
        <w:tc>
          <w:tcPr>
            <w:tcW w:w="772" w:type="dxa"/>
          </w:tcPr>
          <w:p w14:paraId="55851DE7"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07" w:type="dxa"/>
          </w:tcPr>
          <w:p w14:paraId="6ED907F3"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r>
      <w:tr w:rsidR="001B4C93" w:rsidRPr="004D4ABF" w14:paraId="2DC12059" w14:textId="77777777" w:rsidTr="001B4C93">
        <w:trPr>
          <w:jc w:val="center"/>
        </w:trPr>
        <w:tc>
          <w:tcPr>
            <w:tcW w:w="1056" w:type="dxa"/>
          </w:tcPr>
          <w:p w14:paraId="71AC9104" w14:textId="77777777" w:rsidR="001B4C93" w:rsidRPr="004D4ABF" w:rsidRDefault="001B4C93" w:rsidP="001B4C93">
            <w:pPr>
              <w:overflowPunct w:val="0"/>
              <w:autoSpaceDE w:val="0"/>
              <w:autoSpaceDN w:val="0"/>
              <w:adjustRightInd w:val="0"/>
              <w:snapToGrid w:val="0"/>
              <w:spacing w:before="78" w:after="78" w:line="360" w:lineRule="auto"/>
              <w:rPr>
                <w:bCs/>
                <w:sz w:val="18"/>
                <w:szCs w:val="18"/>
              </w:rPr>
            </w:pPr>
          </w:p>
        </w:tc>
        <w:tc>
          <w:tcPr>
            <w:tcW w:w="2012" w:type="dxa"/>
          </w:tcPr>
          <w:p w14:paraId="04444456" w14:textId="2981DB1C" w:rsidR="001B4C93" w:rsidRPr="004D4ABF" w:rsidRDefault="001B4C93" w:rsidP="001B4C93">
            <w:pPr>
              <w:overflowPunct w:val="0"/>
              <w:autoSpaceDE w:val="0"/>
              <w:autoSpaceDN w:val="0"/>
              <w:adjustRightInd w:val="0"/>
              <w:snapToGrid w:val="0"/>
              <w:spacing w:before="78" w:after="78" w:line="360" w:lineRule="auto"/>
              <w:ind w:firstLineChars="200" w:firstLine="360"/>
              <w:rPr>
                <w:bCs/>
                <w:kern w:val="0"/>
                <w:sz w:val="18"/>
                <w:szCs w:val="18"/>
              </w:rPr>
            </w:pPr>
            <w:r w:rsidRPr="004D4ABF">
              <w:rPr>
                <w:bCs/>
                <w:kern w:val="0"/>
                <w:sz w:val="18"/>
                <w:szCs w:val="18"/>
              </w:rPr>
              <w:t>SAA(11,13.3%)</w:t>
            </w:r>
          </w:p>
        </w:tc>
        <w:tc>
          <w:tcPr>
            <w:tcW w:w="1233" w:type="dxa"/>
          </w:tcPr>
          <w:p w14:paraId="49FE50B6" w14:textId="3B18C16C"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2.0±2.2</w:t>
            </w:r>
          </w:p>
        </w:tc>
        <w:tc>
          <w:tcPr>
            <w:tcW w:w="1146" w:type="dxa"/>
          </w:tcPr>
          <w:p w14:paraId="3C6B3C2C"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57" w:type="dxa"/>
          </w:tcPr>
          <w:p w14:paraId="78F02698" w14:textId="3FC11F2E"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2.0±1.6</w:t>
            </w:r>
          </w:p>
        </w:tc>
        <w:tc>
          <w:tcPr>
            <w:tcW w:w="899" w:type="dxa"/>
          </w:tcPr>
          <w:p w14:paraId="3005816B"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985" w:type="dxa"/>
          </w:tcPr>
          <w:p w14:paraId="5E42A46F" w14:textId="6ED60478"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3.4±3.9</w:t>
            </w:r>
          </w:p>
        </w:tc>
        <w:tc>
          <w:tcPr>
            <w:tcW w:w="772" w:type="dxa"/>
          </w:tcPr>
          <w:p w14:paraId="3DAB29DD"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07" w:type="dxa"/>
          </w:tcPr>
          <w:p w14:paraId="6A71E092"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r>
      <w:tr w:rsidR="001B4C93" w:rsidRPr="004D4ABF" w14:paraId="6E381CF0" w14:textId="77777777" w:rsidTr="001B4C93">
        <w:trPr>
          <w:jc w:val="center"/>
        </w:trPr>
        <w:tc>
          <w:tcPr>
            <w:tcW w:w="1056" w:type="dxa"/>
          </w:tcPr>
          <w:p w14:paraId="6502D1F8" w14:textId="77777777" w:rsidR="001B4C93" w:rsidRPr="004D4ABF" w:rsidRDefault="001B4C93" w:rsidP="001B4C93">
            <w:pPr>
              <w:overflowPunct w:val="0"/>
              <w:autoSpaceDE w:val="0"/>
              <w:autoSpaceDN w:val="0"/>
              <w:adjustRightInd w:val="0"/>
              <w:snapToGrid w:val="0"/>
              <w:spacing w:before="78" w:after="78" w:line="360" w:lineRule="auto"/>
              <w:rPr>
                <w:bCs/>
                <w:sz w:val="18"/>
                <w:szCs w:val="18"/>
              </w:rPr>
            </w:pPr>
          </w:p>
        </w:tc>
        <w:tc>
          <w:tcPr>
            <w:tcW w:w="2012" w:type="dxa"/>
          </w:tcPr>
          <w:p w14:paraId="383DF68E" w14:textId="75BF958A" w:rsidR="001B4C93" w:rsidRPr="004D4ABF" w:rsidRDefault="001B4C93" w:rsidP="001B4C93">
            <w:pPr>
              <w:overflowPunct w:val="0"/>
              <w:autoSpaceDE w:val="0"/>
              <w:autoSpaceDN w:val="0"/>
              <w:adjustRightInd w:val="0"/>
              <w:snapToGrid w:val="0"/>
              <w:spacing w:before="78" w:after="78" w:line="360" w:lineRule="auto"/>
              <w:ind w:firstLineChars="200" w:firstLine="360"/>
              <w:rPr>
                <w:bCs/>
                <w:kern w:val="0"/>
                <w:sz w:val="18"/>
                <w:szCs w:val="18"/>
              </w:rPr>
            </w:pPr>
            <w:r w:rsidRPr="004D4ABF">
              <w:rPr>
                <w:bCs/>
                <w:kern w:val="0"/>
                <w:sz w:val="18"/>
                <w:szCs w:val="18"/>
              </w:rPr>
              <w:t>SOE(2,2.4%)</w:t>
            </w:r>
          </w:p>
        </w:tc>
        <w:tc>
          <w:tcPr>
            <w:tcW w:w="1233" w:type="dxa"/>
          </w:tcPr>
          <w:p w14:paraId="3C2868CC" w14:textId="23766ADA"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2.2±0.3</w:t>
            </w:r>
          </w:p>
        </w:tc>
        <w:tc>
          <w:tcPr>
            <w:tcW w:w="1146" w:type="dxa"/>
          </w:tcPr>
          <w:p w14:paraId="75493153"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57" w:type="dxa"/>
          </w:tcPr>
          <w:p w14:paraId="13F6277B" w14:textId="10EDFF65"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0.7±0.4</w:t>
            </w:r>
          </w:p>
        </w:tc>
        <w:tc>
          <w:tcPr>
            <w:tcW w:w="899" w:type="dxa"/>
          </w:tcPr>
          <w:p w14:paraId="65554391"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985" w:type="dxa"/>
          </w:tcPr>
          <w:p w14:paraId="130E0020" w14:textId="156B8323"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1.9±0.3</w:t>
            </w:r>
          </w:p>
        </w:tc>
        <w:tc>
          <w:tcPr>
            <w:tcW w:w="772" w:type="dxa"/>
          </w:tcPr>
          <w:p w14:paraId="1B277510"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07" w:type="dxa"/>
          </w:tcPr>
          <w:p w14:paraId="53C2AB72"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r>
      <w:tr w:rsidR="001B4C93" w:rsidRPr="004D4ABF" w14:paraId="3A49422A" w14:textId="77777777" w:rsidTr="001B4C93">
        <w:trPr>
          <w:jc w:val="center"/>
        </w:trPr>
        <w:tc>
          <w:tcPr>
            <w:tcW w:w="1056" w:type="dxa"/>
          </w:tcPr>
          <w:p w14:paraId="4722008A" w14:textId="77777777" w:rsidR="001B4C93" w:rsidRPr="004D4ABF" w:rsidRDefault="001B4C93" w:rsidP="001B4C93">
            <w:pPr>
              <w:overflowPunct w:val="0"/>
              <w:autoSpaceDE w:val="0"/>
              <w:autoSpaceDN w:val="0"/>
              <w:adjustRightInd w:val="0"/>
              <w:snapToGrid w:val="0"/>
              <w:spacing w:before="78" w:after="78" w:line="360" w:lineRule="auto"/>
              <w:rPr>
                <w:bCs/>
                <w:sz w:val="18"/>
                <w:szCs w:val="18"/>
              </w:rPr>
            </w:pPr>
          </w:p>
        </w:tc>
        <w:tc>
          <w:tcPr>
            <w:tcW w:w="2012" w:type="dxa"/>
          </w:tcPr>
          <w:p w14:paraId="7E7B9BC0" w14:textId="51D8BD34" w:rsidR="001B4C93" w:rsidRPr="004D4ABF" w:rsidRDefault="001B4C93" w:rsidP="001B4C93">
            <w:pPr>
              <w:overflowPunct w:val="0"/>
              <w:autoSpaceDE w:val="0"/>
              <w:autoSpaceDN w:val="0"/>
              <w:adjustRightInd w:val="0"/>
              <w:snapToGrid w:val="0"/>
              <w:spacing w:before="78" w:after="78" w:line="360" w:lineRule="auto"/>
              <w:ind w:firstLineChars="200" w:firstLine="360"/>
              <w:rPr>
                <w:bCs/>
                <w:kern w:val="0"/>
                <w:sz w:val="18"/>
                <w:szCs w:val="18"/>
              </w:rPr>
            </w:pPr>
            <w:r w:rsidRPr="004D4ABF">
              <w:rPr>
                <w:bCs/>
                <w:kern w:val="0"/>
                <w:sz w:val="18"/>
                <w:szCs w:val="18"/>
              </w:rPr>
              <w:t>SUE(0,0.0%)</w:t>
            </w:r>
          </w:p>
        </w:tc>
        <w:tc>
          <w:tcPr>
            <w:tcW w:w="1233" w:type="dxa"/>
          </w:tcPr>
          <w:p w14:paraId="67130AFC" w14:textId="5892871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w:t>
            </w:r>
          </w:p>
        </w:tc>
        <w:tc>
          <w:tcPr>
            <w:tcW w:w="1146" w:type="dxa"/>
          </w:tcPr>
          <w:p w14:paraId="609957A9"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57" w:type="dxa"/>
          </w:tcPr>
          <w:p w14:paraId="75C4E0BB" w14:textId="08557219"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w:t>
            </w:r>
          </w:p>
        </w:tc>
        <w:tc>
          <w:tcPr>
            <w:tcW w:w="899" w:type="dxa"/>
          </w:tcPr>
          <w:p w14:paraId="1CEE6D2E"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985" w:type="dxa"/>
          </w:tcPr>
          <w:p w14:paraId="01DF524F" w14:textId="5106DC68"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w:t>
            </w:r>
          </w:p>
        </w:tc>
        <w:tc>
          <w:tcPr>
            <w:tcW w:w="772" w:type="dxa"/>
          </w:tcPr>
          <w:p w14:paraId="6F6556F2"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07" w:type="dxa"/>
          </w:tcPr>
          <w:p w14:paraId="1DC56F3D"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r>
      <w:tr w:rsidR="001B4C93" w:rsidRPr="004D4ABF" w14:paraId="3A3B2984" w14:textId="77777777" w:rsidTr="001B4C93">
        <w:trPr>
          <w:jc w:val="center"/>
        </w:trPr>
        <w:tc>
          <w:tcPr>
            <w:tcW w:w="1056" w:type="dxa"/>
          </w:tcPr>
          <w:p w14:paraId="46FA19A5" w14:textId="70A100F9" w:rsidR="001B4C93" w:rsidRPr="004D4ABF" w:rsidRDefault="00971088" w:rsidP="001B4C93">
            <w:pPr>
              <w:overflowPunct w:val="0"/>
              <w:autoSpaceDE w:val="0"/>
              <w:autoSpaceDN w:val="0"/>
              <w:adjustRightInd w:val="0"/>
              <w:snapToGrid w:val="0"/>
              <w:spacing w:before="78" w:after="78" w:line="360" w:lineRule="auto"/>
              <w:rPr>
                <w:bCs/>
                <w:sz w:val="18"/>
                <w:szCs w:val="18"/>
              </w:rPr>
            </w:pPr>
            <w:r w:rsidRPr="004D4ABF">
              <w:rPr>
                <w:bCs/>
                <w:sz w:val="18"/>
                <w:szCs w:val="18"/>
              </w:rPr>
              <w:t>Length of stay</w:t>
            </w:r>
          </w:p>
        </w:tc>
        <w:tc>
          <w:tcPr>
            <w:tcW w:w="2012" w:type="dxa"/>
          </w:tcPr>
          <w:p w14:paraId="03B6BC6A" w14:textId="039EBE7F" w:rsidR="001B4C93" w:rsidRPr="004D4ABF" w:rsidRDefault="00971088" w:rsidP="00971088">
            <w:pPr>
              <w:overflowPunct w:val="0"/>
              <w:autoSpaceDE w:val="0"/>
              <w:autoSpaceDN w:val="0"/>
              <w:adjustRightInd w:val="0"/>
              <w:snapToGrid w:val="0"/>
              <w:spacing w:before="78" w:after="78" w:line="360" w:lineRule="auto"/>
              <w:rPr>
                <w:bCs/>
                <w:kern w:val="0"/>
                <w:sz w:val="18"/>
                <w:szCs w:val="18"/>
              </w:rPr>
            </w:pPr>
            <w:r w:rsidRPr="004D4ABF">
              <w:rPr>
                <w:bCs/>
                <w:kern w:val="0"/>
                <w:sz w:val="18"/>
                <w:szCs w:val="18"/>
              </w:rPr>
              <w:t>LOS≤14</w:t>
            </w:r>
            <w:r w:rsidRPr="004D4ABF">
              <w:rPr>
                <w:rFonts w:hint="eastAsia"/>
                <w:bCs/>
                <w:kern w:val="0"/>
                <w:sz w:val="18"/>
                <w:szCs w:val="18"/>
              </w:rPr>
              <w:t>day</w:t>
            </w:r>
            <w:r w:rsidR="001B4C93" w:rsidRPr="004D4ABF">
              <w:rPr>
                <w:bCs/>
                <w:kern w:val="0"/>
                <w:sz w:val="18"/>
                <w:szCs w:val="18"/>
              </w:rPr>
              <w:t>(38,45.8%)</w:t>
            </w:r>
          </w:p>
        </w:tc>
        <w:tc>
          <w:tcPr>
            <w:tcW w:w="1233" w:type="dxa"/>
          </w:tcPr>
          <w:p w14:paraId="1466F073" w14:textId="6CE9B9DB"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1.8±1.9</w:t>
            </w:r>
          </w:p>
        </w:tc>
        <w:tc>
          <w:tcPr>
            <w:tcW w:w="1146" w:type="dxa"/>
          </w:tcPr>
          <w:p w14:paraId="4C231942" w14:textId="5D8BF5FA"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0.909</w:t>
            </w:r>
          </w:p>
        </w:tc>
        <w:tc>
          <w:tcPr>
            <w:tcW w:w="857" w:type="dxa"/>
          </w:tcPr>
          <w:p w14:paraId="798CDCA1" w14:textId="5D68558E"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2.0±2.0</w:t>
            </w:r>
          </w:p>
        </w:tc>
        <w:tc>
          <w:tcPr>
            <w:tcW w:w="899" w:type="dxa"/>
          </w:tcPr>
          <w:p w14:paraId="2BF8FCA8" w14:textId="06A70B58"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0.725</w:t>
            </w:r>
          </w:p>
        </w:tc>
        <w:tc>
          <w:tcPr>
            <w:tcW w:w="985" w:type="dxa"/>
          </w:tcPr>
          <w:p w14:paraId="0A018FBA" w14:textId="516AF1E1"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3.6±5.1</w:t>
            </w:r>
          </w:p>
        </w:tc>
        <w:tc>
          <w:tcPr>
            <w:tcW w:w="772" w:type="dxa"/>
          </w:tcPr>
          <w:p w14:paraId="78F38C1D" w14:textId="0ECE2673"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0.113</w:t>
            </w:r>
          </w:p>
        </w:tc>
        <w:tc>
          <w:tcPr>
            <w:tcW w:w="807" w:type="dxa"/>
          </w:tcPr>
          <w:p w14:paraId="3253218F" w14:textId="15A5B7DC"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0.979</w:t>
            </w:r>
          </w:p>
        </w:tc>
      </w:tr>
      <w:tr w:rsidR="001B4C93" w:rsidRPr="004D4ABF" w14:paraId="022E9154" w14:textId="77777777" w:rsidTr="001B4C93">
        <w:trPr>
          <w:jc w:val="center"/>
        </w:trPr>
        <w:tc>
          <w:tcPr>
            <w:tcW w:w="1056" w:type="dxa"/>
          </w:tcPr>
          <w:p w14:paraId="0AB47A22" w14:textId="77777777" w:rsidR="001B4C93" w:rsidRPr="004D4ABF" w:rsidRDefault="001B4C93" w:rsidP="001B4C93">
            <w:pPr>
              <w:overflowPunct w:val="0"/>
              <w:autoSpaceDE w:val="0"/>
              <w:autoSpaceDN w:val="0"/>
              <w:adjustRightInd w:val="0"/>
              <w:snapToGrid w:val="0"/>
              <w:spacing w:before="78" w:after="78" w:line="360" w:lineRule="auto"/>
              <w:rPr>
                <w:bCs/>
                <w:sz w:val="18"/>
                <w:szCs w:val="18"/>
              </w:rPr>
            </w:pPr>
          </w:p>
        </w:tc>
        <w:tc>
          <w:tcPr>
            <w:tcW w:w="2012" w:type="dxa"/>
          </w:tcPr>
          <w:p w14:paraId="48BE2146" w14:textId="32B14364" w:rsidR="001B4C93" w:rsidRPr="004D4ABF" w:rsidRDefault="00971088" w:rsidP="00971088">
            <w:pPr>
              <w:overflowPunct w:val="0"/>
              <w:autoSpaceDE w:val="0"/>
              <w:autoSpaceDN w:val="0"/>
              <w:adjustRightInd w:val="0"/>
              <w:snapToGrid w:val="0"/>
              <w:spacing w:before="78" w:after="78" w:line="360" w:lineRule="auto"/>
              <w:rPr>
                <w:bCs/>
                <w:kern w:val="0"/>
                <w:sz w:val="18"/>
                <w:szCs w:val="18"/>
              </w:rPr>
            </w:pPr>
            <w:r w:rsidRPr="004D4ABF">
              <w:rPr>
                <w:rFonts w:hint="eastAsia"/>
                <w:bCs/>
                <w:kern w:val="0"/>
                <w:sz w:val="18"/>
                <w:szCs w:val="18"/>
              </w:rPr>
              <w:t>LOS&gt;14</w:t>
            </w:r>
            <w:r w:rsidRPr="004D4ABF">
              <w:rPr>
                <w:bCs/>
                <w:kern w:val="0"/>
                <w:sz w:val="18"/>
                <w:szCs w:val="18"/>
              </w:rPr>
              <w:t xml:space="preserve">day </w:t>
            </w:r>
            <w:r w:rsidR="001B4C93" w:rsidRPr="004D4ABF">
              <w:rPr>
                <w:bCs/>
                <w:kern w:val="0"/>
                <w:sz w:val="18"/>
                <w:szCs w:val="18"/>
              </w:rPr>
              <w:t>(45,54.2%)</w:t>
            </w:r>
          </w:p>
        </w:tc>
        <w:tc>
          <w:tcPr>
            <w:tcW w:w="1233" w:type="dxa"/>
          </w:tcPr>
          <w:p w14:paraId="410F59BD" w14:textId="118B419A"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1.9±2.1</w:t>
            </w:r>
          </w:p>
        </w:tc>
        <w:tc>
          <w:tcPr>
            <w:tcW w:w="1146" w:type="dxa"/>
          </w:tcPr>
          <w:p w14:paraId="04F2834D"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57" w:type="dxa"/>
          </w:tcPr>
          <w:p w14:paraId="66A3DA11" w14:textId="266059C8"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2.1±2.0</w:t>
            </w:r>
          </w:p>
        </w:tc>
        <w:tc>
          <w:tcPr>
            <w:tcW w:w="899" w:type="dxa"/>
          </w:tcPr>
          <w:p w14:paraId="36F1A7C0"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985" w:type="dxa"/>
          </w:tcPr>
          <w:p w14:paraId="6FBD47F7" w14:textId="59612745"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r w:rsidRPr="004D4ABF">
              <w:rPr>
                <w:bCs/>
                <w:sz w:val="18"/>
                <w:szCs w:val="18"/>
              </w:rPr>
              <w:t>4.0±4.5</w:t>
            </w:r>
          </w:p>
        </w:tc>
        <w:tc>
          <w:tcPr>
            <w:tcW w:w="772" w:type="dxa"/>
          </w:tcPr>
          <w:p w14:paraId="4B7EB90E"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c>
          <w:tcPr>
            <w:tcW w:w="807" w:type="dxa"/>
          </w:tcPr>
          <w:p w14:paraId="578E1E55" w14:textId="77777777" w:rsidR="001B4C93" w:rsidRPr="004D4ABF" w:rsidRDefault="001B4C93" w:rsidP="001B4C93">
            <w:pPr>
              <w:overflowPunct w:val="0"/>
              <w:autoSpaceDE w:val="0"/>
              <w:autoSpaceDN w:val="0"/>
              <w:adjustRightInd w:val="0"/>
              <w:snapToGrid w:val="0"/>
              <w:spacing w:before="78" w:after="78" w:line="360" w:lineRule="auto"/>
              <w:jc w:val="left"/>
              <w:rPr>
                <w:bCs/>
                <w:sz w:val="18"/>
                <w:szCs w:val="18"/>
              </w:rPr>
            </w:pPr>
          </w:p>
        </w:tc>
      </w:tr>
      <w:tr w:rsidR="00920E66" w:rsidRPr="004D4ABF" w14:paraId="7DCD0C14" w14:textId="77777777" w:rsidTr="001B4C93">
        <w:trPr>
          <w:jc w:val="center"/>
        </w:trPr>
        <w:tc>
          <w:tcPr>
            <w:tcW w:w="1056" w:type="dxa"/>
            <w:vMerge w:val="restart"/>
          </w:tcPr>
          <w:p w14:paraId="0B9E5433" w14:textId="77777777" w:rsidR="00920E66" w:rsidRPr="004D4ABF" w:rsidRDefault="00106697" w:rsidP="00DC0079">
            <w:pPr>
              <w:overflowPunct w:val="0"/>
              <w:autoSpaceDE w:val="0"/>
              <w:autoSpaceDN w:val="0"/>
              <w:adjustRightInd w:val="0"/>
              <w:snapToGrid w:val="0"/>
              <w:spacing w:before="78" w:after="78" w:line="360" w:lineRule="auto"/>
              <w:rPr>
                <w:bCs/>
                <w:sz w:val="18"/>
                <w:szCs w:val="18"/>
              </w:rPr>
            </w:pPr>
            <w:r w:rsidRPr="004D4ABF">
              <w:rPr>
                <w:bCs/>
                <w:sz w:val="18"/>
                <w:szCs w:val="18"/>
              </w:rPr>
              <w:t>admission NIHSS score</w:t>
            </w:r>
          </w:p>
        </w:tc>
        <w:tc>
          <w:tcPr>
            <w:tcW w:w="2012" w:type="dxa"/>
          </w:tcPr>
          <w:p w14:paraId="5410D628"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≤3 (43,51.8%)</w:t>
            </w:r>
          </w:p>
        </w:tc>
        <w:tc>
          <w:tcPr>
            <w:tcW w:w="1233" w:type="dxa"/>
          </w:tcPr>
          <w:p w14:paraId="24F4AE20"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1.6±2.0</w:t>
            </w:r>
          </w:p>
        </w:tc>
        <w:tc>
          <w:tcPr>
            <w:tcW w:w="1146" w:type="dxa"/>
          </w:tcPr>
          <w:p w14:paraId="59C8C330" w14:textId="035EF50D"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0.209</w:t>
            </w:r>
          </w:p>
        </w:tc>
        <w:tc>
          <w:tcPr>
            <w:tcW w:w="857" w:type="dxa"/>
          </w:tcPr>
          <w:p w14:paraId="05F4DFCF"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2.0±1.8</w:t>
            </w:r>
          </w:p>
        </w:tc>
        <w:tc>
          <w:tcPr>
            <w:tcW w:w="899" w:type="dxa"/>
          </w:tcPr>
          <w:p w14:paraId="1E3AB3BC" w14:textId="6CEBB2F6"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0.594</w:t>
            </w:r>
          </w:p>
        </w:tc>
        <w:tc>
          <w:tcPr>
            <w:tcW w:w="985" w:type="dxa"/>
          </w:tcPr>
          <w:p w14:paraId="2C6BC84C" w14:textId="381E9083"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1.6±2.0</w:t>
            </w:r>
          </w:p>
        </w:tc>
        <w:tc>
          <w:tcPr>
            <w:tcW w:w="772" w:type="dxa"/>
          </w:tcPr>
          <w:p w14:paraId="3DEFD87C" w14:textId="1722C385"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0.209</w:t>
            </w:r>
          </w:p>
        </w:tc>
        <w:tc>
          <w:tcPr>
            <w:tcW w:w="807" w:type="dxa"/>
          </w:tcPr>
          <w:p w14:paraId="3550F4D3" w14:textId="293D6CE6"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0.252</w:t>
            </w:r>
          </w:p>
        </w:tc>
      </w:tr>
      <w:tr w:rsidR="00920E66" w:rsidRPr="004D4ABF" w14:paraId="4FCA8B2A" w14:textId="77777777" w:rsidTr="001B4C93">
        <w:trPr>
          <w:jc w:val="center"/>
        </w:trPr>
        <w:tc>
          <w:tcPr>
            <w:tcW w:w="1056" w:type="dxa"/>
            <w:vMerge/>
          </w:tcPr>
          <w:p w14:paraId="3E555BC5"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c>
          <w:tcPr>
            <w:tcW w:w="2012" w:type="dxa"/>
          </w:tcPr>
          <w:p w14:paraId="6BAE5BD2" w14:textId="6007DF6A"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w:t>
            </w:r>
            <w:r w:rsidR="00374352" w:rsidRPr="004D4ABF">
              <w:rPr>
                <w:rFonts w:hint="eastAsia"/>
                <w:bCs/>
                <w:sz w:val="18"/>
                <w:szCs w:val="18"/>
              </w:rPr>
              <w:t>3</w:t>
            </w:r>
            <w:r w:rsidRPr="004D4ABF">
              <w:rPr>
                <w:bCs/>
                <w:sz w:val="18"/>
                <w:szCs w:val="18"/>
              </w:rPr>
              <w:t xml:space="preserve"> (40,48.2%)</w:t>
            </w:r>
          </w:p>
        </w:tc>
        <w:tc>
          <w:tcPr>
            <w:tcW w:w="1233" w:type="dxa"/>
          </w:tcPr>
          <w:p w14:paraId="1B057D87"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2.1±2.0</w:t>
            </w:r>
          </w:p>
        </w:tc>
        <w:tc>
          <w:tcPr>
            <w:tcW w:w="1146" w:type="dxa"/>
          </w:tcPr>
          <w:p w14:paraId="3CAD6FCC"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57" w:type="dxa"/>
          </w:tcPr>
          <w:p w14:paraId="64A6B116"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2.1±2.1</w:t>
            </w:r>
          </w:p>
        </w:tc>
        <w:tc>
          <w:tcPr>
            <w:tcW w:w="899" w:type="dxa"/>
          </w:tcPr>
          <w:p w14:paraId="69E479DF"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985" w:type="dxa"/>
          </w:tcPr>
          <w:p w14:paraId="76BFD8D5" w14:textId="44F64E1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2.1±2.0</w:t>
            </w:r>
          </w:p>
        </w:tc>
        <w:tc>
          <w:tcPr>
            <w:tcW w:w="772" w:type="dxa"/>
          </w:tcPr>
          <w:p w14:paraId="38EE54E5"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07" w:type="dxa"/>
          </w:tcPr>
          <w:p w14:paraId="2A3BB63A"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r>
      <w:tr w:rsidR="00920E66" w:rsidRPr="004D4ABF" w14:paraId="0A6F8D56" w14:textId="77777777" w:rsidTr="001B4C93">
        <w:trPr>
          <w:jc w:val="center"/>
        </w:trPr>
        <w:tc>
          <w:tcPr>
            <w:tcW w:w="1056" w:type="dxa"/>
            <w:vMerge w:val="restart"/>
          </w:tcPr>
          <w:p w14:paraId="284997A9" w14:textId="77777777" w:rsidR="00920E66" w:rsidRPr="004D4ABF" w:rsidRDefault="00106697" w:rsidP="00DC0079">
            <w:pPr>
              <w:overflowPunct w:val="0"/>
              <w:autoSpaceDE w:val="0"/>
              <w:autoSpaceDN w:val="0"/>
              <w:adjustRightInd w:val="0"/>
              <w:snapToGrid w:val="0"/>
              <w:spacing w:before="78" w:after="78" w:line="360" w:lineRule="auto"/>
              <w:rPr>
                <w:bCs/>
                <w:sz w:val="18"/>
                <w:szCs w:val="18"/>
              </w:rPr>
            </w:pPr>
            <w:r w:rsidRPr="004D4ABF">
              <w:rPr>
                <w:sz w:val="18"/>
                <w:szCs w:val="18"/>
              </w:rPr>
              <w:t>discharge NIHSS score</w:t>
            </w:r>
          </w:p>
        </w:tc>
        <w:tc>
          <w:tcPr>
            <w:tcW w:w="2012" w:type="dxa"/>
          </w:tcPr>
          <w:p w14:paraId="2A4BFA39"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bookmarkStart w:id="5" w:name="OLE_LINK8"/>
            <w:r w:rsidRPr="004D4ABF">
              <w:rPr>
                <w:bCs/>
                <w:sz w:val="18"/>
                <w:szCs w:val="18"/>
              </w:rPr>
              <w:t>≤3</w:t>
            </w:r>
            <w:bookmarkEnd w:id="5"/>
            <w:r w:rsidRPr="004D4ABF">
              <w:rPr>
                <w:bCs/>
                <w:sz w:val="18"/>
                <w:szCs w:val="18"/>
              </w:rPr>
              <w:t>(52,62.7%)</w:t>
            </w:r>
          </w:p>
        </w:tc>
        <w:tc>
          <w:tcPr>
            <w:tcW w:w="1233" w:type="dxa"/>
          </w:tcPr>
          <w:p w14:paraId="3FCB2FA7"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1.6±1.9</w:t>
            </w:r>
          </w:p>
        </w:tc>
        <w:tc>
          <w:tcPr>
            <w:tcW w:w="1146" w:type="dxa"/>
          </w:tcPr>
          <w:p w14:paraId="70EFF66D" w14:textId="34876BD4"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
                <w:sz w:val="18"/>
                <w:szCs w:val="18"/>
              </w:rPr>
              <w:t>0.030</w:t>
            </w:r>
          </w:p>
        </w:tc>
        <w:tc>
          <w:tcPr>
            <w:tcW w:w="857" w:type="dxa"/>
          </w:tcPr>
          <w:p w14:paraId="40CDAEDB"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2.1±2.1</w:t>
            </w:r>
          </w:p>
        </w:tc>
        <w:tc>
          <w:tcPr>
            <w:tcW w:w="899" w:type="dxa"/>
          </w:tcPr>
          <w:p w14:paraId="2DB9D9C2" w14:textId="23C7D329"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0.735</w:t>
            </w:r>
          </w:p>
        </w:tc>
        <w:tc>
          <w:tcPr>
            <w:tcW w:w="985" w:type="dxa"/>
          </w:tcPr>
          <w:p w14:paraId="4DE3A4EB"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3.3±4.4</w:t>
            </w:r>
          </w:p>
        </w:tc>
        <w:tc>
          <w:tcPr>
            <w:tcW w:w="772" w:type="dxa"/>
          </w:tcPr>
          <w:p w14:paraId="313AA31D" w14:textId="01C25425"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
                <w:sz w:val="18"/>
                <w:szCs w:val="18"/>
              </w:rPr>
              <w:t>0.049</w:t>
            </w:r>
          </w:p>
        </w:tc>
        <w:tc>
          <w:tcPr>
            <w:tcW w:w="807" w:type="dxa"/>
          </w:tcPr>
          <w:p w14:paraId="31905DE9" w14:textId="4A897BD8"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0.156</w:t>
            </w:r>
          </w:p>
        </w:tc>
      </w:tr>
      <w:tr w:rsidR="00920E66" w:rsidRPr="004D4ABF" w14:paraId="7FE88E15" w14:textId="77777777" w:rsidTr="001B4C93">
        <w:trPr>
          <w:jc w:val="center"/>
        </w:trPr>
        <w:tc>
          <w:tcPr>
            <w:tcW w:w="1056" w:type="dxa"/>
            <w:vMerge/>
          </w:tcPr>
          <w:p w14:paraId="748DDFF9"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rPr>
                <w:bCs/>
                <w:sz w:val="18"/>
                <w:szCs w:val="18"/>
              </w:rPr>
            </w:pPr>
          </w:p>
        </w:tc>
        <w:tc>
          <w:tcPr>
            <w:tcW w:w="2012" w:type="dxa"/>
          </w:tcPr>
          <w:p w14:paraId="01D65B75" w14:textId="53375D7B"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bCs/>
                <w:sz w:val="18"/>
                <w:szCs w:val="18"/>
              </w:rPr>
              <w:t>＞</w:t>
            </w:r>
            <w:r w:rsidR="00374352" w:rsidRPr="004D4ABF">
              <w:rPr>
                <w:rFonts w:hint="eastAsia"/>
                <w:bCs/>
                <w:sz w:val="18"/>
                <w:szCs w:val="18"/>
              </w:rPr>
              <w:t>3</w:t>
            </w:r>
            <w:r w:rsidRPr="004D4ABF">
              <w:rPr>
                <w:bCs/>
                <w:sz w:val="18"/>
                <w:szCs w:val="18"/>
              </w:rPr>
              <w:t>(31,37.3%)</w:t>
            </w:r>
          </w:p>
        </w:tc>
        <w:tc>
          <w:tcPr>
            <w:tcW w:w="1233" w:type="dxa"/>
          </w:tcPr>
          <w:p w14:paraId="177F3EB2"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2.4±2.1</w:t>
            </w:r>
          </w:p>
        </w:tc>
        <w:tc>
          <w:tcPr>
            <w:tcW w:w="1146" w:type="dxa"/>
          </w:tcPr>
          <w:p w14:paraId="0794E612"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57" w:type="dxa"/>
          </w:tcPr>
          <w:p w14:paraId="764AFBE1"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2.0±1.6</w:t>
            </w:r>
          </w:p>
        </w:tc>
        <w:tc>
          <w:tcPr>
            <w:tcW w:w="899" w:type="dxa"/>
          </w:tcPr>
          <w:p w14:paraId="35ADE18C"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985" w:type="dxa"/>
          </w:tcPr>
          <w:p w14:paraId="6AB2869B"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4.6±5.3</w:t>
            </w:r>
          </w:p>
        </w:tc>
        <w:tc>
          <w:tcPr>
            <w:tcW w:w="772" w:type="dxa"/>
          </w:tcPr>
          <w:p w14:paraId="5DE2E4D7"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07" w:type="dxa"/>
          </w:tcPr>
          <w:p w14:paraId="6471E199"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r>
      <w:tr w:rsidR="00920E66" w:rsidRPr="004D4ABF" w14:paraId="27A398F8" w14:textId="77777777" w:rsidTr="001B4C93">
        <w:trPr>
          <w:jc w:val="center"/>
        </w:trPr>
        <w:tc>
          <w:tcPr>
            <w:tcW w:w="1056" w:type="dxa"/>
            <w:vMerge w:val="restart"/>
          </w:tcPr>
          <w:p w14:paraId="179FC43A" w14:textId="77777777" w:rsidR="00920E66" w:rsidRPr="004D4ABF" w:rsidRDefault="00106697" w:rsidP="00DC0079">
            <w:pPr>
              <w:overflowPunct w:val="0"/>
              <w:autoSpaceDE w:val="0"/>
              <w:autoSpaceDN w:val="0"/>
              <w:adjustRightInd w:val="0"/>
              <w:snapToGrid w:val="0"/>
              <w:spacing w:before="78" w:after="78" w:line="360" w:lineRule="auto"/>
              <w:rPr>
                <w:bCs/>
                <w:sz w:val="18"/>
                <w:szCs w:val="18"/>
              </w:rPr>
            </w:pPr>
            <w:r w:rsidRPr="004D4ABF">
              <w:rPr>
                <w:bCs/>
                <w:sz w:val="18"/>
                <w:szCs w:val="18"/>
              </w:rPr>
              <w:t>discharge mRS score</w:t>
            </w:r>
          </w:p>
        </w:tc>
        <w:tc>
          <w:tcPr>
            <w:tcW w:w="2012" w:type="dxa"/>
          </w:tcPr>
          <w:p w14:paraId="67379DA4" w14:textId="77777777" w:rsidR="00920E66" w:rsidRPr="004D4ABF" w:rsidRDefault="00106697" w:rsidP="00DC0079">
            <w:pPr>
              <w:overflowPunct w:val="0"/>
              <w:autoSpaceDE w:val="0"/>
              <w:autoSpaceDN w:val="0"/>
              <w:adjustRightInd w:val="0"/>
              <w:snapToGrid w:val="0"/>
              <w:spacing w:before="78" w:after="78" w:line="360" w:lineRule="auto"/>
              <w:ind w:firstLineChars="200" w:firstLine="360"/>
              <w:rPr>
                <w:bCs/>
                <w:sz w:val="18"/>
                <w:szCs w:val="18"/>
              </w:rPr>
            </w:pPr>
            <w:r w:rsidRPr="004D4ABF">
              <w:rPr>
                <w:rFonts w:hint="eastAsia"/>
                <w:bCs/>
                <w:sz w:val="18"/>
                <w:szCs w:val="18"/>
              </w:rPr>
              <w:t>≤</w:t>
            </w:r>
            <w:r w:rsidRPr="004D4ABF">
              <w:rPr>
                <w:bCs/>
                <w:sz w:val="18"/>
                <w:szCs w:val="18"/>
              </w:rPr>
              <w:t>2 (53,63.9%)</w:t>
            </w:r>
          </w:p>
        </w:tc>
        <w:tc>
          <w:tcPr>
            <w:tcW w:w="1233" w:type="dxa"/>
          </w:tcPr>
          <w:p w14:paraId="5BA77BBC"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1.6±1.8</w:t>
            </w:r>
          </w:p>
        </w:tc>
        <w:tc>
          <w:tcPr>
            <w:tcW w:w="1146" w:type="dxa"/>
          </w:tcPr>
          <w:p w14:paraId="4342CF5C" w14:textId="4A40674D"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0.070</w:t>
            </w:r>
          </w:p>
        </w:tc>
        <w:tc>
          <w:tcPr>
            <w:tcW w:w="857" w:type="dxa"/>
          </w:tcPr>
          <w:p w14:paraId="7519E41F"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1.8±1.7</w:t>
            </w:r>
          </w:p>
        </w:tc>
        <w:tc>
          <w:tcPr>
            <w:tcW w:w="899" w:type="dxa"/>
          </w:tcPr>
          <w:p w14:paraId="7D516215" w14:textId="43FC8BBC"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0.278</w:t>
            </w:r>
          </w:p>
        </w:tc>
        <w:tc>
          <w:tcPr>
            <w:tcW w:w="985" w:type="dxa"/>
          </w:tcPr>
          <w:p w14:paraId="362CC454"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6.1±23.6</w:t>
            </w:r>
          </w:p>
        </w:tc>
        <w:tc>
          <w:tcPr>
            <w:tcW w:w="772" w:type="dxa"/>
          </w:tcPr>
          <w:p w14:paraId="6E74985D" w14:textId="7D1AA1E9"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
                <w:sz w:val="18"/>
                <w:szCs w:val="18"/>
              </w:rPr>
              <w:t>0.007</w:t>
            </w:r>
          </w:p>
        </w:tc>
        <w:tc>
          <w:tcPr>
            <w:tcW w:w="807" w:type="dxa"/>
          </w:tcPr>
          <w:p w14:paraId="0A061D6D" w14:textId="1760F16D"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0.086</w:t>
            </w:r>
          </w:p>
        </w:tc>
      </w:tr>
      <w:tr w:rsidR="00920E66" w:rsidRPr="004D4ABF" w14:paraId="491E3A32" w14:textId="77777777" w:rsidTr="001B4C93">
        <w:trPr>
          <w:jc w:val="center"/>
        </w:trPr>
        <w:tc>
          <w:tcPr>
            <w:tcW w:w="1056" w:type="dxa"/>
            <w:vMerge/>
          </w:tcPr>
          <w:p w14:paraId="4A3028AD" w14:textId="77777777" w:rsidR="00920E66" w:rsidRPr="004D4ABF" w:rsidRDefault="00920E66" w:rsidP="00DC0079">
            <w:pPr>
              <w:overflowPunct w:val="0"/>
              <w:autoSpaceDE w:val="0"/>
              <w:autoSpaceDN w:val="0"/>
              <w:adjustRightInd w:val="0"/>
              <w:snapToGrid w:val="0"/>
              <w:spacing w:before="78" w:after="78" w:line="360" w:lineRule="auto"/>
              <w:ind w:firstLineChars="200" w:firstLine="420"/>
              <w:rPr>
                <w:bCs/>
                <w:sz w:val="21"/>
                <w:szCs w:val="21"/>
              </w:rPr>
            </w:pPr>
          </w:p>
        </w:tc>
        <w:tc>
          <w:tcPr>
            <w:tcW w:w="2012" w:type="dxa"/>
          </w:tcPr>
          <w:p w14:paraId="349552BC" w14:textId="77777777" w:rsidR="00920E66" w:rsidRPr="004D4ABF" w:rsidRDefault="00106697" w:rsidP="00DC0079">
            <w:pPr>
              <w:overflowPunct w:val="0"/>
              <w:autoSpaceDE w:val="0"/>
              <w:autoSpaceDN w:val="0"/>
              <w:adjustRightInd w:val="0"/>
              <w:snapToGrid w:val="0"/>
              <w:spacing w:before="78" w:after="78" w:line="360" w:lineRule="auto"/>
              <w:ind w:firstLineChars="200" w:firstLine="420"/>
              <w:rPr>
                <w:bCs/>
                <w:sz w:val="21"/>
                <w:szCs w:val="21"/>
              </w:rPr>
            </w:pPr>
            <w:r w:rsidRPr="004D4ABF">
              <w:rPr>
                <w:rFonts w:hint="eastAsia"/>
                <w:bCs/>
                <w:sz w:val="21"/>
                <w:szCs w:val="21"/>
              </w:rPr>
              <w:t>≥</w:t>
            </w:r>
            <w:r w:rsidRPr="004D4ABF">
              <w:rPr>
                <w:bCs/>
                <w:sz w:val="21"/>
                <w:szCs w:val="21"/>
              </w:rPr>
              <w:t>3 (30,36.1%)</w:t>
            </w:r>
          </w:p>
        </w:tc>
        <w:tc>
          <w:tcPr>
            <w:tcW w:w="1233" w:type="dxa"/>
          </w:tcPr>
          <w:p w14:paraId="5F93C0A0"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2.4±2.2</w:t>
            </w:r>
          </w:p>
        </w:tc>
        <w:tc>
          <w:tcPr>
            <w:tcW w:w="1146" w:type="dxa"/>
          </w:tcPr>
          <w:p w14:paraId="42519B28"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57" w:type="dxa"/>
          </w:tcPr>
          <w:p w14:paraId="4FBA2FFD"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2.4±2.4</w:t>
            </w:r>
          </w:p>
        </w:tc>
        <w:tc>
          <w:tcPr>
            <w:tcW w:w="899" w:type="dxa"/>
          </w:tcPr>
          <w:p w14:paraId="34CFCA50"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985" w:type="dxa"/>
          </w:tcPr>
          <w:p w14:paraId="22912AE4" w14:textId="77777777" w:rsidR="00920E66" w:rsidRPr="004D4ABF" w:rsidRDefault="00106697" w:rsidP="00DC0079">
            <w:pPr>
              <w:overflowPunct w:val="0"/>
              <w:autoSpaceDE w:val="0"/>
              <w:autoSpaceDN w:val="0"/>
              <w:adjustRightInd w:val="0"/>
              <w:snapToGrid w:val="0"/>
              <w:spacing w:before="78" w:after="78" w:line="360" w:lineRule="auto"/>
              <w:jc w:val="left"/>
              <w:rPr>
                <w:bCs/>
                <w:sz w:val="18"/>
                <w:szCs w:val="18"/>
              </w:rPr>
            </w:pPr>
            <w:r w:rsidRPr="004D4ABF">
              <w:rPr>
                <w:bCs/>
                <w:sz w:val="18"/>
                <w:szCs w:val="18"/>
              </w:rPr>
              <w:t>7.0±10.3</w:t>
            </w:r>
          </w:p>
        </w:tc>
        <w:tc>
          <w:tcPr>
            <w:tcW w:w="772" w:type="dxa"/>
          </w:tcPr>
          <w:p w14:paraId="36273FC6"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c>
          <w:tcPr>
            <w:tcW w:w="807" w:type="dxa"/>
          </w:tcPr>
          <w:p w14:paraId="1AC66BB2" w14:textId="77777777" w:rsidR="00920E66" w:rsidRPr="004D4ABF" w:rsidRDefault="00920E66" w:rsidP="00DC0079">
            <w:pPr>
              <w:overflowPunct w:val="0"/>
              <w:autoSpaceDE w:val="0"/>
              <w:autoSpaceDN w:val="0"/>
              <w:adjustRightInd w:val="0"/>
              <w:snapToGrid w:val="0"/>
              <w:spacing w:before="78" w:after="78" w:line="360" w:lineRule="auto"/>
              <w:ind w:firstLineChars="200" w:firstLine="360"/>
              <w:jc w:val="left"/>
              <w:rPr>
                <w:bCs/>
                <w:sz w:val="18"/>
                <w:szCs w:val="18"/>
              </w:rPr>
            </w:pPr>
          </w:p>
        </w:tc>
      </w:tr>
    </w:tbl>
    <w:p w14:paraId="431E8486" w14:textId="131F5DB2" w:rsidR="00DC0079" w:rsidRPr="004D4ABF" w:rsidRDefault="00106697" w:rsidP="00CF7213">
      <w:pPr>
        <w:overflowPunct w:val="0"/>
        <w:adjustRightInd w:val="0"/>
        <w:snapToGrid w:val="0"/>
        <w:spacing w:line="360" w:lineRule="auto"/>
        <w:ind w:firstLineChars="200" w:firstLine="300"/>
        <w:rPr>
          <w:rStyle w:val="2Char"/>
          <w:rFonts w:ascii="Times New Roman" w:hAnsi="Times New Roman"/>
          <w:b w:val="0"/>
          <w:sz w:val="15"/>
          <w:szCs w:val="15"/>
        </w:rPr>
      </w:pPr>
      <w:r w:rsidRPr="004D4ABF">
        <w:rPr>
          <w:rStyle w:val="2Char"/>
          <w:rFonts w:ascii="Times New Roman" w:hAnsi="Times New Roman"/>
          <w:b w:val="0"/>
          <w:sz w:val="15"/>
          <w:szCs w:val="15"/>
        </w:rPr>
        <w:t>All significant p-values are highlighted by bold chaeacters</w:t>
      </w:r>
      <w:r w:rsidR="009F46E2" w:rsidRPr="004D4ABF">
        <w:rPr>
          <w:rStyle w:val="2Char"/>
          <w:rFonts w:ascii="Times New Roman" w:hAnsi="Times New Roman" w:hint="eastAsia"/>
          <w:b w:val="0"/>
          <w:sz w:val="15"/>
          <w:szCs w:val="15"/>
        </w:rPr>
        <w:t>. TOAST: Trial of Org10172 in Acute Stroke Treatment,</w:t>
      </w:r>
      <w:r w:rsidR="009F46E2" w:rsidRPr="004D4ABF">
        <w:rPr>
          <w:rFonts w:hint="eastAsia"/>
        </w:rPr>
        <w:t xml:space="preserve"> </w:t>
      </w:r>
      <w:r w:rsidR="009F46E2" w:rsidRPr="004D4ABF">
        <w:rPr>
          <w:rStyle w:val="2Char"/>
          <w:rFonts w:ascii="Times New Roman" w:hAnsi="Times New Roman" w:hint="eastAsia"/>
          <w:b w:val="0"/>
          <w:sz w:val="15"/>
          <w:szCs w:val="15"/>
        </w:rPr>
        <w:t>LAA:</w:t>
      </w:r>
      <w:r w:rsidR="008A3FEF" w:rsidRPr="004D4ABF">
        <w:rPr>
          <w:rStyle w:val="2Char"/>
          <w:rFonts w:ascii="Times New Roman" w:hAnsi="Times New Roman"/>
          <w:b w:val="0"/>
          <w:sz w:val="15"/>
          <w:szCs w:val="15"/>
        </w:rPr>
        <w:t xml:space="preserve"> </w:t>
      </w:r>
      <w:r w:rsidR="009F46E2" w:rsidRPr="004D4ABF">
        <w:rPr>
          <w:rStyle w:val="2Char"/>
          <w:rFonts w:ascii="Times New Roman" w:hAnsi="Times New Roman" w:hint="eastAsia"/>
          <w:b w:val="0"/>
          <w:sz w:val="15"/>
          <w:szCs w:val="15"/>
        </w:rPr>
        <w:t xml:space="preserve">large artery </w:t>
      </w:r>
      <w:r w:rsidR="008A3FEF" w:rsidRPr="004D4ABF">
        <w:rPr>
          <w:rStyle w:val="2Char"/>
          <w:rFonts w:ascii="Times New Roman" w:hAnsi="Times New Roman"/>
          <w:b w:val="0"/>
          <w:sz w:val="15"/>
          <w:szCs w:val="15"/>
        </w:rPr>
        <w:t>atherosclerosis</w:t>
      </w:r>
      <w:r w:rsidR="009F46E2" w:rsidRPr="004D4ABF">
        <w:rPr>
          <w:rStyle w:val="2Char"/>
          <w:rFonts w:ascii="Times New Roman" w:hAnsi="Times New Roman" w:hint="eastAsia"/>
          <w:b w:val="0"/>
          <w:sz w:val="15"/>
          <w:szCs w:val="15"/>
        </w:rPr>
        <w:t xml:space="preserve">, CE: </w:t>
      </w:r>
      <w:r w:rsidR="008A3FEF" w:rsidRPr="004D4ABF">
        <w:rPr>
          <w:rStyle w:val="2Char"/>
          <w:rFonts w:ascii="Times New Roman" w:hAnsi="Times New Roman"/>
          <w:b w:val="0"/>
          <w:sz w:val="15"/>
          <w:szCs w:val="15"/>
        </w:rPr>
        <w:t>cardioembolism</w:t>
      </w:r>
      <w:r w:rsidR="009F46E2" w:rsidRPr="004D4ABF">
        <w:rPr>
          <w:rStyle w:val="2Char"/>
          <w:rFonts w:ascii="Times New Roman" w:hAnsi="Times New Roman" w:hint="eastAsia"/>
          <w:b w:val="0"/>
          <w:sz w:val="15"/>
          <w:szCs w:val="15"/>
        </w:rPr>
        <w:t>, SAA:</w:t>
      </w:r>
      <w:r w:rsidR="008A3FEF" w:rsidRPr="004D4ABF">
        <w:rPr>
          <w:rStyle w:val="2Char"/>
          <w:rFonts w:ascii="Times New Roman" w:hAnsi="Times New Roman"/>
          <w:b w:val="0"/>
          <w:sz w:val="15"/>
          <w:szCs w:val="15"/>
        </w:rPr>
        <w:t xml:space="preserve"> </w:t>
      </w:r>
      <w:r w:rsidR="009F46E2" w:rsidRPr="004D4ABF">
        <w:rPr>
          <w:rStyle w:val="2Char"/>
          <w:rFonts w:ascii="Times New Roman" w:hAnsi="Times New Roman" w:hint="eastAsia"/>
          <w:b w:val="0"/>
          <w:sz w:val="15"/>
          <w:szCs w:val="15"/>
        </w:rPr>
        <w:t>small vessel occlusion, SOE:</w:t>
      </w:r>
      <w:r w:rsidR="008A3FEF" w:rsidRPr="004D4ABF">
        <w:rPr>
          <w:rStyle w:val="2Char"/>
          <w:rFonts w:ascii="Times New Roman" w:hAnsi="Times New Roman"/>
          <w:b w:val="0"/>
          <w:sz w:val="15"/>
          <w:szCs w:val="15"/>
        </w:rPr>
        <w:t xml:space="preserve"> </w:t>
      </w:r>
      <w:r w:rsidR="009F46E2" w:rsidRPr="004D4ABF">
        <w:rPr>
          <w:rStyle w:val="2Char"/>
          <w:rFonts w:ascii="Times New Roman" w:hAnsi="Times New Roman" w:hint="eastAsia"/>
          <w:b w:val="0"/>
          <w:sz w:val="15"/>
          <w:szCs w:val="15"/>
        </w:rPr>
        <w:t>stroke of other etiology</w:t>
      </w:r>
      <w:r w:rsidR="007C2B94" w:rsidRPr="004D4ABF">
        <w:rPr>
          <w:rStyle w:val="2Char"/>
          <w:rFonts w:ascii="Times New Roman" w:hAnsi="Times New Roman" w:hint="eastAsia"/>
          <w:b w:val="0"/>
          <w:sz w:val="15"/>
          <w:szCs w:val="15"/>
        </w:rPr>
        <w:t>, SUE:</w:t>
      </w:r>
      <w:r w:rsidR="008A3FEF" w:rsidRPr="004D4ABF">
        <w:rPr>
          <w:rStyle w:val="2Char"/>
          <w:rFonts w:ascii="Times New Roman" w:hAnsi="Times New Roman"/>
          <w:b w:val="0"/>
          <w:sz w:val="15"/>
          <w:szCs w:val="15"/>
        </w:rPr>
        <w:t xml:space="preserve"> </w:t>
      </w:r>
      <w:r w:rsidR="009F46E2" w:rsidRPr="004D4ABF">
        <w:rPr>
          <w:rStyle w:val="2Char"/>
          <w:rFonts w:ascii="Times New Roman" w:hAnsi="Times New Roman" w:hint="eastAsia"/>
          <w:b w:val="0"/>
          <w:sz w:val="15"/>
          <w:szCs w:val="15"/>
        </w:rPr>
        <w:t>stroke of unknown etiology</w:t>
      </w:r>
    </w:p>
    <w:p w14:paraId="2D9C609D" w14:textId="11AA977B" w:rsidR="001D2D82" w:rsidRPr="004D4ABF" w:rsidRDefault="001D2D82" w:rsidP="00CF7213">
      <w:pPr>
        <w:overflowPunct w:val="0"/>
        <w:adjustRightInd w:val="0"/>
        <w:snapToGrid w:val="0"/>
        <w:spacing w:line="360" w:lineRule="auto"/>
        <w:ind w:firstLineChars="200" w:firstLine="300"/>
        <w:rPr>
          <w:bCs/>
          <w:sz w:val="15"/>
          <w:szCs w:val="15"/>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3882"/>
      </w:tblGrid>
      <w:tr w:rsidR="00920E66" w:rsidRPr="004D4ABF" w14:paraId="1E75D0E3" w14:textId="77777777">
        <w:tc>
          <w:tcPr>
            <w:tcW w:w="4640" w:type="dxa"/>
          </w:tcPr>
          <w:p w14:paraId="74E6675A" w14:textId="77777777" w:rsidR="00920E66" w:rsidRPr="004D4ABF" w:rsidRDefault="00106697" w:rsidP="00DC0079">
            <w:pPr>
              <w:overflowPunct w:val="0"/>
              <w:adjustRightInd w:val="0"/>
              <w:snapToGrid w:val="0"/>
              <w:spacing w:line="360" w:lineRule="auto"/>
              <w:ind w:firstLineChars="200" w:firstLine="560"/>
            </w:pPr>
            <w:r w:rsidRPr="004D4ABF">
              <w:rPr>
                <w:rFonts w:hint="eastAsia"/>
                <w:bCs/>
                <w:szCs w:val="21"/>
              </w:rPr>
              <w:t>A</w:t>
            </w:r>
          </w:p>
        </w:tc>
        <w:tc>
          <w:tcPr>
            <w:tcW w:w="3882" w:type="dxa"/>
          </w:tcPr>
          <w:p w14:paraId="4617E9EC" w14:textId="77777777" w:rsidR="00920E66" w:rsidRPr="004D4ABF" w:rsidRDefault="00106697" w:rsidP="00DC0079">
            <w:pPr>
              <w:overflowPunct w:val="0"/>
              <w:adjustRightInd w:val="0"/>
              <w:snapToGrid w:val="0"/>
              <w:spacing w:line="360" w:lineRule="auto"/>
              <w:ind w:firstLineChars="200" w:firstLine="560"/>
            </w:pPr>
            <w:r w:rsidRPr="004D4ABF">
              <w:rPr>
                <w:rFonts w:hint="eastAsia"/>
              </w:rPr>
              <w:t>B</w:t>
            </w:r>
          </w:p>
        </w:tc>
      </w:tr>
      <w:tr w:rsidR="00920E66" w:rsidRPr="004D4ABF" w14:paraId="317582D7" w14:textId="77777777">
        <w:tc>
          <w:tcPr>
            <w:tcW w:w="4640" w:type="dxa"/>
          </w:tcPr>
          <w:p w14:paraId="28DB5940" w14:textId="77777777" w:rsidR="00920E66" w:rsidRPr="004D4ABF" w:rsidRDefault="00106697" w:rsidP="00DC0079">
            <w:pPr>
              <w:overflowPunct w:val="0"/>
              <w:autoSpaceDE w:val="0"/>
              <w:autoSpaceDN w:val="0"/>
              <w:adjustRightInd w:val="0"/>
              <w:snapToGrid w:val="0"/>
              <w:spacing w:line="360" w:lineRule="auto"/>
              <w:ind w:firstLineChars="200" w:firstLine="560"/>
              <w:rPr>
                <w:bCs/>
                <w:szCs w:val="21"/>
              </w:rPr>
            </w:pPr>
            <w:r w:rsidRPr="004D4ABF">
              <w:rPr>
                <w:bCs/>
                <w:noProof/>
                <w:szCs w:val="21"/>
              </w:rPr>
              <w:drawing>
                <wp:inline distT="0" distB="0" distL="0" distR="0" wp14:anchorId="0B4EB4DF" wp14:editId="18E42525">
                  <wp:extent cx="2571750" cy="1544852"/>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32249" cy="1581194"/>
                          </a:xfrm>
                          <a:prstGeom prst="rect">
                            <a:avLst/>
                          </a:prstGeom>
                        </pic:spPr>
                      </pic:pic>
                    </a:graphicData>
                  </a:graphic>
                </wp:inline>
              </w:drawing>
            </w:r>
          </w:p>
        </w:tc>
        <w:tc>
          <w:tcPr>
            <w:tcW w:w="3882" w:type="dxa"/>
          </w:tcPr>
          <w:p w14:paraId="01FBBC5A" w14:textId="77777777" w:rsidR="00920E66" w:rsidRPr="004D4ABF" w:rsidRDefault="00106697" w:rsidP="00DC0079">
            <w:pPr>
              <w:overflowPunct w:val="0"/>
              <w:autoSpaceDE w:val="0"/>
              <w:autoSpaceDN w:val="0"/>
              <w:adjustRightInd w:val="0"/>
              <w:snapToGrid w:val="0"/>
              <w:spacing w:line="360" w:lineRule="auto"/>
              <w:ind w:firstLineChars="200" w:firstLine="560"/>
              <w:rPr>
                <w:bCs/>
                <w:szCs w:val="21"/>
              </w:rPr>
            </w:pPr>
            <w:r w:rsidRPr="004D4ABF">
              <w:rPr>
                <w:bCs/>
                <w:noProof/>
                <w:szCs w:val="21"/>
              </w:rPr>
              <w:drawing>
                <wp:inline distT="0" distB="0" distL="0" distR="0" wp14:anchorId="1923BCAF" wp14:editId="77AF3DD6">
                  <wp:extent cx="2032000" cy="135596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56348" cy="1372208"/>
                          </a:xfrm>
                          <a:prstGeom prst="rect">
                            <a:avLst/>
                          </a:prstGeom>
                        </pic:spPr>
                      </pic:pic>
                    </a:graphicData>
                  </a:graphic>
                </wp:inline>
              </w:drawing>
            </w:r>
          </w:p>
        </w:tc>
      </w:tr>
      <w:tr w:rsidR="00920E66" w:rsidRPr="004D4ABF" w14:paraId="27B962CE" w14:textId="77777777">
        <w:tc>
          <w:tcPr>
            <w:tcW w:w="4640" w:type="dxa"/>
          </w:tcPr>
          <w:p w14:paraId="04294A27" w14:textId="77777777" w:rsidR="00920E66" w:rsidRPr="004D4ABF" w:rsidRDefault="00106697" w:rsidP="00DC0079">
            <w:pPr>
              <w:overflowPunct w:val="0"/>
              <w:adjustRightInd w:val="0"/>
              <w:snapToGrid w:val="0"/>
              <w:spacing w:line="360" w:lineRule="auto"/>
              <w:ind w:firstLineChars="200" w:firstLine="560"/>
            </w:pPr>
            <w:r w:rsidRPr="004D4ABF">
              <w:rPr>
                <w:rFonts w:hint="eastAsia"/>
              </w:rPr>
              <w:t>C</w:t>
            </w:r>
          </w:p>
        </w:tc>
        <w:tc>
          <w:tcPr>
            <w:tcW w:w="3882" w:type="dxa"/>
          </w:tcPr>
          <w:p w14:paraId="3F0E6EB1" w14:textId="77777777" w:rsidR="00920E66" w:rsidRPr="004D4ABF" w:rsidRDefault="00920E66" w:rsidP="00DC0079">
            <w:pPr>
              <w:overflowPunct w:val="0"/>
              <w:autoSpaceDE w:val="0"/>
              <w:autoSpaceDN w:val="0"/>
              <w:adjustRightInd w:val="0"/>
              <w:snapToGrid w:val="0"/>
              <w:spacing w:line="360" w:lineRule="auto"/>
              <w:ind w:firstLineChars="200" w:firstLine="560"/>
            </w:pPr>
          </w:p>
        </w:tc>
      </w:tr>
      <w:tr w:rsidR="00920E66" w:rsidRPr="004D4ABF" w14:paraId="4524FC92" w14:textId="77777777">
        <w:tc>
          <w:tcPr>
            <w:tcW w:w="4640" w:type="dxa"/>
          </w:tcPr>
          <w:p w14:paraId="0E103EE6" w14:textId="77777777" w:rsidR="00920E66" w:rsidRPr="004D4ABF" w:rsidRDefault="00106697" w:rsidP="00DC0079">
            <w:pPr>
              <w:overflowPunct w:val="0"/>
              <w:adjustRightInd w:val="0"/>
              <w:snapToGrid w:val="0"/>
              <w:spacing w:line="360" w:lineRule="auto"/>
              <w:ind w:firstLineChars="200" w:firstLine="560"/>
            </w:pPr>
            <w:r w:rsidRPr="004D4ABF">
              <w:rPr>
                <w:noProof/>
              </w:rPr>
              <w:drawing>
                <wp:inline distT="0" distB="0" distL="0" distR="0" wp14:anchorId="21D11E2F" wp14:editId="6E7FA320">
                  <wp:extent cx="2462530" cy="18459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90807" cy="1867696"/>
                          </a:xfrm>
                          <a:prstGeom prst="rect">
                            <a:avLst/>
                          </a:prstGeom>
                        </pic:spPr>
                      </pic:pic>
                    </a:graphicData>
                  </a:graphic>
                </wp:inline>
              </w:drawing>
            </w:r>
          </w:p>
        </w:tc>
        <w:tc>
          <w:tcPr>
            <w:tcW w:w="3882" w:type="dxa"/>
          </w:tcPr>
          <w:p w14:paraId="2049AAAA" w14:textId="77777777" w:rsidR="00920E66" w:rsidRPr="004D4ABF" w:rsidRDefault="00920E66" w:rsidP="00DC0079">
            <w:pPr>
              <w:overflowPunct w:val="0"/>
              <w:adjustRightInd w:val="0"/>
              <w:snapToGrid w:val="0"/>
              <w:spacing w:line="360" w:lineRule="auto"/>
              <w:ind w:firstLineChars="200" w:firstLine="560"/>
            </w:pPr>
          </w:p>
        </w:tc>
      </w:tr>
    </w:tbl>
    <w:p w14:paraId="36FA4B73" w14:textId="55F3CD99" w:rsidR="00920E66" w:rsidRPr="004D4ABF" w:rsidRDefault="00106697" w:rsidP="00DC0079">
      <w:pPr>
        <w:overflowPunct w:val="0"/>
        <w:adjustRightInd w:val="0"/>
        <w:snapToGrid w:val="0"/>
        <w:spacing w:line="360" w:lineRule="auto"/>
        <w:ind w:firstLineChars="200" w:firstLine="400"/>
        <w:jc w:val="center"/>
        <w:rPr>
          <w:sz w:val="20"/>
          <w:szCs w:val="20"/>
        </w:rPr>
      </w:pPr>
      <w:r w:rsidRPr="004D4ABF">
        <w:rPr>
          <w:sz w:val="20"/>
          <w:szCs w:val="20"/>
        </w:rPr>
        <w:lastRenderedPageBreak/>
        <w:t>Fig.</w:t>
      </w:r>
      <w:r w:rsidR="005716A9" w:rsidRPr="004D4ABF">
        <w:rPr>
          <w:rFonts w:hint="eastAsia"/>
          <w:sz w:val="20"/>
          <w:szCs w:val="20"/>
        </w:rPr>
        <w:t xml:space="preserve"> </w:t>
      </w:r>
      <w:r w:rsidR="007E2107" w:rsidRPr="004D4ABF">
        <w:rPr>
          <w:sz w:val="20"/>
          <w:szCs w:val="20"/>
        </w:rPr>
        <w:t>4</w:t>
      </w:r>
      <w:r w:rsidRPr="004D4ABF">
        <w:rPr>
          <w:sz w:val="20"/>
          <w:szCs w:val="20"/>
        </w:rPr>
        <w:t xml:space="preserve"> The expression </w:t>
      </w:r>
      <w:r w:rsidR="005716A9" w:rsidRPr="004D4ABF">
        <w:rPr>
          <w:rFonts w:hint="eastAsia"/>
          <w:sz w:val="20"/>
          <w:szCs w:val="20"/>
        </w:rPr>
        <w:t xml:space="preserve">levels </w:t>
      </w:r>
      <w:r w:rsidRPr="004D4ABF">
        <w:rPr>
          <w:sz w:val="20"/>
          <w:szCs w:val="20"/>
        </w:rPr>
        <w:t>of miRNA-338-3p, miRNA-1250-5p</w:t>
      </w:r>
      <w:r w:rsidR="005716A9" w:rsidRPr="004D4ABF">
        <w:rPr>
          <w:rFonts w:hint="eastAsia"/>
          <w:sz w:val="20"/>
          <w:szCs w:val="20"/>
        </w:rPr>
        <w:t>,</w:t>
      </w:r>
      <w:r w:rsidRPr="004D4ABF">
        <w:rPr>
          <w:sz w:val="20"/>
          <w:szCs w:val="20"/>
        </w:rPr>
        <w:t xml:space="preserve"> and miRNA-3065-5p in differen</w:t>
      </w:r>
      <w:r w:rsidR="005716A9" w:rsidRPr="004D4ABF">
        <w:rPr>
          <w:rFonts w:hint="eastAsia"/>
          <w:sz w:val="20"/>
          <w:szCs w:val="20"/>
        </w:rPr>
        <w:t>t</w:t>
      </w:r>
      <w:r w:rsidRPr="004D4ABF">
        <w:rPr>
          <w:sz w:val="20"/>
          <w:szCs w:val="20"/>
        </w:rPr>
        <w:t xml:space="preserve"> groups. </w:t>
      </w:r>
    </w:p>
    <w:p w14:paraId="3B2D4F86" w14:textId="2F266302" w:rsidR="00920E66" w:rsidRPr="004D4ABF" w:rsidRDefault="00106697" w:rsidP="00DC0079">
      <w:pPr>
        <w:overflowPunct w:val="0"/>
        <w:adjustRightInd w:val="0"/>
        <w:snapToGrid w:val="0"/>
        <w:spacing w:line="360" w:lineRule="auto"/>
        <w:ind w:firstLineChars="200" w:firstLine="400"/>
        <w:rPr>
          <w:sz w:val="20"/>
          <w:szCs w:val="20"/>
        </w:rPr>
      </w:pPr>
      <w:r w:rsidRPr="004D4ABF">
        <w:rPr>
          <w:rFonts w:hint="eastAsia"/>
          <w:sz w:val="20"/>
          <w:szCs w:val="20"/>
        </w:rPr>
        <w:t>(</w:t>
      </w:r>
      <w:r w:rsidRPr="004D4ABF">
        <w:rPr>
          <w:sz w:val="20"/>
          <w:szCs w:val="20"/>
        </w:rPr>
        <w:t>A)T</w:t>
      </w:r>
      <w:r w:rsidRPr="004D4ABF">
        <w:rPr>
          <w:rFonts w:hint="eastAsia"/>
          <w:sz w:val="20"/>
          <w:szCs w:val="20"/>
        </w:rPr>
        <w:t>he</w:t>
      </w:r>
      <w:r w:rsidRPr="004D4ABF">
        <w:rPr>
          <w:sz w:val="20"/>
          <w:szCs w:val="20"/>
        </w:rPr>
        <w:t xml:space="preserve"> expression</w:t>
      </w:r>
      <w:r w:rsidR="005716A9" w:rsidRPr="004D4ABF">
        <w:rPr>
          <w:rFonts w:hint="eastAsia"/>
          <w:sz w:val="20"/>
          <w:szCs w:val="20"/>
        </w:rPr>
        <w:t xml:space="preserve"> levels</w:t>
      </w:r>
      <w:r w:rsidRPr="004D4ABF">
        <w:rPr>
          <w:sz w:val="20"/>
          <w:szCs w:val="20"/>
        </w:rPr>
        <w:t xml:space="preserve"> of miRNA-338-3p, miRNA-1250-5p</w:t>
      </w:r>
      <w:r w:rsidR="005716A9" w:rsidRPr="004D4ABF">
        <w:rPr>
          <w:rFonts w:hint="eastAsia"/>
          <w:sz w:val="20"/>
          <w:szCs w:val="20"/>
        </w:rPr>
        <w:t>,</w:t>
      </w:r>
      <w:r w:rsidRPr="004D4ABF">
        <w:rPr>
          <w:sz w:val="20"/>
          <w:szCs w:val="20"/>
        </w:rPr>
        <w:t xml:space="preserve"> and miRNA-3065-5p</w:t>
      </w:r>
      <w:r w:rsidR="005716A9" w:rsidRPr="004D4ABF">
        <w:rPr>
          <w:rFonts w:hint="eastAsia"/>
          <w:sz w:val="20"/>
          <w:szCs w:val="20"/>
        </w:rPr>
        <w:t xml:space="preserve"> were analyzed</w:t>
      </w:r>
      <w:r w:rsidRPr="004D4ABF">
        <w:rPr>
          <w:sz w:val="20"/>
          <w:szCs w:val="20"/>
        </w:rPr>
        <w:t xml:space="preserve"> between g</w:t>
      </w:r>
      <w:r w:rsidR="005716A9" w:rsidRPr="004D4ABF">
        <w:rPr>
          <w:rFonts w:hint="eastAsia"/>
          <w:sz w:val="20"/>
          <w:szCs w:val="20"/>
        </w:rPr>
        <w:t>r</w:t>
      </w:r>
      <w:r w:rsidRPr="004D4ABF">
        <w:rPr>
          <w:sz w:val="20"/>
          <w:szCs w:val="20"/>
        </w:rPr>
        <w:t>oups according to the stages of the disease</w:t>
      </w:r>
      <w:r w:rsidR="005716A9" w:rsidRPr="004D4ABF">
        <w:rPr>
          <w:rFonts w:hint="eastAsia"/>
          <w:sz w:val="20"/>
          <w:szCs w:val="20"/>
        </w:rPr>
        <w:t>.</w:t>
      </w:r>
      <w:r w:rsidRPr="004D4ABF">
        <w:rPr>
          <w:sz w:val="20"/>
          <w:szCs w:val="20"/>
        </w:rPr>
        <w:t xml:space="preserve"> </w:t>
      </w:r>
      <w:r w:rsidR="005716A9" w:rsidRPr="004D4ABF">
        <w:rPr>
          <w:rFonts w:hint="eastAsia"/>
          <w:sz w:val="20"/>
          <w:szCs w:val="20"/>
        </w:rPr>
        <w:t>T</w:t>
      </w:r>
      <w:r w:rsidRPr="004D4ABF">
        <w:rPr>
          <w:sz w:val="20"/>
          <w:szCs w:val="20"/>
        </w:rPr>
        <w:t xml:space="preserve">he difference in miRNA-1250-5p </w:t>
      </w:r>
      <w:r w:rsidR="005716A9" w:rsidRPr="004D4ABF">
        <w:rPr>
          <w:rFonts w:hint="eastAsia"/>
          <w:sz w:val="20"/>
          <w:szCs w:val="20"/>
        </w:rPr>
        <w:t xml:space="preserve">expression </w:t>
      </w:r>
      <w:r w:rsidRPr="004D4ABF">
        <w:rPr>
          <w:sz w:val="20"/>
          <w:szCs w:val="20"/>
        </w:rPr>
        <w:t>between groups was statistically significant.</w:t>
      </w:r>
      <w:r w:rsidR="008A3FEF" w:rsidRPr="004D4ABF">
        <w:rPr>
          <w:sz w:val="20"/>
          <w:szCs w:val="20"/>
        </w:rPr>
        <w:t xml:space="preserve"> </w:t>
      </w:r>
      <w:r w:rsidRPr="004D4ABF">
        <w:rPr>
          <w:sz w:val="20"/>
          <w:szCs w:val="20"/>
        </w:rPr>
        <w:t>(B) T</w:t>
      </w:r>
      <w:r w:rsidRPr="004D4ABF">
        <w:rPr>
          <w:rFonts w:hint="eastAsia"/>
          <w:sz w:val="20"/>
          <w:szCs w:val="20"/>
        </w:rPr>
        <w:t>he</w:t>
      </w:r>
      <w:r w:rsidRPr="004D4ABF">
        <w:rPr>
          <w:sz w:val="20"/>
          <w:szCs w:val="20"/>
        </w:rPr>
        <w:t xml:space="preserve"> expression </w:t>
      </w:r>
      <w:r w:rsidR="00A460B8" w:rsidRPr="004D4ABF">
        <w:rPr>
          <w:rFonts w:hint="eastAsia"/>
          <w:sz w:val="20"/>
          <w:szCs w:val="20"/>
        </w:rPr>
        <w:t>levels</w:t>
      </w:r>
      <w:r w:rsidR="00A460B8" w:rsidRPr="004D4ABF">
        <w:rPr>
          <w:sz w:val="20"/>
          <w:szCs w:val="20"/>
        </w:rPr>
        <w:t xml:space="preserve"> </w:t>
      </w:r>
      <w:r w:rsidRPr="004D4ABF">
        <w:rPr>
          <w:sz w:val="20"/>
          <w:szCs w:val="20"/>
        </w:rPr>
        <w:t>of miRNA-338-3p, miRNA-1250-5p</w:t>
      </w:r>
      <w:r w:rsidR="00A460B8" w:rsidRPr="004D4ABF">
        <w:rPr>
          <w:rFonts w:hint="eastAsia"/>
          <w:sz w:val="20"/>
          <w:szCs w:val="20"/>
        </w:rPr>
        <w:t>,</w:t>
      </w:r>
      <w:r w:rsidRPr="004D4ABF">
        <w:rPr>
          <w:sz w:val="20"/>
          <w:szCs w:val="20"/>
        </w:rPr>
        <w:t xml:space="preserve"> and miRNA-3065-5p</w:t>
      </w:r>
      <w:r w:rsidR="00A460B8" w:rsidRPr="004D4ABF">
        <w:rPr>
          <w:rFonts w:hint="eastAsia"/>
          <w:sz w:val="20"/>
          <w:szCs w:val="20"/>
        </w:rPr>
        <w:t xml:space="preserve"> were evaluated</w:t>
      </w:r>
      <w:r w:rsidRPr="004D4ABF">
        <w:rPr>
          <w:sz w:val="20"/>
          <w:szCs w:val="20"/>
        </w:rPr>
        <w:t xml:space="preserve"> between </w:t>
      </w:r>
      <w:r w:rsidR="008A3FEF" w:rsidRPr="004D4ABF">
        <w:rPr>
          <w:sz w:val="20"/>
          <w:szCs w:val="20"/>
        </w:rPr>
        <w:t xml:space="preserve">groups based on the </w:t>
      </w:r>
      <w:r w:rsidRPr="004D4ABF">
        <w:rPr>
          <w:sz w:val="20"/>
          <w:szCs w:val="20"/>
        </w:rPr>
        <w:t>discharge NIHSS score</w:t>
      </w:r>
      <w:r w:rsidR="00A460B8" w:rsidRPr="004D4ABF">
        <w:rPr>
          <w:rFonts w:hint="eastAsia"/>
          <w:sz w:val="20"/>
          <w:szCs w:val="20"/>
        </w:rPr>
        <w:t>. T</w:t>
      </w:r>
      <w:r w:rsidRPr="004D4ABF">
        <w:rPr>
          <w:sz w:val="20"/>
          <w:szCs w:val="20"/>
        </w:rPr>
        <w:t>he differences in miRNA-338-3p and miRNA-3065-5p</w:t>
      </w:r>
      <w:r w:rsidR="00A460B8" w:rsidRPr="004D4ABF">
        <w:rPr>
          <w:rFonts w:hint="eastAsia"/>
          <w:sz w:val="20"/>
          <w:szCs w:val="20"/>
        </w:rPr>
        <w:t xml:space="preserve"> expression</w:t>
      </w:r>
      <w:r w:rsidRPr="004D4ABF">
        <w:rPr>
          <w:sz w:val="20"/>
          <w:szCs w:val="20"/>
        </w:rPr>
        <w:t xml:space="preserve"> between groups were statistically significant.</w:t>
      </w:r>
      <w:r w:rsidR="008A3FEF" w:rsidRPr="004D4ABF">
        <w:rPr>
          <w:sz w:val="20"/>
          <w:szCs w:val="20"/>
        </w:rPr>
        <w:t xml:space="preserve"> </w:t>
      </w:r>
      <w:r w:rsidRPr="004D4ABF">
        <w:rPr>
          <w:sz w:val="20"/>
          <w:szCs w:val="20"/>
        </w:rPr>
        <w:t>(C) T</w:t>
      </w:r>
      <w:r w:rsidRPr="004D4ABF">
        <w:rPr>
          <w:rFonts w:hint="eastAsia"/>
          <w:sz w:val="20"/>
          <w:szCs w:val="20"/>
        </w:rPr>
        <w:t>he</w:t>
      </w:r>
      <w:r w:rsidRPr="004D4ABF">
        <w:rPr>
          <w:sz w:val="20"/>
          <w:szCs w:val="20"/>
        </w:rPr>
        <w:t xml:space="preserve"> expression</w:t>
      </w:r>
      <w:r w:rsidR="00A460B8" w:rsidRPr="004D4ABF">
        <w:rPr>
          <w:rFonts w:hint="eastAsia"/>
          <w:sz w:val="20"/>
          <w:szCs w:val="20"/>
        </w:rPr>
        <w:t xml:space="preserve"> levels</w:t>
      </w:r>
      <w:r w:rsidRPr="004D4ABF">
        <w:rPr>
          <w:sz w:val="20"/>
          <w:szCs w:val="20"/>
        </w:rPr>
        <w:t xml:space="preserve"> of miRNA-338-3p, miRNA-1250-5p</w:t>
      </w:r>
      <w:r w:rsidR="00A460B8" w:rsidRPr="004D4ABF">
        <w:rPr>
          <w:rFonts w:hint="eastAsia"/>
          <w:sz w:val="20"/>
          <w:szCs w:val="20"/>
        </w:rPr>
        <w:t>,</w:t>
      </w:r>
      <w:r w:rsidRPr="004D4ABF">
        <w:rPr>
          <w:sz w:val="20"/>
          <w:szCs w:val="20"/>
        </w:rPr>
        <w:t xml:space="preserve"> and miRNA-3065-5p</w:t>
      </w:r>
      <w:r w:rsidR="00A460B8" w:rsidRPr="004D4ABF">
        <w:rPr>
          <w:rFonts w:hint="eastAsia"/>
          <w:sz w:val="20"/>
          <w:szCs w:val="20"/>
        </w:rPr>
        <w:t xml:space="preserve"> were compared</w:t>
      </w:r>
      <w:r w:rsidRPr="004D4ABF">
        <w:rPr>
          <w:sz w:val="20"/>
          <w:szCs w:val="20"/>
        </w:rPr>
        <w:t xml:space="preserve"> between g</w:t>
      </w:r>
      <w:r w:rsidR="00A460B8" w:rsidRPr="004D4ABF">
        <w:rPr>
          <w:rFonts w:hint="eastAsia"/>
          <w:sz w:val="20"/>
          <w:szCs w:val="20"/>
        </w:rPr>
        <w:t>r</w:t>
      </w:r>
      <w:r w:rsidRPr="004D4ABF">
        <w:rPr>
          <w:sz w:val="20"/>
          <w:szCs w:val="20"/>
        </w:rPr>
        <w:t>oups according to discharge mRS score</w:t>
      </w:r>
      <w:r w:rsidR="00A460B8" w:rsidRPr="004D4ABF">
        <w:rPr>
          <w:rFonts w:hint="eastAsia"/>
          <w:sz w:val="20"/>
          <w:szCs w:val="20"/>
        </w:rPr>
        <w:t>s.</w:t>
      </w:r>
      <w:r w:rsidRPr="004D4ABF">
        <w:rPr>
          <w:sz w:val="20"/>
          <w:szCs w:val="20"/>
        </w:rPr>
        <w:t xml:space="preserve"> </w:t>
      </w:r>
      <w:r w:rsidR="00A460B8" w:rsidRPr="004D4ABF">
        <w:rPr>
          <w:rFonts w:hint="eastAsia"/>
          <w:sz w:val="20"/>
          <w:szCs w:val="20"/>
        </w:rPr>
        <w:t>T</w:t>
      </w:r>
      <w:r w:rsidRPr="004D4ABF">
        <w:rPr>
          <w:sz w:val="20"/>
          <w:szCs w:val="20"/>
        </w:rPr>
        <w:t>he difference in miRNA-3065-5p</w:t>
      </w:r>
      <w:r w:rsidR="00A460B8" w:rsidRPr="004D4ABF">
        <w:rPr>
          <w:rFonts w:hint="eastAsia"/>
          <w:sz w:val="20"/>
          <w:szCs w:val="20"/>
        </w:rPr>
        <w:t xml:space="preserve"> expression</w:t>
      </w:r>
      <w:r w:rsidRPr="004D4ABF">
        <w:rPr>
          <w:sz w:val="20"/>
          <w:szCs w:val="20"/>
        </w:rPr>
        <w:t xml:space="preserve"> between groups was statistically significant</w:t>
      </w:r>
      <w:r w:rsidRPr="004D4ABF">
        <w:rPr>
          <w:rFonts w:hint="eastAsia"/>
          <w:sz w:val="20"/>
          <w:szCs w:val="20"/>
        </w:rPr>
        <w:t>.</w:t>
      </w:r>
      <w:r w:rsidRPr="004D4ABF">
        <w:rPr>
          <w:sz w:val="20"/>
          <w:szCs w:val="20"/>
        </w:rPr>
        <w:t xml:space="preserve"> *P&lt;0.05</w:t>
      </w:r>
      <w:r w:rsidRPr="004D4ABF">
        <w:rPr>
          <w:rFonts w:hint="eastAsia"/>
          <w:sz w:val="20"/>
          <w:szCs w:val="20"/>
        </w:rPr>
        <w:t>,</w:t>
      </w:r>
      <w:r w:rsidRPr="004D4ABF">
        <w:rPr>
          <w:sz w:val="20"/>
          <w:szCs w:val="20"/>
        </w:rPr>
        <w:t xml:space="preserve"> **P&lt;0.01</w:t>
      </w:r>
      <w:r w:rsidRPr="004D4ABF">
        <w:rPr>
          <w:rFonts w:hint="eastAsia"/>
          <w:sz w:val="20"/>
          <w:szCs w:val="20"/>
        </w:rPr>
        <w:t>,</w:t>
      </w:r>
      <w:r w:rsidR="00A460B8" w:rsidRPr="004D4ABF">
        <w:rPr>
          <w:rFonts w:hint="eastAsia"/>
          <w:sz w:val="20"/>
          <w:szCs w:val="20"/>
        </w:rPr>
        <w:t xml:space="preserve"> </w:t>
      </w:r>
      <w:r w:rsidRPr="004D4ABF">
        <w:rPr>
          <w:sz w:val="20"/>
          <w:szCs w:val="20"/>
        </w:rPr>
        <w:t>***P&lt;0.001</w:t>
      </w:r>
      <w:r w:rsidR="00A460B8" w:rsidRPr="004D4ABF">
        <w:rPr>
          <w:rFonts w:hint="eastAsia"/>
          <w:sz w:val="20"/>
          <w:szCs w:val="20"/>
        </w:rPr>
        <w:t>.</w:t>
      </w:r>
    </w:p>
    <w:p w14:paraId="6E580317" w14:textId="77777777" w:rsidR="00653A8D" w:rsidRDefault="00653A8D" w:rsidP="00653A8D">
      <w:pPr>
        <w:overflowPunct w:val="0"/>
        <w:autoSpaceDE w:val="0"/>
        <w:autoSpaceDN w:val="0"/>
        <w:adjustRightInd w:val="0"/>
        <w:snapToGrid w:val="0"/>
        <w:spacing w:line="360" w:lineRule="auto"/>
        <w:ind w:firstLineChars="200" w:firstLine="562"/>
        <w:rPr>
          <w:b/>
          <w:bCs/>
        </w:rPr>
      </w:pPr>
      <w:bookmarkStart w:id="6" w:name="OLE_LINK33"/>
    </w:p>
    <w:p w14:paraId="3C36FF27" w14:textId="407BF44D" w:rsidR="00EE54DC" w:rsidRPr="004D4ABF" w:rsidRDefault="00EE54DC" w:rsidP="00653A8D">
      <w:pPr>
        <w:overflowPunct w:val="0"/>
        <w:autoSpaceDE w:val="0"/>
        <w:autoSpaceDN w:val="0"/>
        <w:adjustRightInd w:val="0"/>
        <w:snapToGrid w:val="0"/>
        <w:spacing w:line="360" w:lineRule="auto"/>
        <w:ind w:firstLineChars="200" w:firstLine="400"/>
        <w:rPr>
          <w:sz w:val="20"/>
          <w:szCs w:val="20"/>
        </w:rPr>
      </w:pPr>
      <w:r w:rsidRPr="004D4ABF">
        <w:rPr>
          <w:sz w:val="20"/>
          <w:szCs w:val="20"/>
        </w:rPr>
        <w:t xml:space="preserve">Tab1e </w:t>
      </w:r>
      <w:r w:rsidR="001E3275" w:rsidRPr="004D4ABF">
        <w:rPr>
          <w:rFonts w:hint="eastAsia"/>
          <w:sz w:val="20"/>
          <w:szCs w:val="20"/>
        </w:rPr>
        <w:t>5</w:t>
      </w:r>
      <w:r w:rsidRPr="004D4ABF">
        <w:rPr>
          <w:sz w:val="20"/>
          <w:szCs w:val="20"/>
        </w:rPr>
        <w:t xml:space="preserve"> The correlational analysis between miRNA-338-3p,miRNA-1250-5p,miRNA-3065-5p</w:t>
      </w:r>
      <w:r w:rsidR="005E7B27" w:rsidRPr="004D4ABF">
        <w:rPr>
          <w:rFonts w:hint="eastAsia"/>
          <w:sz w:val="20"/>
          <w:szCs w:val="20"/>
        </w:rPr>
        <w:t>,</w:t>
      </w:r>
      <w:r w:rsidRPr="004D4ABF">
        <w:rPr>
          <w:sz w:val="20"/>
          <w:szCs w:val="20"/>
        </w:rPr>
        <w:t xml:space="preserve"> and clinical parameters in patients with IS</w:t>
      </w:r>
    </w:p>
    <w:tbl>
      <w:tblPr>
        <w:tblStyle w:val="11"/>
        <w:tblW w:w="9256" w:type="dxa"/>
        <w:jc w:val="center"/>
        <w:tblLook w:val="04A0" w:firstRow="1" w:lastRow="0" w:firstColumn="1" w:lastColumn="0" w:noHBand="0" w:noVBand="1"/>
      </w:tblPr>
      <w:tblGrid>
        <w:gridCol w:w="1985"/>
        <w:gridCol w:w="1187"/>
        <w:gridCol w:w="1283"/>
        <w:gridCol w:w="1189"/>
        <w:gridCol w:w="1338"/>
        <w:gridCol w:w="1189"/>
        <w:gridCol w:w="1085"/>
      </w:tblGrid>
      <w:tr w:rsidR="006778CC" w:rsidRPr="004D4ABF" w14:paraId="605DCC6A" w14:textId="77777777" w:rsidTr="00106697">
        <w:trPr>
          <w:cnfStyle w:val="100000000000" w:firstRow="1" w:lastRow="0" w:firstColumn="0" w:lastColumn="0" w:oddVBand="0" w:evenVBand="0" w:oddHBand="0" w:evenHBand="0" w:firstRowFirstColumn="0" w:firstRowLastColumn="0" w:lastRowFirstColumn="0" w:lastRowLastColumn="0"/>
          <w:jc w:val="center"/>
        </w:trPr>
        <w:tc>
          <w:tcPr>
            <w:tcW w:w="1985" w:type="dxa"/>
            <w:vMerge w:val="restart"/>
            <w:vAlign w:val="center"/>
          </w:tcPr>
          <w:bookmarkEnd w:id="6"/>
          <w:p w14:paraId="24E75875" w14:textId="55F39FC9" w:rsidR="00EE54DC" w:rsidRPr="004D4ABF" w:rsidRDefault="00EE54DC" w:rsidP="00106697">
            <w:pPr>
              <w:autoSpaceDE w:val="0"/>
              <w:autoSpaceDN w:val="0"/>
              <w:adjustRightInd w:val="0"/>
              <w:spacing w:before="78" w:after="78" w:line="360" w:lineRule="auto"/>
              <w:jc w:val="center"/>
              <w:rPr>
                <w:b/>
                <w:kern w:val="0"/>
                <w:szCs w:val="21"/>
              </w:rPr>
            </w:pPr>
            <w:r w:rsidRPr="004D4ABF">
              <w:rPr>
                <w:rFonts w:hint="eastAsia"/>
                <w:sz w:val="21"/>
                <w:szCs w:val="21"/>
              </w:rPr>
              <w:t>V</w:t>
            </w:r>
            <w:r w:rsidRPr="004D4ABF">
              <w:rPr>
                <w:sz w:val="21"/>
                <w:szCs w:val="21"/>
              </w:rPr>
              <w:t>ariables</w:t>
            </w:r>
          </w:p>
        </w:tc>
        <w:tc>
          <w:tcPr>
            <w:tcW w:w="7271" w:type="dxa"/>
            <w:gridSpan w:val="6"/>
            <w:tcBorders>
              <w:bottom w:val="single" w:sz="4" w:space="0" w:color="auto"/>
            </w:tcBorders>
            <w:vAlign w:val="center"/>
          </w:tcPr>
          <w:p w14:paraId="5A393973" w14:textId="2801397E" w:rsidR="00EE54DC" w:rsidRPr="004D4ABF" w:rsidRDefault="00EE54DC" w:rsidP="00106697">
            <w:pPr>
              <w:autoSpaceDE w:val="0"/>
              <w:autoSpaceDN w:val="0"/>
              <w:adjustRightInd w:val="0"/>
              <w:spacing w:before="78" w:after="78" w:line="360" w:lineRule="auto"/>
              <w:jc w:val="center"/>
              <w:rPr>
                <w:b/>
                <w:kern w:val="0"/>
                <w:szCs w:val="21"/>
              </w:rPr>
            </w:pPr>
            <w:r w:rsidRPr="004D4ABF">
              <w:rPr>
                <w:kern w:val="0"/>
                <w:sz w:val="21"/>
                <w:szCs w:val="21"/>
              </w:rPr>
              <w:t>Experimental group</w:t>
            </w:r>
            <w:r w:rsidRPr="004D4ABF">
              <w:rPr>
                <w:sz w:val="21"/>
                <w:szCs w:val="21"/>
              </w:rPr>
              <w:t>（</w:t>
            </w:r>
            <w:r w:rsidRPr="004D4ABF">
              <w:rPr>
                <w:i/>
                <w:iCs/>
                <w:sz w:val="21"/>
                <w:szCs w:val="21"/>
              </w:rPr>
              <w:t>n</w:t>
            </w:r>
            <w:r w:rsidRPr="004D4ABF">
              <w:rPr>
                <w:sz w:val="21"/>
                <w:szCs w:val="21"/>
              </w:rPr>
              <w:t>=83</w:t>
            </w:r>
            <w:r w:rsidRPr="004D4ABF">
              <w:rPr>
                <w:sz w:val="21"/>
                <w:szCs w:val="21"/>
              </w:rPr>
              <w:t>）</w:t>
            </w:r>
          </w:p>
        </w:tc>
      </w:tr>
      <w:tr w:rsidR="006778CC" w:rsidRPr="004D4ABF" w14:paraId="13F6D709" w14:textId="77777777" w:rsidTr="00106697">
        <w:trPr>
          <w:jc w:val="center"/>
        </w:trPr>
        <w:tc>
          <w:tcPr>
            <w:tcW w:w="1985" w:type="dxa"/>
            <w:vMerge/>
            <w:vAlign w:val="center"/>
          </w:tcPr>
          <w:p w14:paraId="0977DDF8" w14:textId="77777777" w:rsidR="00EE54DC" w:rsidRPr="004D4ABF" w:rsidRDefault="00EE54DC" w:rsidP="00106697">
            <w:pPr>
              <w:autoSpaceDE w:val="0"/>
              <w:autoSpaceDN w:val="0"/>
              <w:adjustRightInd w:val="0"/>
              <w:spacing w:before="78" w:after="78" w:line="360" w:lineRule="auto"/>
              <w:jc w:val="right"/>
              <w:rPr>
                <w:b/>
                <w:kern w:val="0"/>
                <w:szCs w:val="21"/>
              </w:rPr>
            </w:pPr>
          </w:p>
        </w:tc>
        <w:tc>
          <w:tcPr>
            <w:tcW w:w="2470" w:type="dxa"/>
            <w:gridSpan w:val="2"/>
            <w:tcBorders>
              <w:top w:val="single" w:sz="4" w:space="0" w:color="auto"/>
              <w:bottom w:val="single" w:sz="4" w:space="0" w:color="auto"/>
            </w:tcBorders>
            <w:vAlign w:val="center"/>
          </w:tcPr>
          <w:p w14:paraId="568B364E" w14:textId="77777777" w:rsidR="00EE54DC" w:rsidRPr="004D4ABF" w:rsidRDefault="00EE54DC" w:rsidP="00106697">
            <w:pPr>
              <w:autoSpaceDE w:val="0"/>
              <w:autoSpaceDN w:val="0"/>
              <w:adjustRightInd w:val="0"/>
              <w:spacing w:before="78" w:after="78" w:line="360" w:lineRule="auto"/>
              <w:jc w:val="center"/>
              <w:rPr>
                <w:bCs/>
                <w:kern w:val="0"/>
                <w:sz w:val="21"/>
                <w:szCs w:val="16"/>
              </w:rPr>
            </w:pPr>
            <w:r w:rsidRPr="004D4ABF">
              <w:rPr>
                <w:bCs/>
                <w:kern w:val="0"/>
                <w:sz w:val="21"/>
                <w:szCs w:val="16"/>
              </w:rPr>
              <w:t>miRNA-338-3p</w:t>
            </w:r>
          </w:p>
        </w:tc>
        <w:tc>
          <w:tcPr>
            <w:tcW w:w="2527" w:type="dxa"/>
            <w:gridSpan w:val="2"/>
            <w:tcBorders>
              <w:top w:val="single" w:sz="4" w:space="0" w:color="auto"/>
              <w:bottom w:val="single" w:sz="4" w:space="0" w:color="auto"/>
            </w:tcBorders>
            <w:vAlign w:val="center"/>
          </w:tcPr>
          <w:p w14:paraId="35AF258E" w14:textId="77777777" w:rsidR="00EE54DC" w:rsidRPr="004D4ABF" w:rsidRDefault="00EE54DC" w:rsidP="00106697">
            <w:pPr>
              <w:autoSpaceDE w:val="0"/>
              <w:autoSpaceDN w:val="0"/>
              <w:adjustRightInd w:val="0"/>
              <w:spacing w:before="78" w:after="78" w:line="360" w:lineRule="auto"/>
              <w:jc w:val="center"/>
              <w:rPr>
                <w:bCs/>
                <w:kern w:val="0"/>
                <w:sz w:val="21"/>
                <w:szCs w:val="16"/>
              </w:rPr>
            </w:pPr>
            <w:r w:rsidRPr="004D4ABF">
              <w:rPr>
                <w:bCs/>
                <w:kern w:val="0"/>
                <w:sz w:val="21"/>
                <w:szCs w:val="16"/>
              </w:rPr>
              <w:t>miRNA-1250-5p</w:t>
            </w:r>
          </w:p>
        </w:tc>
        <w:tc>
          <w:tcPr>
            <w:tcW w:w="2274" w:type="dxa"/>
            <w:gridSpan w:val="2"/>
            <w:tcBorders>
              <w:top w:val="single" w:sz="4" w:space="0" w:color="auto"/>
              <w:bottom w:val="single" w:sz="4" w:space="0" w:color="auto"/>
            </w:tcBorders>
            <w:vAlign w:val="center"/>
          </w:tcPr>
          <w:p w14:paraId="1B407C8C" w14:textId="77777777" w:rsidR="00EE54DC" w:rsidRPr="004D4ABF" w:rsidRDefault="00EE54DC" w:rsidP="00106697">
            <w:pPr>
              <w:autoSpaceDE w:val="0"/>
              <w:autoSpaceDN w:val="0"/>
              <w:adjustRightInd w:val="0"/>
              <w:spacing w:before="78" w:after="78" w:line="360" w:lineRule="auto"/>
              <w:jc w:val="center"/>
              <w:rPr>
                <w:bCs/>
                <w:kern w:val="0"/>
                <w:sz w:val="21"/>
                <w:szCs w:val="16"/>
              </w:rPr>
            </w:pPr>
            <w:r w:rsidRPr="004D4ABF">
              <w:rPr>
                <w:bCs/>
                <w:kern w:val="0"/>
                <w:sz w:val="21"/>
                <w:szCs w:val="16"/>
              </w:rPr>
              <w:t>miRNA-3065-5p</w:t>
            </w:r>
          </w:p>
        </w:tc>
      </w:tr>
      <w:tr w:rsidR="006778CC" w:rsidRPr="004D4ABF" w14:paraId="4E505114" w14:textId="77777777" w:rsidTr="00106697">
        <w:trPr>
          <w:jc w:val="center"/>
        </w:trPr>
        <w:tc>
          <w:tcPr>
            <w:tcW w:w="1985" w:type="dxa"/>
            <w:vMerge/>
            <w:tcBorders>
              <w:bottom w:val="nil"/>
            </w:tcBorders>
          </w:tcPr>
          <w:p w14:paraId="7FA43561" w14:textId="77777777" w:rsidR="00EE54DC" w:rsidRPr="004D4ABF" w:rsidRDefault="00EE54DC" w:rsidP="00106697">
            <w:pPr>
              <w:autoSpaceDE w:val="0"/>
              <w:autoSpaceDN w:val="0"/>
              <w:adjustRightInd w:val="0"/>
              <w:spacing w:before="78" w:after="78" w:line="360" w:lineRule="auto"/>
              <w:rPr>
                <w:b/>
                <w:kern w:val="0"/>
                <w:szCs w:val="21"/>
              </w:rPr>
            </w:pPr>
          </w:p>
        </w:tc>
        <w:tc>
          <w:tcPr>
            <w:tcW w:w="1187" w:type="dxa"/>
            <w:tcBorders>
              <w:top w:val="single" w:sz="4" w:space="0" w:color="auto"/>
              <w:bottom w:val="nil"/>
            </w:tcBorders>
            <w:vAlign w:val="center"/>
          </w:tcPr>
          <w:p w14:paraId="59A0C485" w14:textId="77777777" w:rsidR="00EE54DC" w:rsidRPr="004D4ABF" w:rsidRDefault="00EE54DC" w:rsidP="00106697">
            <w:pPr>
              <w:autoSpaceDE w:val="0"/>
              <w:autoSpaceDN w:val="0"/>
              <w:adjustRightInd w:val="0"/>
              <w:spacing w:before="78" w:after="78" w:line="360" w:lineRule="auto"/>
              <w:jc w:val="center"/>
              <w:rPr>
                <w:bCs/>
                <w:kern w:val="0"/>
                <w:sz w:val="21"/>
                <w:szCs w:val="16"/>
              </w:rPr>
            </w:pPr>
            <w:r w:rsidRPr="004D4ABF">
              <w:rPr>
                <w:bCs/>
                <w:kern w:val="0"/>
                <w:sz w:val="21"/>
                <w:szCs w:val="16"/>
              </w:rPr>
              <w:t>R</w:t>
            </w:r>
          </w:p>
        </w:tc>
        <w:tc>
          <w:tcPr>
            <w:tcW w:w="1283" w:type="dxa"/>
            <w:tcBorders>
              <w:top w:val="single" w:sz="4" w:space="0" w:color="auto"/>
              <w:bottom w:val="nil"/>
            </w:tcBorders>
            <w:vAlign w:val="center"/>
          </w:tcPr>
          <w:p w14:paraId="07A00CF1" w14:textId="77777777" w:rsidR="00EE54DC" w:rsidRPr="004D4ABF" w:rsidRDefault="00EE54DC" w:rsidP="00106697">
            <w:pPr>
              <w:autoSpaceDE w:val="0"/>
              <w:autoSpaceDN w:val="0"/>
              <w:adjustRightInd w:val="0"/>
              <w:spacing w:before="78" w:after="78" w:line="360" w:lineRule="auto"/>
              <w:jc w:val="center"/>
              <w:rPr>
                <w:bCs/>
                <w:i/>
                <w:iCs/>
                <w:kern w:val="0"/>
                <w:sz w:val="21"/>
                <w:szCs w:val="16"/>
              </w:rPr>
            </w:pPr>
            <w:r w:rsidRPr="004D4ABF">
              <w:rPr>
                <w:bCs/>
                <w:i/>
                <w:iCs/>
                <w:kern w:val="0"/>
                <w:sz w:val="21"/>
                <w:szCs w:val="16"/>
              </w:rPr>
              <w:t>P</w:t>
            </w:r>
          </w:p>
        </w:tc>
        <w:tc>
          <w:tcPr>
            <w:tcW w:w="1189" w:type="dxa"/>
            <w:tcBorders>
              <w:top w:val="single" w:sz="4" w:space="0" w:color="auto"/>
              <w:bottom w:val="nil"/>
            </w:tcBorders>
            <w:vAlign w:val="center"/>
          </w:tcPr>
          <w:p w14:paraId="221D3F3C" w14:textId="77777777" w:rsidR="00EE54DC" w:rsidRPr="004D4ABF" w:rsidRDefault="00EE54DC" w:rsidP="00106697">
            <w:pPr>
              <w:autoSpaceDE w:val="0"/>
              <w:autoSpaceDN w:val="0"/>
              <w:adjustRightInd w:val="0"/>
              <w:spacing w:before="78" w:after="78" w:line="360" w:lineRule="auto"/>
              <w:jc w:val="center"/>
              <w:rPr>
                <w:bCs/>
                <w:kern w:val="0"/>
                <w:sz w:val="21"/>
                <w:szCs w:val="16"/>
              </w:rPr>
            </w:pPr>
            <w:r w:rsidRPr="004D4ABF">
              <w:rPr>
                <w:bCs/>
                <w:kern w:val="0"/>
                <w:sz w:val="21"/>
                <w:szCs w:val="16"/>
              </w:rPr>
              <w:t>R</w:t>
            </w:r>
          </w:p>
        </w:tc>
        <w:tc>
          <w:tcPr>
            <w:tcW w:w="1338" w:type="dxa"/>
            <w:tcBorders>
              <w:top w:val="single" w:sz="4" w:space="0" w:color="auto"/>
              <w:bottom w:val="nil"/>
            </w:tcBorders>
            <w:vAlign w:val="center"/>
          </w:tcPr>
          <w:p w14:paraId="570FB7CA" w14:textId="77777777" w:rsidR="00EE54DC" w:rsidRPr="004D4ABF" w:rsidRDefault="00EE54DC" w:rsidP="00106697">
            <w:pPr>
              <w:autoSpaceDE w:val="0"/>
              <w:autoSpaceDN w:val="0"/>
              <w:adjustRightInd w:val="0"/>
              <w:spacing w:before="78" w:after="78" w:line="360" w:lineRule="auto"/>
              <w:jc w:val="center"/>
              <w:rPr>
                <w:bCs/>
                <w:i/>
                <w:iCs/>
                <w:kern w:val="0"/>
                <w:sz w:val="21"/>
                <w:szCs w:val="16"/>
              </w:rPr>
            </w:pPr>
            <w:r w:rsidRPr="004D4ABF">
              <w:rPr>
                <w:bCs/>
                <w:i/>
                <w:iCs/>
                <w:kern w:val="0"/>
                <w:sz w:val="21"/>
                <w:szCs w:val="16"/>
              </w:rPr>
              <w:t>P</w:t>
            </w:r>
          </w:p>
        </w:tc>
        <w:tc>
          <w:tcPr>
            <w:tcW w:w="1189" w:type="dxa"/>
            <w:tcBorders>
              <w:top w:val="single" w:sz="4" w:space="0" w:color="auto"/>
              <w:bottom w:val="nil"/>
            </w:tcBorders>
            <w:vAlign w:val="center"/>
          </w:tcPr>
          <w:p w14:paraId="110A95CE" w14:textId="77777777" w:rsidR="00EE54DC" w:rsidRPr="004D4ABF" w:rsidRDefault="00EE54DC" w:rsidP="00106697">
            <w:pPr>
              <w:autoSpaceDE w:val="0"/>
              <w:autoSpaceDN w:val="0"/>
              <w:adjustRightInd w:val="0"/>
              <w:spacing w:before="78" w:after="78" w:line="360" w:lineRule="auto"/>
              <w:jc w:val="center"/>
              <w:rPr>
                <w:bCs/>
                <w:kern w:val="0"/>
                <w:sz w:val="21"/>
                <w:szCs w:val="16"/>
              </w:rPr>
            </w:pPr>
            <w:r w:rsidRPr="004D4ABF">
              <w:rPr>
                <w:bCs/>
                <w:kern w:val="0"/>
                <w:sz w:val="21"/>
                <w:szCs w:val="16"/>
              </w:rPr>
              <w:t>R</w:t>
            </w:r>
          </w:p>
        </w:tc>
        <w:tc>
          <w:tcPr>
            <w:tcW w:w="1085" w:type="dxa"/>
            <w:tcBorders>
              <w:top w:val="single" w:sz="4" w:space="0" w:color="auto"/>
              <w:bottom w:val="nil"/>
            </w:tcBorders>
            <w:vAlign w:val="center"/>
          </w:tcPr>
          <w:p w14:paraId="5E21B602" w14:textId="77777777" w:rsidR="00EE54DC" w:rsidRPr="004D4ABF" w:rsidRDefault="00EE54DC" w:rsidP="00106697">
            <w:pPr>
              <w:autoSpaceDE w:val="0"/>
              <w:autoSpaceDN w:val="0"/>
              <w:adjustRightInd w:val="0"/>
              <w:spacing w:before="78" w:after="78" w:line="360" w:lineRule="auto"/>
              <w:ind w:leftChars="-78" w:left="-75" w:hangingChars="68" w:hanging="143"/>
              <w:jc w:val="center"/>
              <w:rPr>
                <w:bCs/>
                <w:i/>
                <w:iCs/>
                <w:kern w:val="0"/>
                <w:sz w:val="21"/>
                <w:szCs w:val="16"/>
              </w:rPr>
            </w:pPr>
            <w:r w:rsidRPr="004D4ABF">
              <w:rPr>
                <w:bCs/>
                <w:i/>
                <w:iCs/>
                <w:kern w:val="0"/>
                <w:sz w:val="21"/>
                <w:szCs w:val="16"/>
              </w:rPr>
              <w:t>P</w:t>
            </w:r>
          </w:p>
        </w:tc>
      </w:tr>
      <w:tr w:rsidR="006778CC" w:rsidRPr="004D4ABF" w14:paraId="64480540" w14:textId="77777777" w:rsidTr="00106697">
        <w:trPr>
          <w:jc w:val="center"/>
        </w:trPr>
        <w:tc>
          <w:tcPr>
            <w:tcW w:w="1985" w:type="dxa"/>
            <w:tcBorders>
              <w:top w:val="single" w:sz="4" w:space="0" w:color="auto"/>
              <w:bottom w:val="nil"/>
            </w:tcBorders>
          </w:tcPr>
          <w:p w14:paraId="7A434ABF" w14:textId="163C9679" w:rsidR="00EE54DC" w:rsidRPr="004D4ABF" w:rsidRDefault="00EE54DC" w:rsidP="00106697">
            <w:pPr>
              <w:autoSpaceDE w:val="0"/>
              <w:autoSpaceDN w:val="0"/>
              <w:adjustRightInd w:val="0"/>
              <w:spacing w:before="78" w:after="78" w:line="360" w:lineRule="auto"/>
              <w:rPr>
                <w:bCs/>
                <w:kern w:val="0"/>
                <w:sz w:val="18"/>
                <w:szCs w:val="18"/>
              </w:rPr>
            </w:pPr>
            <w:r w:rsidRPr="004D4ABF">
              <w:rPr>
                <w:rFonts w:hint="eastAsia"/>
                <w:bCs/>
                <w:kern w:val="0"/>
                <w:sz w:val="18"/>
                <w:szCs w:val="18"/>
              </w:rPr>
              <w:t>Age</w:t>
            </w:r>
          </w:p>
        </w:tc>
        <w:tc>
          <w:tcPr>
            <w:tcW w:w="1187" w:type="dxa"/>
            <w:tcBorders>
              <w:top w:val="single" w:sz="4" w:space="0" w:color="auto"/>
              <w:bottom w:val="nil"/>
            </w:tcBorders>
            <w:vAlign w:val="center"/>
          </w:tcPr>
          <w:p w14:paraId="0297837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-0.127</w:t>
            </w:r>
          </w:p>
        </w:tc>
        <w:tc>
          <w:tcPr>
            <w:tcW w:w="1283" w:type="dxa"/>
            <w:tcBorders>
              <w:top w:val="single" w:sz="4" w:space="0" w:color="auto"/>
              <w:bottom w:val="nil"/>
            </w:tcBorders>
            <w:vAlign w:val="center"/>
          </w:tcPr>
          <w:p w14:paraId="099B2C4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0.254</w:t>
            </w:r>
          </w:p>
        </w:tc>
        <w:tc>
          <w:tcPr>
            <w:tcW w:w="1189" w:type="dxa"/>
            <w:tcBorders>
              <w:top w:val="single" w:sz="4" w:space="0" w:color="auto"/>
              <w:bottom w:val="nil"/>
            </w:tcBorders>
            <w:vAlign w:val="center"/>
          </w:tcPr>
          <w:p w14:paraId="20FF1EB4"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0.127</w:t>
            </w:r>
          </w:p>
        </w:tc>
        <w:tc>
          <w:tcPr>
            <w:tcW w:w="1338" w:type="dxa"/>
            <w:tcBorders>
              <w:top w:val="single" w:sz="4" w:space="0" w:color="auto"/>
              <w:bottom w:val="nil"/>
            </w:tcBorders>
            <w:vAlign w:val="center"/>
          </w:tcPr>
          <w:p w14:paraId="7649A79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0.252</w:t>
            </w:r>
          </w:p>
        </w:tc>
        <w:tc>
          <w:tcPr>
            <w:tcW w:w="1189" w:type="dxa"/>
            <w:tcBorders>
              <w:top w:val="single" w:sz="4" w:space="0" w:color="auto"/>
              <w:bottom w:val="nil"/>
            </w:tcBorders>
            <w:vAlign w:val="center"/>
          </w:tcPr>
          <w:p w14:paraId="02B0008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0.022</w:t>
            </w:r>
          </w:p>
        </w:tc>
        <w:tc>
          <w:tcPr>
            <w:tcW w:w="1085" w:type="dxa"/>
            <w:tcBorders>
              <w:top w:val="single" w:sz="4" w:space="0" w:color="auto"/>
              <w:bottom w:val="nil"/>
            </w:tcBorders>
            <w:vAlign w:val="center"/>
          </w:tcPr>
          <w:p w14:paraId="3510E5AE" w14:textId="77777777" w:rsidR="00EE54DC" w:rsidRPr="004D4ABF" w:rsidRDefault="00EE54DC" w:rsidP="00106697">
            <w:pPr>
              <w:autoSpaceDE w:val="0"/>
              <w:autoSpaceDN w:val="0"/>
              <w:adjustRightInd w:val="0"/>
              <w:spacing w:before="78" w:after="78" w:line="360" w:lineRule="auto"/>
              <w:ind w:leftChars="-78" w:left="-96" w:hangingChars="68" w:hanging="122"/>
              <w:jc w:val="center"/>
              <w:rPr>
                <w:bCs/>
                <w:kern w:val="0"/>
                <w:sz w:val="18"/>
                <w:szCs w:val="18"/>
              </w:rPr>
            </w:pPr>
            <w:r w:rsidRPr="004D4ABF">
              <w:rPr>
                <w:bCs/>
                <w:kern w:val="0"/>
                <w:sz w:val="18"/>
                <w:szCs w:val="18"/>
              </w:rPr>
              <w:t>0.842</w:t>
            </w:r>
          </w:p>
        </w:tc>
      </w:tr>
      <w:tr w:rsidR="006778CC" w:rsidRPr="004D4ABF" w14:paraId="6541331D" w14:textId="77777777" w:rsidTr="00106697">
        <w:trPr>
          <w:jc w:val="center"/>
        </w:trPr>
        <w:tc>
          <w:tcPr>
            <w:tcW w:w="1985" w:type="dxa"/>
          </w:tcPr>
          <w:p w14:paraId="39FE4C34" w14:textId="1A27E9C4" w:rsidR="00EE54DC" w:rsidRPr="004D4ABF" w:rsidRDefault="00DB3213" w:rsidP="00106697">
            <w:pPr>
              <w:autoSpaceDE w:val="0"/>
              <w:autoSpaceDN w:val="0"/>
              <w:adjustRightInd w:val="0"/>
              <w:spacing w:before="78" w:after="78" w:line="360" w:lineRule="auto"/>
              <w:rPr>
                <w:bCs/>
                <w:kern w:val="0"/>
                <w:sz w:val="18"/>
                <w:szCs w:val="18"/>
              </w:rPr>
            </w:pPr>
            <w:r w:rsidRPr="004D4ABF">
              <w:rPr>
                <w:rFonts w:hint="eastAsia"/>
                <w:bCs/>
                <w:kern w:val="0"/>
                <w:sz w:val="18"/>
                <w:szCs w:val="18"/>
              </w:rPr>
              <w:t>Gender(Female)</w:t>
            </w:r>
          </w:p>
        </w:tc>
        <w:tc>
          <w:tcPr>
            <w:tcW w:w="1187" w:type="dxa"/>
            <w:vAlign w:val="center"/>
          </w:tcPr>
          <w:p w14:paraId="6BBE4C91"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-0.100</w:t>
            </w:r>
          </w:p>
        </w:tc>
        <w:tc>
          <w:tcPr>
            <w:tcW w:w="1283" w:type="dxa"/>
            <w:vAlign w:val="center"/>
          </w:tcPr>
          <w:p w14:paraId="7E8C432B"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0.365</w:t>
            </w:r>
          </w:p>
        </w:tc>
        <w:tc>
          <w:tcPr>
            <w:tcW w:w="1189" w:type="dxa"/>
            <w:vAlign w:val="center"/>
          </w:tcPr>
          <w:p w14:paraId="65F9C96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0.005</w:t>
            </w:r>
          </w:p>
        </w:tc>
        <w:tc>
          <w:tcPr>
            <w:tcW w:w="1338" w:type="dxa"/>
            <w:vAlign w:val="center"/>
          </w:tcPr>
          <w:p w14:paraId="3AB1175D"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0.963</w:t>
            </w:r>
          </w:p>
        </w:tc>
        <w:tc>
          <w:tcPr>
            <w:tcW w:w="1189" w:type="dxa"/>
            <w:vAlign w:val="center"/>
          </w:tcPr>
          <w:p w14:paraId="36DA308A"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0.060</w:t>
            </w:r>
          </w:p>
        </w:tc>
        <w:tc>
          <w:tcPr>
            <w:tcW w:w="1085" w:type="dxa"/>
            <w:vAlign w:val="center"/>
          </w:tcPr>
          <w:p w14:paraId="6B84EB3B"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0.591</w:t>
            </w:r>
          </w:p>
        </w:tc>
      </w:tr>
      <w:tr w:rsidR="006778CC" w:rsidRPr="004D4ABF" w14:paraId="64C47870" w14:textId="77777777" w:rsidTr="00106697">
        <w:trPr>
          <w:jc w:val="center"/>
        </w:trPr>
        <w:tc>
          <w:tcPr>
            <w:tcW w:w="1985" w:type="dxa"/>
          </w:tcPr>
          <w:p w14:paraId="1152C2F8" w14:textId="4CD079E7" w:rsidR="00EE54DC" w:rsidRPr="004D4ABF" w:rsidRDefault="00DB3213" w:rsidP="00106697">
            <w:pPr>
              <w:autoSpaceDE w:val="0"/>
              <w:autoSpaceDN w:val="0"/>
              <w:adjustRightInd w:val="0"/>
              <w:spacing w:before="78" w:after="78" w:line="360" w:lineRule="auto"/>
              <w:rPr>
                <w:bCs/>
                <w:kern w:val="0"/>
                <w:sz w:val="18"/>
                <w:szCs w:val="18"/>
              </w:rPr>
            </w:pPr>
            <w:r w:rsidRPr="004D4ABF">
              <w:rPr>
                <w:sz w:val="18"/>
                <w:szCs w:val="18"/>
              </w:rPr>
              <w:t>Course of disease</w:t>
            </w:r>
          </w:p>
        </w:tc>
        <w:tc>
          <w:tcPr>
            <w:tcW w:w="1187" w:type="dxa"/>
            <w:vAlign w:val="center"/>
          </w:tcPr>
          <w:p w14:paraId="2F0E58FF"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0.063</w:t>
            </w:r>
          </w:p>
        </w:tc>
        <w:tc>
          <w:tcPr>
            <w:tcW w:w="1283" w:type="dxa"/>
            <w:vAlign w:val="center"/>
          </w:tcPr>
          <w:p w14:paraId="5478EB41"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0.572</w:t>
            </w:r>
          </w:p>
        </w:tc>
        <w:tc>
          <w:tcPr>
            <w:tcW w:w="1189" w:type="dxa"/>
            <w:vAlign w:val="center"/>
          </w:tcPr>
          <w:p w14:paraId="3DE5F46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0.141</w:t>
            </w:r>
          </w:p>
        </w:tc>
        <w:tc>
          <w:tcPr>
            <w:tcW w:w="1338" w:type="dxa"/>
            <w:vAlign w:val="center"/>
          </w:tcPr>
          <w:p w14:paraId="39DEF54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0.204</w:t>
            </w:r>
          </w:p>
        </w:tc>
        <w:tc>
          <w:tcPr>
            <w:tcW w:w="1189" w:type="dxa"/>
            <w:vAlign w:val="center"/>
          </w:tcPr>
          <w:p w14:paraId="397586E8"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0.078</w:t>
            </w:r>
          </w:p>
        </w:tc>
        <w:tc>
          <w:tcPr>
            <w:tcW w:w="1085" w:type="dxa"/>
            <w:vAlign w:val="center"/>
          </w:tcPr>
          <w:p w14:paraId="6CC53663"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0.483</w:t>
            </w:r>
          </w:p>
        </w:tc>
      </w:tr>
      <w:tr w:rsidR="006778CC" w:rsidRPr="004D4ABF" w14:paraId="144405B0" w14:textId="77777777" w:rsidTr="00106697">
        <w:trPr>
          <w:jc w:val="center"/>
        </w:trPr>
        <w:tc>
          <w:tcPr>
            <w:tcW w:w="1985" w:type="dxa"/>
          </w:tcPr>
          <w:p w14:paraId="604D3FEB" w14:textId="1EF71320" w:rsidR="00EE54DC" w:rsidRPr="004D4ABF" w:rsidRDefault="00DB3213" w:rsidP="00106697">
            <w:pPr>
              <w:autoSpaceDE w:val="0"/>
              <w:autoSpaceDN w:val="0"/>
              <w:adjustRightInd w:val="0"/>
              <w:spacing w:before="78" w:after="78" w:line="360" w:lineRule="auto"/>
              <w:rPr>
                <w:bCs/>
                <w:kern w:val="0"/>
                <w:sz w:val="18"/>
                <w:szCs w:val="18"/>
              </w:rPr>
            </w:pPr>
            <w:r w:rsidRPr="004D4ABF">
              <w:rPr>
                <w:bCs/>
                <w:sz w:val="18"/>
                <w:szCs w:val="18"/>
              </w:rPr>
              <w:t>admission NIHSS score</w:t>
            </w:r>
          </w:p>
        </w:tc>
        <w:tc>
          <w:tcPr>
            <w:tcW w:w="1187" w:type="dxa"/>
            <w:vAlign w:val="center"/>
          </w:tcPr>
          <w:p w14:paraId="0E9A1568"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0.192</w:t>
            </w:r>
          </w:p>
        </w:tc>
        <w:tc>
          <w:tcPr>
            <w:tcW w:w="1283" w:type="dxa"/>
            <w:vAlign w:val="center"/>
          </w:tcPr>
          <w:p w14:paraId="4833F3FF"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0.082</w:t>
            </w:r>
          </w:p>
        </w:tc>
        <w:tc>
          <w:tcPr>
            <w:tcW w:w="1189" w:type="dxa"/>
            <w:vAlign w:val="center"/>
          </w:tcPr>
          <w:p w14:paraId="0C2466D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0.045</w:t>
            </w:r>
          </w:p>
        </w:tc>
        <w:tc>
          <w:tcPr>
            <w:tcW w:w="1338" w:type="dxa"/>
            <w:vAlign w:val="center"/>
          </w:tcPr>
          <w:p w14:paraId="6B89FA7A"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0.689</w:t>
            </w:r>
          </w:p>
        </w:tc>
        <w:tc>
          <w:tcPr>
            <w:tcW w:w="1189" w:type="dxa"/>
            <w:vAlign w:val="center"/>
          </w:tcPr>
          <w:p w14:paraId="275B1940"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0.227</w:t>
            </w:r>
          </w:p>
        </w:tc>
        <w:tc>
          <w:tcPr>
            <w:tcW w:w="1085" w:type="dxa"/>
            <w:vAlign w:val="center"/>
          </w:tcPr>
          <w:p w14:paraId="6CE47AB3" w14:textId="35875CDD"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0.039</w:t>
            </w:r>
          </w:p>
        </w:tc>
      </w:tr>
      <w:tr w:rsidR="006778CC" w:rsidRPr="004D4ABF" w14:paraId="4832273B" w14:textId="77777777" w:rsidTr="00106697">
        <w:trPr>
          <w:jc w:val="center"/>
        </w:trPr>
        <w:tc>
          <w:tcPr>
            <w:tcW w:w="1985" w:type="dxa"/>
          </w:tcPr>
          <w:p w14:paraId="109AF0B4" w14:textId="0AD24C37" w:rsidR="00EE54DC" w:rsidRPr="004D4ABF" w:rsidRDefault="00DB3213" w:rsidP="00106697">
            <w:pPr>
              <w:autoSpaceDE w:val="0"/>
              <w:autoSpaceDN w:val="0"/>
              <w:adjustRightInd w:val="0"/>
              <w:spacing w:before="78" w:after="78" w:line="360" w:lineRule="auto"/>
              <w:rPr>
                <w:bCs/>
                <w:kern w:val="0"/>
                <w:sz w:val="18"/>
                <w:szCs w:val="18"/>
              </w:rPr>
            </w:pPr>
            <w:r w:rsidRPr="004D4ABF">
              <w:rPr>
                <w:bCs/>
                <w:sz w:val="18"/>
                <w:szCs w:val="18"/>
              </w:rPr>
              <w:t>TOAST</w:t>
            </w:r>
            <w:r w:rsidRPr="004D4ABF">
              <w:rPr>
                <w:rFonts w:hint="eastAsia"/>
                <w:bCs/>
                <w:sz w:val="18"/>
                <w:szCs w:val="18"/>
              </w:rPr>
              <w:t xml:space="preserve"> classification</w:t>
            </w:r>
            <w:r w:rsidR="007668B4" w:rsidRPr="004D4ABF">
              <w:rPr>
                <w:rFonts w:hint="eastAsia"/>
                <w:bCs/>
                <w:sz w:val="18"/>
                <w:szCs w:val="18"/>
              </w:rPr>
              <w:t>(</w:t>
            </w:r>
            <w:r w:rsidR="00EE54DC" w:rsidRPr="004D4ABF">
              <w:rPr>
                <w:bCs/>
                <w:kern w:val="0"/>
                <w:sz w:val="18"/>
                <w:szCs w:val="18"/>
              </w:rPr>
              <w:t>LAA</w:t>
            </w:r>
            <w:r w:rsidR="007668B4" w:rsidRPr="004D4ABF">
              <w:rPr>
                <w:rFonts w:hint="eastAsia"/>
                <w:bCs/>
                <w:kern w:val="0"/>
                <w:sz w:val="18"/>
                <w:szCs w:val="18"/>
              </w:rPr>
              <w:t>)</w:t>
            </w:r>
          </w:p>
        </w:tc>
        <w:tc>
          <w:tcPr>
            <w:tcW w:w="1187" w:type="dxa"/>
            <w:vAlign w:val="center"/>
          </w:tcPr>
          <w:p w14:paraId="2310F2F9"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0.129</w:t>
            </w:r>
          </w:p>
        </w:tc>
        <w:tc>
          <w:tcPr>
            <w:tcW w:w="1283" w:type="dxa"/>
            <w:vAlign w:val="center"/>
          </w:tcPr>
          <w:p w14:paraId="5C45FC2B"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0.244</w:t>
            </w:r>
          </w:p>
        </w:tc>
        <w:tc>
          <w:tcPr>
            <w:tcW w:w="1189" w:type="dxa"/>
            <w:vAlign w:val="center"/>
          </w:tcPr>
          <w:p w14:paraId="03E7E2E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0.051</w:t>
            </w:r>
          </w:p>
        </w:tc>
        <w:tc>
          <w:tcPr>
            <w:tcW w:w="1338" w:type="dxa"/>
            <w:vAlign w:val="center"/>
          </w:tcPr>
          <w:p w14:paraId="71F967C0"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0.644</w:t>
            </w:r>
          </w:p>
        </w:tc>
        <w:tc>
          <w:tcPr>
            <w:tcW w:w="1189" w:type="dxa"/>
            <w:vAlign w:val="center"/>
          </w:tcPr>
          <w:p w14:paraId="080E1FC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-0.118</w:t>
            </w:r>
          </w:p>
        </w:tc>
        <w:tc>
          <w:tcPr>
            <w:tcW w:w="1085" w:type="dxa"/>
            <w:vAlign w:val="center"/>
          </w:tcPr>
          <w:p w14:paraId="20E69015"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0.287</w:t>
            </w:r>
          </w:p>
        </w:tc>
      </w:tr>
      <w:tr w:rsidR="006778CC" w:rsidRPr="004D4ABF" w14:paraId="5D36CCD4" w14:textId="77777777" w:rsidTr="00106697">
        <w:trPr>
          <w:jc w:val="center"/>
        </w:trPr>
        <w:tc>
          <w:tcPr>
            <w:tcW w:w="1985" w:type="dxa"/>
          </w:tcPr>
          <w:p w14:paraId="4717E5B7" w14:textId="6EF19A38" w:rsidR="00EE54DC" w:rsidRPr="004D4ABF" w:rsidRDefault="00DB3213" w:rsidP="00106697">
            <w:pPr>
              <w:autoSpaceDE w:val="0"/>
              <w:autoSpaceDN w:val="0"/>
              <w:adjustRightInd w:val="0"/>
              <w:spacing w:before="78" w:after="78" w:line="360" w:lineRule="auto"/>
              <w:rPr>
                <w:bCs/>
                <w:kern w:val="0"/>
                <w:sz w:val="18"/>
                <w:szCs w:val="18"/>
              </w:rPr>
            </w:pPr>
            <w:r w:rsidRPr="004D4ABF">
              <w:rPr>
                <w:bCs/>
                <w:sz w:val="18"/>
                <w:szCs w:val="18"/>
              </w:rPr>
              <w:t>Length of stay</w:t>
            </w:r>
          </w:p>
        </w:tc>
        <w:tc>
          <w:tcPr>
            <w:tcW w:w="1187" w:type="dxa"/>
            <w:vAlign w:val="center"/>
          </w:tcPr>
          <w:p w14:paraId="7AD46AC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0.071</w:t>
            </w:r>
          </w:p>
        </w:tc>
        <w:tc>
          <w:tcPr>
            <w:tcW w:w="1283" w:type="dxa"/>
            <w:vAlign w:val="center"/>
          </w:tcPr>
          <w:p w14:paraId="42124C0F"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0.525</w:t>
            </w:r>
          </w:p>
        </w:tc>
        <w:tc>
          <w:tcPr>
            <w:tcW w:w="1189" w:type="dxa"/>
            <w:vAlign w:val="center"/>
          </w:tcPr>
          <w:p w14:paraId="52FCB29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0.140</w:t>
            </w:r>
          </w:p>
        </w:tc>
        <w:tc>
          <w:tcPr>
            <w:tcW w:w="1338" w:type="dxa"/>
            <w:vAlign w:val="center"/>
          </w:tcPr>
          <w:p w14:paraId="435C2E36"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0.207</w:t>
            </w:r>
          </w:p>
        </w:tc>
        <w:tc>
          <w:tcPr>
            <w:tcW w:w="1189" w:type="dxa"/>
            <w:vAlign w:val="center"/>
          </w:tcPr>
          <w:p w14:paraId="4265A1E9"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0.243</w:t>
            </w:r>
          </w:p>
        </w:tc>
        <w:tc>
          <w:tcPr>
            <w:tcW w:w="1085" w:type="dxa"/>
            <w:vAlign w:val="center"/>
          </w:tcPr>
          <w:p w14:paraId="50014EBF" w14:textId="25026B65"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0.027</w:t>
            </w:r>
          </w:p>
        </w:tc>
      </w:tr>
      <w:tr w:rsidR="006778CC" w:rsidRPr="004D4ABF" w14:paraId="1911EFD9" w14:textId="77777777" w:rsidTr="00106697">
        <w:trPr>
          <w:jc w:val="center"/>
        </w:trPr>
        <w:tc>
          <w:tcPr>
            <w:tcW w:w="1985" w:type="dxa"/>
          </w:tcPr>
          <w:p w14:paraId="6CB6CEAC" w14:textId="208C895D" w:rsidR="00EE54DC" w:rsidRPr="004D4ABF" w:rsidRDefault="00DB3213" w:rsidP="00106697">
            <w:pPr>
              <w:autoSpaceDE w:val="0"/>
              <w:autoSpaceDN w:val="0"/>
              <w:adjustRightInd w:val="0"/>
              <w:spacing w:before="78" w:after="78" w:line="360" w:lineRule="auto"/>
              <w:rPr>
                <w:bCs/>
                <w:kern w:val="0"/>
                <w:sz w:val="18"/>
                <w:szCs w:val="18"/>
              </w:rPr>
            </w:pPr>
            <w:r w:rsidRPr="004D4ABF">
              <w:rPr>
                <w:sz w:val="18"/>
                <w:szCs w:val="18"/>
              </w:rPr>
              <w:t>discharge NIHSS score</w:t>
            </w:r>
          </w:p>
        </w:tc>
        <w:tc>
          <w:tcPr>
            <w:tcW w:w="1187" w:type="dxa"/>
            <w:vAlign w:val="center"/>
          </w:tcPr>
          <w:p w14:paraId="3C2387A2"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0.189</w:t>
            </w:r>
          </w:p>
        </w:tc>
        <w:tc>
          <w:tcPr>
            <w:tcW w:w="1283" w:type="dxa"/>
            <w:vAlign w:val="center"/>
          </w:tcPr>
          <w:p w14:paraId="3A17221A"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0.086</w:t>
            </w:r>
          </w:p>
        </w:tc>
        <w:tc>
          <w:tcPr>
            <w:tcW w:w="1189" w:type="dxa"/>
            <w:vAlign w:val="center"/>
          </w:tcPr>
          <w:p w14:paraId="2484078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-0.044</w:t>
            </w:r>
          </w:p>
        </w:tc>
        <w:tc>
          <w:tcPr>
            <w:tcW w:w="1338" w:type="dxa"/>
            <w:vAlign w:val="center"/>
          </w:tcPr>
          <w:p w14:paraId="782195D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0.696</w:t>
            </w:r>
          </w:p>
        </w:tc>
        <w:tc>
          <w:tcPr>
            <w:tcW w:w="1189" w:type="dxa"/>
            <w:vAlign w:val="center"/>
          </w:tcPr>
          <w:p w14:paraId="3B7E441B"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0.207</w:t>
            </w:r>
          </w:p>
        </w:tc>
        <w:tc>
          <w:tcPr>
            <w:tcW w:w="1085" w:type="dxa"/>
            <w:vAlign w:val="center"/>
          </w:tcPr>
          <w:p w14:paraId="760781F8"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0.060</w:t>
            </w:r>
          </w:p>
        </w:tc>
      </w:tr>
      <w:tr w:rsidR="006778CC" w:rsidRPr="004D4ABF" w14:paraId="7920B5B6" w14:textId="77777777" w:rsidTr="00106697">
        <w:trPr>
          <w:jc w:val="center"/>
        </w:trPr>
        <w:tc>
          <w:tcPr>
            <w:tcW w:w="1985" w:type="dxa"/>
          </w:tcPr>
          <w:p w14:paraId="602B08E9" w14:textId="1473FF09" w:rsidR="00EE54DC" w:rsidRPr="004D4ABF" w:rsidRDefault="00DB3213" w:rsidP="00106697">
            <w:pPr>
              <w:autoSpaceDE w:val="0"/>
              <w:autoSpaceDN w:val="0"/>
              <w:adjustRightInd w:val="0"/>
              <w:spacing w:before="78" w:after="78" w:line="360" w:lineRule="auto"/>
              <w:rPr>
                <w:bCs/>
                <w:kern w:val="0"/>
                <w:sz w:val="18"/>
                <w:szCs w:val="18"/>
              </w:rPr>
            </w:pPr>
            <w:r w:rsidRPr="004D4ABF">
              <w:rPr>
                <w:bCs/>
                <w:sz w:val="18"/>
                <w:szCs w:val="18"/>
              </w:rPr>
              <w:t>discharge mRS score</w:t>
            </w:r>
          </w:p>
        </w:tc>
        <w:tc>
          <w:tcPr>
            <w:tcW w:w="1187" w:type="dxa"/>
            <w:vAlign w:val="center"/>
          </w:tcPr>
          <w:p w14:paraId="6E01AB82"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0.261</w:t>
            </w:r>
          </w:p>
        </w:tc>
        <w:tc>
          <w:tcPr>
            <w:tcW w:w="1283" w:type="dxa"/>
            <w:vAlign w:val="center"/>
          </w:tcPr>
          <w:p w14:paraId="511D8466" w14:textId="5A9D193A"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0.017</w:t>
            </w:r>
          </w:p>
        </w:tc>
        <w:tc>
          <w:tcPr>
            <w:tcW w:w="1189" w:type="dxa"/>
            <w:vAlign w:val="center"/>
          </w:tcPr>
          <w:p w14:paraId="746D25BA"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0.130</w:t>
            </w:r>
          </w:p>
        </w:tc>
        <w:tc>
          <w:tcPr>
            <w:tcW w:w="1338" w:type="dxa"/>
            <w:vAlign w:val="center"/>
          </w:tcPr>
          <w:p w14:paraId="1A4D4742"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0.242</w:t>
            </w:r>
          </w:p>
        </w:tc>
        <w:tc>
          <w:tcPr>
            <w:tcW w:w="1189" w:type="dxa"/>
            <w:vAlign w:val="center"/>
          </w:tcPr>
          <w:p w14:paraId="21B37E0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0.297</w:t>
            </w:r>
          </w:p>
        </w:tc>
        <w:tc>
          <w:tcPr>
            <w:tcW w:w="1085" w:type="dxa"/>
            <w:vAlign w:val="center"/>
          </w:tcPr>
          <w:p w14:paraId="7DF69E38" w14:textId="699DDF61"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0.006</w:t>
            </w:r>
          </w:p>
        </w:tc>
      </w:tr>
      <w:tr w:rsidR="006778CC" w:rsidRPr="004D4ABF" w14:paraId="3EE56AA9" w14:textId="77777777" w:rsidTr="00106697">
        <w:trPr>
          <w:jc w:val="center"/>
        </w:trPr>
        <w:tc>
          <w:tcPr>
            <w:tcW w:w="1985" w:type="dxa"/>
          </w:tcPr>
          <w:p w14:paraId="76E8128E" w14:textId="61A95C10" w:rsidR="00EE54DC" w:rsidRPr="004D4ABF" w:rsidRDefault="007668B4" w:rsidP="007668B4">
            <w:pPr>
              <w:autoSpaceDE w:val="0"/>
              <w:autoSpaceDN w:val="0"/>
              <w:adjustRightInd w:val="0"/>
              <w:spacing w:before="78" w:after="78" w:line="360" w:lineRule="auto"/>
              <w:ind w:left="180" w:hangingChars="100" w:hanging="180"/>
              <w:rPr>
                <w:bCs/>
                <w:kern w:val="0"/>
                <w:sz w:val="18"/>
                <w:szCs w:val="18"/>
              </w:rPr>
            </w:pPr>
            <w:r w:rsidRPr="004D4ABF">
              <w:rPr>
                <w:bCs/>
                <w:kern w:val="0"/>
                <w:sz w:val="18"/>
                <w:szCs w:val="18"/>
              </w:rPr>
              <w:t>W</w:t>
            </w:r>
            <w:r w:rsidRPr="004D4ABF">
              <w:rPr>
                <w:rFonts w:hint="eastAsia"/>
                <w:bCs/>
                <w:kern w:val="0"/>
                <w:sz w:val="18"/>
                <w:szCs w:val="18"/>
              </w:rPr>
              <w:t xml:space="preserve">hite blood </w:t>
            </w:r>
            <w:r w:rsidR="008A3FEF" w:rsidRPr="004D4ABF">
              <w:rPr>
                <w:bCs/>
                <w:kern w:val="0"/>
                <w:sz w:val="18"/>
                <w:szCs w:val="18"/>
              </w:rPr>
              <w:t>cell count</w:t>
            </w:r>
            <w:r w:rsidRPr="004D4ABF">
              <w:rPr>
                <w:rFonts w:hint="eastAsia"/>
                <w:bCs/>
                <w:kern w:val="0"/>
                <w:sz w:val="18"/>
                <w:szCs w:val="18"/>
              </w:rPr>
              <w:t xml:space="preserve"> (</w:t>
            </w:r>
            <w:r w:rsidR="00EE54DC" w:rsidRPr="004D4ABF">
              <w:rPr>
                <w:bCs/>
                <w:kern w:val="0"/>
                <w:sz w:val="18"/>
                <w:szCs w:val="18"/>
              </w:rPr>
              <w:t>×10</w:t>
            </w:r>
            <w:r w:rsidR="00EE54DC" w:rsidRPr="004D4ABF">
              <w:rPr>
                <w:bCs/>
                <w:kern w:val="0"/>
                <w:sz w:val="18"/>
                <w:szCs w:val="18"/>
                <w:vertAlign w:val="superscript"/>
              </w:rPr>
              <w:t>9</w:t>
            </w:r>
            <w:r w:rsidR="00EE54DC" w:rsidRPr="004D4ABF">
              <w:rPr>
                <w:bCs/>
                <w:kern w:val="0"/>
                <w:sz w:val="18"/>
                <w:szCs w:val="18"/>
              </w:rPr>
              <w:t>/L</w:t>
            </w:r>
            <w:r w:rsidRPr="004D4ABF">
              <w:rPr>
                <w:rFonts w:hint="eastAsia"/>
                <w:bCs/>
                <w:kern w:val="0"/>
                <w:sz w:val="18"/>
                <w:szCs w:val="18"/>
              </w:rPr>
              <w:t>)</w:t>
            </w:r>
          </w:p>
        </w:tc>
        <w:tc>
          <w:tcPr>
            <w:tcW w:w="1187" w:type="dxa"/>
            <w:vAlign w:val="center"/>
          </w:tcPr>
          <w:p w14:paraId="401CD323"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0.095</w:t>
            </w:r>
          </w:p>
        </w:tc>
        <w:tc>
          <w:tcPr>
            <w:tcW w:w="1283" w:type="dxa"/>
            <w:vAlign w:val="center"/>
          </w:tcPr>
          <w:p w14:paraId="2CDCC1C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0.395</w:t>
            </w:r>
          </w:p>
        </w:tc>
        <w:tc>
          <w:tcPr>
            <w:tcW w:w="1189" w:type="dxa"/>
            <w:vAlign w:val="center"/>
          </w:tcPr>
          <w:p w14:paraId="2C03B861"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0.105</w:t>
            </w:r>
          </w:p>
        </w:tc>
        <w:tc>
          <w:tcPr>
            <w:tcW w:w="1338" w:type="dxa"/>
            <w:vAlign w:val="center"/>
          </w:tcPr>
          <w:p w14:paraId="25C53216"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0.346</w:t>
            </w:r>
          </w:p>
        </w:tc>
        <w:tc>
          <w:tcPr>
            <w:tcW w:w="1189" w:type="dxa"/>
            <w:vAlign w:val="center"/>
          </w:tcPr>
          <w:p w14:paraId="191F4F76"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-0.048</w:t>
            </w:r>
          </w:p>
        </w:tc>
        <w:tc>
          <w:tcPr>
            <w:tcW w:w="1085" w:type="dxa"/>
            <w:vAlign w:val="center"/>
          </w:tcPr>
          <w:p w14:paraId="613810B2"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0.667</w:t>
            </w:r>
          </w:p>
        </w:tc>
      </w:tr>
      <w:tr w:rsidR="006778CC" w:rsidRPr="004D4ABF" w14:paraId="3B9BC174" w14:textId="77777777" w:rsidTr="00106697">
        <w:trPr>
          <w:jc w:val="center"/>
        </w:trPr>
        <w:tc>
          <w:tcPr>
            <w:tcW w:w="1985" w:type="dxa"/>
          </w:tcPr>
          <w:p w14:paraId="0239A1C0" w14:textId="6E3D983F" w:rsidR="00EE54DC" w:rsidRPr="004D4ABF" w:rsidRDefault="007668B4" w:rsidP="00106697">
            <w:pPr>
              <w:autoSpaceDE w:val="0"/>
              <w:autoSpaceDN w:val="0"/>
              <w:adjustRightInd w:val="0"/>
              <w:spacing w:before="78" w:after="78" w:line="360" w:lineRule="auto"/>
              <w:rPr>
                <w:bCs/>
                <w:kern w:val="0"/>
                <w:sz w:val="18"/>
                <w:szCs w:val="18"/>
              </w:rPr>
            </w:pPr>
            <w:r w:rsidRPr="004D4ABF">
              <w:rPr>
                <w:bCs/>
                <w:kern w:val="0"/>
                <w:sz w:val="18"/>
                <w:szCs w:val="18"/>
              </w:rPr>
              <w:t>P</w:t>
            </w:r>
            <w:r w:rsidRPr="004D4ABF">
              <w:rPr>
                <w:rFonts w:hint="eastAsia"/>
                <w:bCs/>
                <w:kern w:val="0"/>
                <w:sz w:val="18"/>
                <w:szCs w:val="18"/>
              </w:rPr>
              <w:t>ercentage of neutrophils(</w:t>
            </w:r>
            <w:r w:rsidR="00EE54DC" w:rsidRPr="004D4ABF">
              <w:rPr>
                <w:bCs/>
                <w:kern w:val="0"/>
                <w:sz w:val="18"/>
                <w:szCs w:val="18"/>
              </w:rPr>
              <w:t>%</w:t>
            </w:r>
            <w:r w:rsidRPr="004D4ABF">
              <w:rPr>
                <w:rFonts w:hint="eastAsia"/>
                <w:bCs/>
                <w:kern w:val="0"/>
                <w:sz w:val="18"/>
                <w:szCs w:val="18"/>
              </w:rPr>
              <w:t>)</w:t>
            </w:r>
          </w:p>
        </w:tc>
        <w:tc>
          <w:tcPr>
            <w:tcW w:w="1187" w:type="dxa"/>
            <w:vAlign w:val="center"/>
          </w:tcPr>
          <w:p w14:paraId="77FEF9BF"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0.311</w:t>
            </w:r>
          </w:p>
        </w:tc>
        <w:tc>
          <w:tcPr>
            <w:tcW w:w="1283" w:type="dxa"/>
            <w:vAlign w:val="center"/>
          </w:tcPr>
          <w:p w14:paraId="0BBFFAAB" w14:textId="6DFBABEA"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0.004</w:t>
            </w:r>
          </w:p>
        </w:tc>
        <w:tc>
          <w:tcPr>
            <w:tcW w:w="1189" w:type="dxa"/>
            <w:vAlign w:val="center"/>
          </w:tcPr>
          <w:p w14:paraId="5F003A4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0.270</w:t>
            </w:r>
          </w:p>
        </w:tc>
        <w:tc>
          <w:tcPr>
            <w:tcW w:w="1338" w:type="dxa"/>
            <w:vAlign w:val="center"/>
          </w:tcPr>
          <w:p w14:paraId="26C88C90" w14:textId="76F6822C"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0.014</w:t>
            </w:r>
          </w:p>
        </w:tc>
        <w:tc>
          <w:tcPr>
            <w:tcW w:w="1189" w:type="dxa"/>
            <w:vAlign w:val="center"/>
          </w:tcPr>
          <w:p w14:paraId="76C530D3"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0.248</w:t>
            </w:r>
          </w:p>
        </w:tc>
        <w:tc>
          <w:tcPr>
            <w:tcW w:w="1085" w:type="dxa"/>
            <w:vAlign w:val="center"/>
          </w:tcPr>
          <w:p w14:paraId="05EEF78E" w14:textId="688F7150"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0.024</w:t>
            </w:r>
          </w:p>
        </w:tc>
      </w:tr>
      <w:tr w:rsidR="006778CC" w:rsidRPr="004D4ABF" w14:paraId="029A860A" w14:textId="77777777" w:rsidTr="00106697">
        <w:trPr>
          <w:jc w:val="center"/>
        </w:trPr>
        <w:tc>
          <w:tcPr>
            <w:tcW w:w="1985" w:type="dxa"/>
          </w:tcPr>
          <w:p w14:paraId="615941D3" w14:textId="457FA508" w:rsidR="00EE54DC" w:rsidRPr="004D4ABF" w:rsidRDefault="007668B4" w:rsidP="00106697">
            <w:pPr>
              <w:autoSpaceDE w:val="0"/>
              <w:autoSpaceDN w:val="0"/>
              <w:adjustRightInd w:val="0"/>
              <w:spacing w:before="78" w:after="78" w:line="360" w:lineRule="auto"/>
              <w:rPr>
                <w:bCs/>
                <w:kern w:val="0"/>
                <w:sz w:val="18"/>
                <w:szCs w:val="18"/>
              </w:rPr>
            </w:pPr>
            <w:r w:rsidRPr="004D4ABF">
              <w:rPr>
                <w:bCs/>
                <w:kern w:val="0"/>
                <w:sz w:val="18"/>
                <w:szCs w:val="18"/>
              </w:rPr>
              <w:t>P</w:t>
            </w:r>
            <w:r w:rsidRPr="004D4ABF">
              <w:rPr>
                <w:rFonts w:hint="eastAsia"/>
                <w:bCs/>
                <w:kern w:val="0"/>
                <w:sz w:val="18"/>
                <w:szCs w:val="18"/>
              </w:rPr>
              <w:t>ercentage of mononuclear cells(</w:t>
            </w:r>
            <w:r w:rsidR="00EE54DC" w:rsidRPr="004D4ABF">
              <w:rPr>
                <w:bCs/>
                <w:kern w:val="0"/>
                <w:sz w:val="18"/>
                <w:szCs w:val="18"/>
              </w:rPr>
              <w:t>%</w:t>
            </w:r>
            <w:r w:rsidRPr="004D4ABF">
              <w:rPr>
                <w:rFonts w:hint="eastAsia"/>
                <w:bCs/>
                <w:kern w:val="0"/>
                <w:sz w:val="18"/>
                <w:szCs w:val="18"/>
              </w:rPr>
              <w:t>)</w:t>
            </w:r>
          </w:p>
        </w:tc>
        <w:tc>
          <w:tcPr>
            <w:tcW w:w="1187" w:type="dxa"/>
            <w:vAlign w:val="center"/>
          </w:tcPr>
          <w:p w14:paraId="383F2ED1"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-0.123</w:t>
            </w:r>
          </w:p>
        </w:tc>
        <w:tc>
          <w:tcPr>
            <w:tcW w:w="1283" w:type="dxa"/>
            <w:vAlign w:val="center"/>
          </w:tcPr>
          <w:p w14:paraId="6AF3E8BB"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0.267</w:t>
            </w:r>
          </w:p>
        </w:tc>
        <w:tc>
          <w:tcPr>
            <w:tcW w:w="1189" w:type="dxa"/>
            <w:vAlign w:val="center"/>
          </w:tcPr>
          <w:p w14:paraId="2A3441D9"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0.095</w:t>
            </w:r>
          </w:p>
        </w:tc>
        <w:tc>
          <w:tcPr>
            <w:tcW w:w="1338" w:type="dxa"/>
            <w:vAlign w:val="center"/>
          </w:tcPr>
          <w:p w14:paraId="31CEFBA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0.391</w:t>
            </w:r>
          </w:p>
        </w:tc>
        <w:tc>
          <w:tcPr>
            <w:tcW w:w="1189" w:type="dxa"/>
            <w:vAlign w:val="center"/>
          </w:tcPr>
          <w:p w14:paraId="6C99C727"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-0.120</w:t>
            </w:r>
          </w:p>
        </w:tc>
        <w:tc>
          <w:tcPr>
            <w:tcW w:w="1085" w:type="dxa"/>
            <w:vAlign w:val="center"/>
          </w:tcPr>
          <w:p w14:paraId="627A22EB"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0.279</w:t>
            </w:r>
          </w:p>
        </w:tc>
      </w:tr>
      <w:tr w:rsidR="006778CC" w:rsidRPr="004D4ABF" w14:paraId="0FEF594A" w14:textId="77777777" w:rsidTr="00106697">
        <w:trPr>
          <w:jc w:val="center"/>
        </w:trPr>
        <w:tc>
          <w:tcPr>
            <w:tcW w:w="1985" w:type="dxa"/>
          </w:tcPr>
          <w:p w14:paraId="7D14D9FD" w14:textId="6C5E2F90" w:rsidR="00EE54DC" w:rsidRPr="004D4ABF" w:rsidRDefault="007668B4" w:rsidP="00106697">
            <w:pPr>
              <w:autoSpaceDE w:val="0"/>
              <w:autoSpaceDN w:val="0"/>
              <w:adjustRightInd w:val="0"/>
              <w:spacing w:before="78" w:after="78" w:line="360" w:lineRule="auto"/>
              <w:rPr>
                <w:bCs/>
                <w:kern w:val="0"/>
                <w:sz w:val="18"/>
                <w:szCs w:val="18"/>
              </w:rPr>
            </w:pPr>
            <w:r w:rsidRPr="004D4ABF">
              <w:rPr>
                <w:bCs/>
                <w:kern w:val="0"/>
                <w:sz w:val="18"/>
                <w:szCs w:val="18"/>
              </w:rPr>
              <w:t>P</w:t>
            </w:r>
            <w:r w:rsidRPr="004D4ABF">
              <w:rPr>
                <w:rFonts w:hint="eastAsia"/>
                <w:bCs/>
                <w:kern w:val="0"/>
                <w:sz w:val="18"/>
                <w:szCs w:val="18"/>
              </w:rPr>
              <w:t>ercentage of lymphocytes(</w:t>
            </w:r>
            <w:r w:rsidR="00EE54DC" w:rsidRPr="004D4ABF">
              <w:rPr>
                <w:bCs/>
                <w:kern w:val="0"/>
                <w:sz w:val="18"/>
                <w:szCs w:val="18"/>
              </w:rPr>
              <w:t>%</w:t>
            </w:r>
            <w:r w:rsidRPr="004D4ABF">
              <w:rPr>
                <w:rFonts w:hint="eastAsia"/>
                <w:bCs/>
                <w:kern w:val="0"/>
                <w:sz w:val="18"/>
                <w:szCs w:val="18"/>
              </w:rPr>
              <w:t>)</w:t>
            </w:r>
          </w:p>
        </w:tc>
        <w:tc>
          <w:tcPr>
            <w:tcW w:w="1187" w:type="dxa"/>
            <w:vAlign w:val="center"/>
          </w:tcPr>
          <w:p w14:paraId="23FBAD22"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-0.415</w:t>
            </w:r>
          </w:p>
        </w:tc>
        <w:tc>
          <w:tcPr>
            <w:tcW w:w="1283" w:type="dxa"/>
            <w:vAlign w:val="center"/>
          </w:tcPr>
          <w:p w14:paraId="092DC340" w14:textId="337BAC37"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w:t>
            </w:r>
            <w:r w:rsidRPr="004D4ABF">
              <w:rPr>
                <w:b/>
                <w:kern w:val="0"/>
                <w:sz w:val="18"/>
                <w:szCs w:val="18"/>
              </w:rPr>
              <w:t>0.001</w:t>
            </w:r>
          </w:p>
        </w:tc>
        <w:tc>
          <w:tcPr>
            <w:tcW w:w="1189" w:type="dxa"/>
            <w:vAlign w:val="center"/>
          </w:tcPr>
          <w:p w14:paraId="3BA8362F"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-0.314</w:t>
            </w:r>
          </w:p>
        </w:tc>
        <w:tc>
          <w:tcPr>
            <w:tcW w:w="1338" w:type="dxa"/>
            <w:vAlign w:val="center"/>
          </w:tcPr>
          <w:p w14:paraId="3F336AF0" w14:textId="3E36E287"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0.004</w:t>
            </w:r>
          </w:p>
        </w:tc>
        <w:tc>
          <w:tcPr>
            <w:tcW w:w="1189" w:type="dxa"/>
            <w:vAlign w:val="center"/>
          </w:tcPr>
          <w:p w14:paraId="329A4611"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-0.219</w:t>
            </w:r>
          </w:p>
        </w:tc>
        <w:tc>
          <w:tcPr>
            <w:tcW w:w="1085" w:type="dxa"/>
            <w:vAlign w:val="center"/>
          </w:tcPr>
          <w:p w14:paraId="637EBB96" w14:textId="61FB0B89" w:rsidR="00EE54DC" w:rsidRPr="004D4ABF" w:rsidRDefault="00EE54DC" w:rsidP="00106697">
            <w:pPr>
              <w:autoSpaceDE w:val="0"/>
              <w:autoSpaceDN w:val="0"/>
              <w:adjustRightInd w:val="0"/>
              <w:spacing w:before="78" w:after="78" w:line="360" w:lineRule="auto"/>
              <w:jc w:val="center"/>
              <w:rPr>
                <w:b/>
                <w:kern w:val="0"/>
                <w:sz w:val="18"/>
                <w:szCs w:val="18"/>
              </w:rPr>
            </w:pPr>
            <w:r w:rsidRPr="004D4ABF">
              <w:rPr>
                <w:b/>
                <w:kern w:val="0"/>
                <w:sz w:val="18"/>
                <w:szCs w:val="18"/>
              </w:rPr>
              <w:t>0.046</w:t>
            </w:r>
          </w:p>
        </w:tc>
      </w:tr>
      <w:tr w:rsidR="006778CC" w:rsidRPr="004D4ABF" w14:paraId="7B005D74" w14:textId="77777777" w:rsidTr="00106697">
        <w:trPr>
          <w:jc w:val="center"/>
        </w:trPr>
        <w:tc>
          <w:tcPr>
            <w:tcW w:w="1985" w:type="dxa"/>
          </w:tcPr>
          <w:p w14:paraId="6C411FA8" w14:textId="18ED363B" w:rsidR="00EE54DC" w:rsidRPr="004D4ABF" w:rsidRDefault="007668B4" w:rsidP="00106697">
            <w:pPr>
              <w:autoSpaceDE w:val="0"/>
              <w:autoSpaceDN w:val="0"/>
              <w:adjustRightInd w:val="0"/>
              <w:spacing w:before="78" w:after="78" w:line="360" w:lineRule="auto"/>
              <w:rPr>
                <w:bCs/>
                <w:kern w:val="0"/>
                <w:sz w:val="18"/>
                <w:szCs w:val="18"/>
              </w:rPr>
            </w:pPr>
            <w:r w:rsidRPr="004D4ABF">
              <w:rPr>
                <w:rFonts w:hint="eastAsia"/>
                <w:bCs/>
                <w:kern w:val="0"/>
                <w:sz w:val="18"/>
                <w:szCs w:val="18"/>
              </w:rPr>
              <w:t>haemoglobin(</w:t>
            </w:r>
            <w:r w:rsidR="00EE54DC" w:rsidRPr="004D4ABF">
              <w:rPr>
                <w:bCs/>
                <w:kern w:val="0"/>
                <w:sz w:val="18"/>
                <w:szCs w:val="18"/>
              </w:rPr>
              <w:t>g/L</w:t>
            </w:r>
            <w:r w:rsidRPr="004D4ABF">
              <w:rPr>
                <w:rFonts w:hint="eastAsia"/>
                <w:bCs/>
                <w:kern w:val="0"/>
                <w:sz w:val="18"/>
                <w:szCs w:val="18"/>
              </w:rPr>
              <w:t>)</w:t>
            </w:r>
          </w:p>
        </w:tc>
        <w:tc>
          <w:tcPr>
            <w:tcW w:w="1187" w:type="dxa"/>
            <w:vAlign w:val="center"/>
          </w:tcPr>
          <w:p w14:paraId="19685D94"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-0.081</w:t>
            </w:r>
          </w:p>
        </w:tc>
        <w:tc>
          <w:tcPr>
            <w:tcW w:w="1283" w:type="dxa"/>
            <w:vAlign w:val="center"/>
          </w:tcPr>
          <w:p w14:paraId="53DABFD2"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0.468</w:t>
            </w:r>
          </w:p>
        </w:tc>
        <w:tc>
          <w:tcPr>
            <w:tcW w:w="1189" w:type="dxa"/>
            <w:vAlign w:val="center"/>
          </w:tcPr>
          <w:p w14:paraId="09FDB8F4"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-0.175</w:t>
            </w:r>
          </w:p>
        </w:tc>
        <w:tc>
          <w:tcPr>
            <w:tcW w:w="1338" w:type="dxa"/>
            <w:vAlign w:val="center"/>
          </w:tcPr>
          <w:p w14:paraId="65AD1E10"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0.114</w:t>
            </w:r>
          </w:p>
        </w:tc>
        <w:tc>
          <w:tcPr>
            <w:tcW w:w="1189" w:type="dxa"/>
            <w:vAlign w:val="center"/>
          </w:tcPr>
          <w:p w14:paraId="3D673935"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-0.141</w:t>
            </w:r>
          </w:p>
        </w:tc>
        <w:tc>
          <w:tcPr>
            <w:tcW w:w="1085" w:type="dxa"/>
            <w:vAlign w:val="center"/>
          </w:tcPr>
          <w:p w14:paraId="3C0A8796"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0.204</w:t>
            </w:r>
          </w:p>
        </w:tc>
      </w:tr>
      <w:tr w:rsidR="006778CC" w:rsidRPr="004D4ABF" w14:paraId="2345C018" w14:textId="77777777" w:rsidTr="00106697">
        <w:trPr>
          <w:jc w:val="center"/>
        </w:trPr>
        <w:tc>
          <w:tcPr>
            <w:tcW w:w="1985" w:type="dxa"/>
          </w:tcPr>
          <w:p w14:paraId="580E34C8" w14:textId="191192C9" w:rsidR="00EE54DC" w:rsidRPr="004D4ABF" w:rsidRDefault="007668B4" w:rsidP="00106697">
            <w:pPr>
              <w:autoSpaceDE w:val="0"/>
              <w:autoSpaceDN w:val="0"/>
              <w:adjustRightInd w:val="0"/>
              <w:spacing w:before="78" w:after="78" w:line="360" w:lineRule="auto"/>
              <w:rPr>
                <w:bCs/>
                <w:kern w:val="0"/>
                <w:sz w:val="18"/>
                <w:szCs w:val="18"/>
              </w:rPr>
            </w:pPr>
            <w:r w:rsidRPr="004D4ABF">
              <w:rPr>
                <w:bCs/>
                <w:kern w:val="0"/>
                <w:sz w:val="18"/>
                <w:szCs w:val="18"/>
              </w:rPr>
              <w:lastRenderedPageBreak/>
              <w:t>R</w:t>
            </w:r>
            <w:r w:rsidRPr="004D4ABF">
              <w:rPr>
                <w:rFonts w:hint="eastAsia"/>
                <w:bCs/>
                <w:kern w:val="0"/>
                <w:sz w:val="18"/>
                <w:szCs w:val="18"/>
              </w:rPr>
              <w:t>ed blood cell count (</w:t>
            </w:r>
            <w:r w:rsidR="00EE54DC" w:rsidRPr="004D4ABF">
              <w:rPr>
                <w:bCs/>
                <w:kern w:val="0"/>
                <w:sz w:val="18"/>
                <w:szCs w:val="18"/>
              </w:rPr>
              <w:t>×10</w:t>
            </w:r>
            <w:r w:rsidR="00EE54DC" w:rsidRPr="004D4ABF">
              <w:rPr>
                <w:bCs/>
                <w:kern w:val="0"/>
                <w:sz w:val="18"/>
                <w:szCs w:val="18"/>
                <w:vertAlign w:val="superscript"/>
              </w:rPr>
              <w:t>12</w:t>
            </w:r>
            <w:r w:rsidR="00EE54DC" w:rsidRPr="004D4ABF">
              <w:rPr>
                <w:bCs/>
                <w:kern w:val="0"/>
                <w:sz w:val="18"/>
                <w:szCs w:val="18"/>
              </w:rPr>
              <w:t>/L</w:t>
            </w:r>
            <w:r w:rsidRPr="004D4ABF">
              <w:rPr>
                <w:rFonts w:hint="eastAsia"/>
                <w:bCs/>
                <w:kern w:val="0"/>
                <w:sz w:val="18"/>
                <w:szCs w:val="18"/>
              </w:rPr>
              <w:t>)</w:t>
            </w:r>
          </w:p>
        </w:tc>
        <w:tc>
          <w:tcPr>
            <w:tcW w:w="1187" w:type="dxa"/>
            <w:vAlign w:val="center"/>
          </w:tcPr>
          <w:p w14:paraId="340BD06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-0.023</w:t>
            </w:r>
          </w:p>
        </w:tc>
        <w:tc>
          <w:tcPr>
            <w:tcW w:w="1283" w:type="dxa"/>
            <w:vAlign w:val="center"/>
          </w:tcPr>
          <w:p w14:paraId="44478B10"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0.834</w:t>
            </w:r>
          </w:p>
        </w:tc>
        <w:tc>
          <w:tcPr>
            <w:tcW w:w="1189" w:type="dxa"/>
            <w:vAlign w:val="center"/>
          </w:tcPr>
          <w:p w14:paraId="07AEB7C3"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-0.156</w:t>
            </w:r>
          </w:p>
        </w:tc>
        <w:tc>
          <w:tcPr>
            <w:tcW w:w="1338" w:type="dxa"/>
            <w:vAlign w:val="center"/>
          </w:tcPr>
          <w:p w14:paraId="54CC6A3D"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0.160</w:t>
            </w:r>
          </w:p>
        </w:tc>
        <w:tc>
          <w:tcPr>
            <w:tcW w:w="1189" w:type="dxa"/>
            <w:vAlign w:val="center"/>
          </w:tcPr>
          <w:p w14:paraId="41147B0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-0.075</w:t>
            </w:r>
          </w:p>
        </w:tc>
        <w:tc>
          <w:tcPr>
            <w:tcW w:w="1085" w:type="dxa"/>
            <w:vAlign w:val="center"/>
          </w:tcPr>
          <w:p w14:paraId="49C19A35"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0.502</w:t>
            </w:r>
          </w:p>
        </w:tc>
      </w:tr>
      <w:tr w:rsidR="006778CC" w:rsidRPr="004D4ABF" w14:paraId="3EAA8B98" w14:textId="77777777" w:rsidTr="00106697">
        <w:trPr>
          <w:jc w:val="center"/>
        </w:trPr>
        <w:tc>
          <w:tcPr>
            <w:tcW w:w="1985" w:type="dxa"/>
          </w:tcPr>
          <w:p w14:paraId="45E70E38" w14:textId="2F387D22" w:rsidR="00EE54DC" w:rsidRPr="004D4ABF" w:rsidRDefault="007668B4" w:rsidP="00106697">
            <w:pPr>
              <w:autoSpaceDE w:val="0"/>
              <w:autoSpaceDN w:val="0"/>
              <w:adjustRightInd w:val="0"/>
              <w:spacing w:before="78" w:after="78" w:line="360" w:lineRule="auto"/>
              <w:rPr>
                <w:bCs/>
                <w:kern w:val="0"/>
                <w:sz w:val="18"/>
                <w:szCs w:val="18"/>
              </w:rPr>
            </w:pPr>
            <w:r w:rsidRPr="004D4ABF">
              <w:rPr>
                <w:bCs/>
                <w:kern w:val="0"/>
                <w:sz w:val="18"/>
                <w:szCs w:val="18"/>
              </w:rPr>
              <w:t>P</w:t>
            </w:r>
            <w:r w:rsidRPr="004D4ABF">
              <w:rPr>
                <w:rFonts w:hint="eastAsia"/>
                <w:bCs/>
                <w:kern w:val="0"/>
                <w:sz w:val="18"/>
                <w:szCs w:val="18"/>
              </w:rPr>
              <w:t>latelet count(</w:t>
            </w:r>
            <w:r w:rsidR="00EE54DC" w:rsidRPr="004D4ABF">
              <w:rPr>
                <w:bCs/>
                <w:kern w:val="0"/>
                <w:sz w:val="18"/>
                <w:szCs w:val="18"/>
              </w:rPr>
              <w:t>×10</w:t>
            </w:r>
            <w:r w:rsidR="00EE54DC" w:rsidRPr="004D4ABF">
              <w:rPr>
                <w:bCs/>
                <w:kern w:val="0"/>
                <w:sz w:val="18"/>
                <w:szCs w:val="18"/>
                <w:vertAlign w:val="superscript"/>
              </w:rPr>
              <w:t>9</w:t>
            </w:r>
            <w:r w:rsidR="00EE54DC" w:rsidRPr="004D4ABF">
              <w:rPr>
                <w:bCs/>
                <w:kern w:val="0"/>
                <w:sz w:val="18"/>
                <w:szCs w:val="18"/>
              </w:rPr>
              <w:t>/L</w:t>
            </w:r>
            <w:r w:rsidRPr="004D4ABF">
              <w:rPr>
                <w:rFonts w:hint="eastAsia"/>
                <w:bCs/>
                <w:kern w:val="0"/>
                <w:sz w:val="18"/>
                <w:szCs w:val="18"/>
              </w:rPr>
              <w:t>)</w:t>
            </w:r>
          </w:p>
        </w:tc>
        <w:tc>
          <w:tcPr>
            <w:tcW w:w="1187" w:type="dxa"/>
            <w:vAlign w:val="center"/>
          </w:tcPr>
          <w:p w14:paraId="4C194858"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-0.069</w:t>
            </w:r>
          </w:p>
        </w:tc>
        <w:tc>
          <w:tcPr>
            <w:tcW w:w="1283" w:type="dxa"/>
            <w:vAlign w:val="center"/>
          </w:tcPr>
          <w:p w14:paraId="00F9352F"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0.533</w:t>
            </w:r>
          </w:p>
        </w:tc>
        <w:tc>
          <w:tcPr>
            <w:tcW w:w="1189" w:type="dxa"/>
            <w:vAlign w:val="center"/>
          </w:tcPr>
          <w:p w14:paraId="7379FE0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-0.001</w:t>
            </w:r>
          </w:p>
        </w:tc>
        <w:tc>
          <w:tcPr>
            <w:tcW w:w="1338" w:type="dxa"/>
            <w:vAlign w:val="center"/>
          </w:tcPr>
          <w:p w14:paraId="2A14187C"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0.991</w:t>
            </w:r>
          </w:p>
        </w:tc>
        <w:tc>
          <w:tcPr>
            <w:tcW w:w="1189" w:type="dxa"/>
            <w:vAlign w:val="center"/>
          </w:tcPr>
          <w:p w14:paraId="5FFC114E"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-0.055</w:t>
            </w:r>
          </w:p>
        </w:tc>
        <w:tc>
          <w:tcPr>
            <w:tcW w:w="1085" w:type="dxa"/>
            <w:vAlign w:val="center"/>
          </w:tcPr>
          <w:p w14:paraId="6430C961" w14:textId="77777777" w:rsidR="00EE54DC" w:rsidRPr="004D4ABF" w:rsidRDefault="00EE54DC" w:rsidP="00106697">
            <w:pPr>
              <w:autoSpaceDE w:val="0"/>
              <w:autoSpaceDN w:val="0"/>
              <w:adjustRightInd w:val="0"/>
              <w:spacing w:before="78" w:after="78" w:line="360" w:lineRule="auto"/>
              <w:jc w:val="center"/>
              <w:rPr>
                <w:bCs/>
                <w:kern w:val="0"/>
                <w:sz w:val="18"/>
                <w:szCs w:val="18"/>
              </w:rPr>
            </w:pPr>
            <w:r w:rsidRPr="004D4ABF">
              <w:rPr>
                <w:bCs/>
                <w:kern w:val="0"/>
                <w:sz w:val="18"/>
                <w:szCs w:val="18"/>
              </w:rPr>
              <w:t>0.621</w:t>
            </w:r>
          </w:p>
        </w:tc>
      </w:tr>
    </w:tbl>
    <w:p w14:paraId="788B7297" w14:textId="3B27DC98" w:rsidR="00EE54DC" w:rsidRPr="004D4ABF" w:rsidRDefault="00EE54DC" w:rsidP="00CF7213">
      <w:pPr>
        <w:overflowPunct w:val="0"/>
        <w:adjustRightInd w:val="0"/>
        <w:snapToGrid w:val="0"/>
        <w:spacing w:line="360" w:lineRule="auto"/>
        <w:rPr>
          <w:bCs/>
          <w:sz w:val="18"/>
          <w:szCs w:val="18"/>
        </w:rPr>
      </w:pPr>
      <w:r w:rsidRPr="004D4ABF">
        <w:rPr>
          <w:bCs/>
          <w:sz w:val="18"/>
          <w:szCs w:val="18"/>
        </w:rPr>
        <w:t>NIHSS</w:t>
      </w:r>
      <w:r w:rsidR="00CF7213" w:rsidRPr="004D4ABF">
        <w:rPr>
          <w:rFonts w:hint="eastAsia"/>
          <w:bCs/>
          <w:sz w:val="18"/>
          <w:szCs w:val="18"/>
        </w:rPr>
        <w:t>:</w:t>
      </w:r>
      <w:r w:rsidR="00111186" w:rsidRPr="004D4ABF">
        <w:rPr>
          <w:bCs/>
          <w:sz w:val="18"/>
          <w:szCs w:val="18"/>
        </w:rPr>
        <w:t xml:space="preserve"> </w:t>
      </w:r>
      <w:r w:rsidRPr="004D4ABF">
        <w:rPr>
          <w:bCs/>
          <w:sz w:val="18"/>
          <w:szCs w:val="18"/>
        </w:rPr>
        <w:t>National Institutes of Health Stroke Scale</w:t>
      </w:r>
      <w:r w:rsidR="00CF7213" w:rsidRPr="004D4ABF">
        <w:rPr>
          <w:rFonts w:hint="eastAsia"/>
          <w:bCs/>
          <w:sz w:val="18"/>
          <w:szCs w:val="18"/>
        </w:rPr>
        <w:t>,</w:t>
      </w:r>
      <w:r w:rsidR="00CF7213" w:rsidRPr="004D4ABF">
        <w:rPr>
          <w:bCs/>
          <w:sz w:val="18"/>
          <w:szCs w:val="18"/>
        </w:rPr>
        <w:t xml:space="preserve"> </w:t>
      </w:r>
      <w:r w:rsidRPr="004D4ABF">
        <w:rPr>
          <w:bCs/>
          <w:sz w:val="18"/>
          <w:szCs w:val="18"/>
        </w:rPr>
        <w:t>mRS</w:t>
      </w:r>
      <w:r w:rsidR="00CF7213" w:rsidRPr="004D4ABF">
        <w:rPr>
          <w:rFonts w:hint="eastAsia"/>
          <w:bCs/>
          <w:sz w:val="18"/>
          <w:szCs w:val="18"/>
        </w:rPr>
        <w:t>:</w:t>
      </w:r>
      <w:r w:rsidR="00111186" w:rsidRPr="004D4ABF">
        <w:rPr>
          <w:bCs/>
          <w:sz w:val="18"/>
          <w:szCs w:val="18"/>
        </w:rPr>
        <w:t xml:space="preserve"> </w:t>
      </w:r>
      <w:r w:rsidRPr="004D4ABF">
        <w:rPr>
          <w:bCs/>
          <w:sz w:val="18"/>
          <w:szCs w:val="18"/>
        </w:rPr>
        <w:t>modified Rankin Scale</w:t>
      </w:r>
      <w:r w:rsidR="00CF7213" w:rsidRPr="004D4ABF">
        <w:rPr>
          <w:rFonts w:hint="eastAsia"/>
          <w:bCs/>
          <w:sz w:val="18"/>
          <w:szCs w:val="18"/>
        </w:rPr>
        <w:t xml:space="preserve">, </w:t>
      </w:r>
      <w:r w:rsidRPr="004D4ABF">
        <w:rPr>
          <w:bCs/>
          <w:sz w:val="18"/>
          <w:szCs w:val="18"/>
        </w:rPr>
        <w:t>TOAST</w:t>
      </w:r>
      <w:r w:rsidR="00CF7213" w:rsidRPr="004D4ABF">
        <w:rPr>
          <w:rFonts w:hint="eastAsia"/>
          <w:bCs/>
          <w:sz w:val="18"/>
          <w:szCs w:val="18"/>
        </w:rPr>
        <w:t xml:space="preserve"> classification:</w:t>
      </w:r>
      <w:r w:rsidR="00111186" w:rsidRPr="004D4ABF">
        <w:rPr>
          <w:bCs/>
          <w:sz w:val="18"/>
          <w:szCs w:val="18"/>
        </w:rPr>
        <w:t xml:space="preserve"> </w:t>
      </w:r>
      <w:r w:rsidRPr="004D4ABF">
        <w:rPr>
          <w:bCs/>
          <w:sz w:val="18"/>
          <w:szCs w:val="18"/>
        </w:rPr>
        <w:t>Trial of Org10172 in Acute Stroke Treatment</w:t>
      </w:r>
      <w:r w:rsidR="00CF7213" w:rsidRPr="004D4ABF">
        <w:rPr>
          <w:rFonts w:hint="eastAsia"/>
          <w:bCs/>
          <w:sz w:val="18"/>
          <w:szCs w:val="18"/>
        </w:rPr>
        <w:t xml:space="preserve">, </w:t>
      </w:r>
      <w:r w:rsidRPr="004D4ABF">
        <w:rPr>
          <w:bCs/>
          <w:sz w:val="18"/>
          <w:szCs w:val="18"/>
        </w:rPr>
        <w:t>R</w:t>
      </w:r>
      <w:r w:rsidRPr="004D4ABF">
        <w:rPr>
          <w:bCs/>
          <w:sz w:val="18"/>
          <w:szCs w:val="18"/>
        </w:rPr>
        <w:t>：</w:t>
      </w:r>
      <w:r w:rsidR="00111186" w:rsidRPr="004D4ABF">
        <w:rPr>
          <w:bCs/>
          <w:sz w:val="18"/>
          <w:szCs w:val="18"/>
        </w:rPr>
        <w:t xml:space="preserve"> </w:t>
      </w:r>
      <w:r w:rsidR="00CF7213" w:rsidRPr="004D4ABF">
        <w:rPr>
          <w:bCs/>
          <w:sz w:val="18"/>
          <w:szCs w:val="18"/>
        </w:rPr>
        <w:t>Coefficient of correlation</w:t>
      </w:r>
    </w:p>
    <w:p w14:paraId="7493A12B" w14:textId="77777777" w:rsidR="00920E66" w:rsidRDefault="00920E66" w:rsidP="00DC0079">
      <w:pPr>
        <w:overflowPunct w:val="0"/>
        <w:autoSpaceDE w:val="0"/>
        <w:autoSpaceDN w:val="0"/>
        <w:adjustRightInd w:val="0"/>
        <w:snapToGrid w:val="0"/>
        <w:spacing w:line="360" w:lineRule="auto"/>
        <w:ind w:firstLineChars="200" w:firstLine="562"/>
        <w:jc w:val="center"/>
        <w:rPr>
          <w:b/>
          <w:bCs/>
        </w:rPr>
      </w:pPr>
    </w:p>
    <w:p w14:paraId="37933026" w14:textId="77777777" w:rsidR="00653A8D" w:rsidRPr="004D4ABF" w:rsidRDefault="00653A8D" w:rsidP="00DC0079">
      <w:pPr>
        <w:overflowPunct w:val="0"/>
        <w:autoSpaceDE w:val="0"/>
        <w:autoSpaceDN w:val="0"/>
        <w:adjustRightInd w:val="0"/>
        <w:snapToGrid w:val="0"/>
        <w:spacing w:line="360" w:lineRule="auto"/>
        <w:ind w:firstLineChars="200" w:firstLine="400"/>
        <w:jc w:val="center"/>
        <w:rPr>
          <w:sz w:val="20"/>
          <w:szCs w:val="20"/>
        </w:rPr>
      </w:pPr>
    </w:p>
    <w:p w14:paraId="5E9AF198" w14:textId="6A1E1FE3" w:rsidR="00920E66" w:rsidRPr="004D4ABF" w:rsidRDefault="00106697" w:rsidP="00DC0079">
      <w:pPr>
        <w:overflowPunct w:val="0"/>
        <w:autoSpaceDE w:val="0"/>
        <w:autoSpaceDN w:val="0"/>
        <w:adjustRightInd w:val="0"/>
        <w:snapToGrid w:val="0"/>
        <w:spacing w:line="360" w:lineRule="auto"/>
        <w:ind w:firstLineChars="200" w:firstLine="400"/>
        <w:jc w:val="center"/>
        <w:rPr>
          <w:bCs/>
          <w:sz w:val="20"/>
          <w:szCs w:val="20"/>
        </w:rPr>
      </w:pPr>
      <w:bookmarkStart w:id="7" w:name="OLE_LINK35"/>
      <w:r w:rsidRPr="004D4ABF">
        <w:rPr>
          <w:sz w:val="20"/>
          <w:szCs w:val="20"/>
        </w:rPr>
        <w:t>Tab</w:t>
      </w:r>
      <w:r w:rsidRPr="004D4ABF">
        <w:rPr>
          <w:rFonts w:hint="eastAsia"/>
          <w:sz w:val="20"/>
          <w:szCs w:val="20"/>
        </w:rPr>
        <w:t>l</w:t>
      </w:r>
      <w:r w:rsidRPr="004D4ABF">
        <w:rPr>
          <w:sz w:val="20"/>
          <w:szCs w:val="20"/>
        </w:rPr>
        <w:t>e</w:t>
      </w:r>
      <w:r w:rsidR="005E7B27" w:rsidRPr="004D4ABF">
        <w:rPr>
          <w:rFonts w:hint="eastAsia"/>
          <w:sz w:val="20"/>
          <w:szCs w:val="20"/>
        </w:rPr>
        <w:t xml:space="preserve"> </w:t>
      </w:r>
      <w:r w:rsidR="001E3275" w:rsidRPr="004D4ABF">
        <w:rPr>
          <w:rFonts w:hint="eastAsia"/>
          <w:sz w:val="20"/>
          <w:szCs w:val="20"/>
        </w:rPr>
        <w:t>6</w:t>
      </w:r>
      <w:r w:rsidRPr="004D4ABF">
        <w:rPr>
          <w:sz w:val="20"/>
          <w:szCs w:val="20"/>
        </w:rPr>
        <w:t xml:space="preserve"> The correlational analysis between miRNA-338-3p,miRNA-1250-5p, and miRNA-3065-5p</w:t>
      </w:r>
    </w:p>
    <w:tbl>
      <w:tblPr>
        <w:tblStyle w:val="11"/>
        <w:tblW w:w="0" w:type="auto"/>
        <w:tblLook w:val="04A0" w:firstRow="1" w:lastRow="0" w:firstColumn="1" w:lastColumn="0" w:noHBand="0" w:noVBand="1"/>
      </w:tblPr>
      <w:tblGrid>
        <w:gridCol w:w="1217"/>
        <w:gridCol w:w="1217"/>
        <w:gridCol w:w="1217"/>
        <w:gridCol w:w="1217"/>
        <w:gridCol w:w="1218"/>
        <w:gridCol w:w="1218"/>
        <w:gridCol w:w="1218"/>
      </w:tblGrid>
      <w:tr w:rsidR="00920E66" w:rsidRPr="004D4ABF" w14:paraId="340D0E5B" w14:textId="77777777" w:rsidTr="00920E66">
        <w:trPr>
          <w:cnfStyle w:val="100000000000" w:firstRow="1" w:lastRow="0" w:firstColumn="0" w:lastColumn="0" w:oddVBand="0" w:evenVBand="0" w:oddHBand="0" w:evenHBand="0" w:firstRowFirstColumn="0" w:firstRowLastColumn="0" w:lastRowFirstColumn="0" w:lastRowLastColumn="0"/>
        </w:trPr>
        <w:tc>
          <w:tcPr>
            <w:tcW w:w="1217" w:type="dxa"/>
          </w:tcPr>
          <w:bookmarkEnd w:id="7"/>
          <w:p w14:paraId="79334189" w14:textId="77777777" w:rsidR="00920E66" w:rsidRPr="004D4ABF" w:rsidRDefault="00106697" w:rsidP="00DC0079">
            <w:pPr>
              <w:overflowPunct w:val="0"/>
              <w:adjustRightInd w:val="0"/>
              <w:snapToGrid w:val="0"/>
              <w:spacing w:before="78" w:after="78" w:line="360" w:lineRule="auto"/>
              <w:ind w:firstLineChars="200" w:firstLine="360"/>
              <w:rPr>
                <w:rStyle w:val="2Char"/>
                <w:rFonts w:ascii="Times New Roman" w:hAnsi="Times New Roman"/>
                <w:b w:val="0"/>
                <w:sz w:val="15"/>
                <w:szCs w:val="15"/>
              </w:rPr>
            </w:pPr>
            <w:r w:rsidRPr="004D4ABF">
              <w:rPr>
                <w:kern w:val="0"/>
                <w:sz w:val="18"/>
                <w:szCs w:val="18"/>
              </w:rPr>
              <w:t>Coefficient</w:t>
            </w:r>
          </w:p>
        </w:tc>
        <w:tc>
          <w:tcPr>
            <w:tcW w:w="3651" w:type="dxa"/>
            <w:gridSpan w:val="3"/>
          </w:tcPr>
          <w:p w14:paraId="3E66257F" w14:textId="45FBEA01" w:rsidR="00920E66" w:rsidRPr="004D4ABF" w:rsidRDefault="00106697" w:rsidP="00DC0079">
            <w:pPr>
              <w:overflowPunct w:val="0"/>
              <w:adjustRightInd w:val="0"/>
              <w:snapToGrid w:val="0"/>
              <w:spacing w:before="78" w:after="78" w:line="360" w:lineRule="auto"/>
              <w:ind w:firstLineChars="200" w:firstLine="360"/>
              <w:rPr>
                <w:rStyle w:val="2Char"/>
                <w:rFonts w:ascii="Times New Roman" w:hAnsi="Times New Roman"/>
                <w:b w:val="0"/>
                <w:sz w:val="15"/>
                <w:szCs w:val="15"/>
              </w:rPr>
            </w:pPr>
            <w:r w:rsidRPr="004D4ABF">
              <w:rPr>
                <w:kern w:val="0"/>
                <w:sz w:val="18"/>
                <w:szCs w:val="18"/>
              </w:rPr>
              <w:t>Experimental group</w:t>
            </w:r>
            <w:r w:rsidR="00B66673" w:rsidRPr="004D4ABF">
              <w:rPr>
                <w:rFonts w:hint="eastAsia"/>
                <w:b/>
                <w:bCs/>
                <w:kern w:val="0"/>
                <w:sz w:val="18"/>
                <w:szCs w:val="18"/>
              </w:rPr>
              <w:t>(</w:t>
            </w:r>
            <w:r w:rsidRPr="004D4ABF">
              <w:rPr>
                <w:b/>
                <w:bCs/>
                <w:i/>
                <w:iCs/>
                <w:kern w:val="0"/>
                <w:sz w:val="18"/>
                <w:szCs w:val="18"/>
              </w:rPr>
              <w:t>n</w:t>
            </w:r>
            <w:r w:rsidRPr="004D4ABF">
              <w:rPr>
                <w:b/>
                <w:bCs/>
                <w:kern w:val="0"/>
                <w:sz w:val="18"/>
                <w:szCs w:val="18"/>
              </w:rPr>
              <w:t>=83</w:t>
            </w:r>
            <w:r w:rsidR="00B66673" w:rsidRPr="004D4ABF">
              <w:rPr>
                <w:rFonts w:hint="eastAsia"/>
                <w:b/>
                <w:bCs/>
                <w:kern w:val="0"/>
                <w:sz w:val="18"/>
                <w:szCs w:val="18"/>
              </w:rPr>
              <w:t>)</w:t>
            </w:r>
          </w:p>
        </w:tc>
        <w:tc>
          <w:tcPr>
            <w:tcW w:w="3654" w:type="dxa"/>
            <w:gridSpan w:val="3"/>
          </w:tcPr>
          <w:p w14:paraId="6FB9555F" w14:textId="77777777" w:rsidR="00920E66" w:rsidRPr="004D4ABF" w:rsidRDefault="00106697" w:rsidP="00DC0079">
            <w:pPr>
              <w:overflowPunct w:val="0"/>
              <w:adjustRightInd w:val="0"/>
              <w:snapToGrid w:val="0"/>
              <w:spacing w:before="78" w:after="78" w:line="360" w:lineRule="auto"/>
              <w:ind w:firstLineChars="200" w:firstLine="360"/>
              <w:rPr>
                <w:rStyle w:val="2Char"/>
                <w:rFonts w:ascii="Times New Roman" w:hAnsi="Times New Roman"/>
                <w:b w:val="0"/>
                <w:sz w:val="15"/>
                <w:szCs w:val="15"/>
              </w:rPr>
            </w:pPr>
            <w:r w:rsidRPr="004D4ABF">
              <w:rPr>
                <w:sz w:val="18"/>
                <w:szCs w:val="18"/>
              </w:rPr>
              <w:t>Total(</w:t>
            </w:r>
            <w:r w:rsidRPr="004D4ABF">
              <w:rPr>
                <w:b/>
                <w:bCs/>
                <w:i/>
                <w:iCs/>
                <w:kern w:val="0"/>
                <w:sz w:val="18"/>
                <w:szCs w:val="18"/>
              </w:rPr>
              <w:t>n</w:t>
            </w:r>
            <w:r w:rsidRPr="004D4ABF">
              <w:rPr>
                <w:b/>
                <w:bCs/>
                <w:kern w:val="0"/>
                <w:sz w:val="18"/>
                <w:szCs w:val="18"/>
              </w:rPr>
              <w:t>=133</w:t>
            </w:r>
            <w:r w:rsidRPr="004D4ABF">
              <w:rPr>
                <w:sz w:val="18"/>
                <w:szCs w:val="18"/>
              </w:rPr>
              <w:t>)</w:t>
            </w:r>
          </w:p>
        </w:tc>
      </w:tr>
      <w:tr w:rsidR="00920E66" w:rsidRPr="004D4ABF" w14:paraId="5F6C0771" w14:textId="77777777" w:rsidTr="00920E66">
        <w:tc>
          <w:tcPr>
            <w:tcW w:w="1217" w:type="dxa"/>
          </w:tcPr>
          <w:p w14:paraId="73EC81D0" w14:textId="77777777" w:rsidR="00920E66" w:rsidRPr="004D4ABF" w:rsidRDefault="00920E66" w:rsidP="00DC0079">
            <w:pPr>
              <w:overflowPunct w:val="0"/>
              <w:adjustRightInd w:val="0"/>
              <w:snapToGrid w:val="0"/>
              <w:spacing w:before="78" w:after="78" w:line="360" w:lineRule="auto"/>
              <w:ind w:firstLineChars="200" w:firstLine="360"/>
              <w:rPr>
                <w:bCs/>
                <w:sz w:val="18"/>
                <w:szCs w:val="18"/>
              </w:rPr>
            </w:pPr>
          </w:p>
        </w:tc>
        <w:tc>
          <w:tcPr>
            <w:tcW w:w="1217" w:type="dxa"/>
          </w:tcPr>
          <w:p w14:paraId="533CF0B6" w14:textId="77777777" w:rsidR="00920E66" w:rsidRPr="004D4ABF" w:rsidRDefault="00106697" w:rsidP="00DC0079">
            <w:pPr>
              <w:overflowPunct w:val="0"/>
              <w:adjustRightInd w:val="0"/>
              <w:snapToGrid w:val="0"/>
              <w:spacing w:before="78" w:after="78" w:line="360" w:lineRule="auto"/>
              <w:rPr>
                <w:sz w:val="18"/>
                <w:szCs w:val="18"/>
              </w:rPr>
            </w:pPr>
            <w:r w:rsidRPr="004D4ABF">
              <w:rPr>
                <w:sz w:val="18"/>
                <w:szCs w:val="18"/>
              </w:rPr>
              <w:t xml:space="preserve">miRNA-338-3p </w:t>
            </w:r>
          </w:p>
          <w:p w14:paraId="63EB6289"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and miRNA-1250-5p</w:t>
            </w:r>
          </w:p>
        </w:tc>
        <w:tc>
          <w:tcPr>
            <w:tcW w:w="1217" w:type="dxa"/>
          </w:tcPr>
          <w:p w14:paraId="58301B9A" w14:textId="77777777" w:rsidR="00920E66" w:rsidRPr="004D4ABF" w:rsidRDefault="00106697" w:rsidP="00DC0079">
            <w:pPr>
              <w:overflowPunct w:val="0"/>
              <w:adjustRightInd w:val="0"/>
              <w:snapToGrid w:val="0"/>
              <w:spacing w:before="78" w:after="78" w:line="360" w:lineRule="auto"/>
              <w:rPr>
                <w:sz w:val="18"/>
                <w:szCs w:val="18"/>
              </w:rPr>
            </w:pPr>
            <w:r w:rsidRPr="004D4ABF">
              <w:rPr>
                <w:sz w:val="18"/>
                <w:szCs w:val="18"/>
              </w:rPr>
              <w:t>miRNA-338-3p</w:t>
            </w:r>
          </w:p>
          <w:p w14:paraId="489FCA1F"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and miRNA-3065-5p</w:t>
            </w:r>
          </w:p>
        </w:tc>
        <w:tc>
          <w:tcPr>
            <w:tcW w:w="1217" w:type="dxa"/>
          </w:tcPr>
          <w:p w14:paraId="3519E5AC" w14:textId="77777777" w:rsidR="00920E66" w:rsidRPr="004D4ABF" w:rsidRDefault="00106697" w:rsidP="00DC0079">
            <w:pPr>
              <w:overflowPunct w:val="0"/>
              <w:adjustRightInd w:val="0"/>
              <w:snapToGrid w:val="0"/>
              <w:spacing w:before="78" w:after="78" w:line="360" w:lineRule="auto"/>
              <w:rPr>
                <w:sz w:val="18"/>
                <w:szCs w:val="18"/>
              </w:rPr>
            </w:pPr>
            <w:r w:rsidRPr="004D4ABF">
              <w:rPr>
                <w:sz w:val="18"/>
                <w:szCs w:val="18"/>
              </w:rPr>
              <w:t>miRNA-1250-5p</w:t>
            </w:r>
          </w:p>
          <w:p w14:paraId="3D8CCC3B"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and miRNA-3065-5p</w:t>
            </w:r>
          </w:p>
        </w:tc>
        <w:tc>
          <w:tcPr>
            <w:tcW w:w="1218" w:type="dxa"/>
          </w:tcPr>
          <w:p w14:paraId="5D83B79E" w14:textId="77777777" w:rsidR="00920E66" w:rsidRPr="004D4ABF" w:rsidRDefault="00106697" w:rsidP="00DC0079">
            <w:pPr>
              <w:overflowPunct w:val="0"/>
              <w:adjustRightInd w:val="0"/>
              <w:snapToGrid w:val="0"/>
              <w:spacing w:before="78" w:after="78" w:line="360" w:lineRule="auto"/>
              <w:rPr>
                <w:sz w:val="18"/>
                <w:szCs w:val="18"/>
              </w:rPr>
            </w:pPr>
            <w:r w:rsidRPr="004D4ABF">
              <w:rPr>
                <w:sz w:val="18"/>
                <w:szCs w:val="18"/>
              </w:rPr>
              <w:t xml:space="preserve">miRNA-338-3p </w:t>
            </w:r>
          </w:p>
          <w:p w14:paraId="21280D7B"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and miRNA-1250-5p</w:t>
            </w:r>
          </w:p>
        </w:tc>
        <w:tc>
          <w:tcPr>
            <w:tcW w:w="1218" w:type="dxa"/>
          </w:tcPr>
          <w:p w14:paraId="1899DC70" w14:textId="77777777" w:rsidR="00920E66" w:rsidRPr="004D4ABF" w:rsidRDefault="00106697" w:rsidP="00DC0079">
            <w:pPr>
              <w:overflowPunct w:val="0"/>
              <w:adjustRightInd w:val="0"/>
              <w:snapToGrid w:val="0"/>
              <w:spacing w:before="78" w:after="78" w:line="360" w:lineRule="auto"/>
              <w:rPr>
                <w:sz w:val="18"/>
                <w:szCs w:val="18"/>
              </w:rPr>
            </w:pPr>
            <w:r w:rsidRPr="004D4ABF">
              <w:rPr>
                <w:sz w:val="18"/>
                <w:szCs w:val="18"/>
              </w:rPr>
              <w:t>miRNA-338-3p</w:t>
            </w:r>
          </w:p>
          <w:p w14:paraId="61AA635E"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and miRNA-3065-5p</w:t>
            </w:r>
          </w:p>
        </w:tc>
        <w:tc>
          <w:tcPr>
            <w:tcW w:w="1218" w:type="dxa"/>
          </w:tcPr>
          <w:p w14:paraId="60B2ED34" w14:textId="77777777" w:rsidR="00920E66" w:rsidRPr="004D4ABF" w:rsidRDefault="00106697" w:rsidP="00DC0079">
            <w:pPr>
              <w:overflowPunct w:val="0"/>
              <w:adjustRightInd w:val="0"/>
              <w:snapToGrid w:val="0"/>
              <w:spacing w:before="78" w:after="78" w:line="360" w:lineRule="auto"/>
              <w:rPr>
                <w:sz w:val="18"/>
                <w:szCs w:val="18"/>
              </w:rPr>
            </w:pPr>
            <w:r w:rsidRPr="004D4ABF">
              <w:rPr>
                <w:sz w:val="18"/>
                <w:szCs w:val="18"/>
              </w:rPr>
              <w:t>miRNA-1250-5p</w:t>
            </w:r>
          </w:p>
          <w:p w14:paraId="4B42DED9"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and miRNA-3065-5p</w:t>
            </w:r>
          </w:p>
        </w:tc>
      </w:tr>
      <w:tr w:rsidR="00920E66" w:rsidRPr="004D4ABF" w14:paraId="7C6A7501" w14:textId="77777777" w:rsidTr="00920E66">
        <w:tc>
          <w:tcPr>
            <w:tcW w:w="1217" w:type="dxa"/>
          </w:tcPr>
          <w:p w14:paraId="4E66675F"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Correlation coefficient</w:t>
            </w:r>
          </w:p>
        </w:tc>
        <w:tc>
          <w:tcPr>
            <w:tcW w:w="1217" w:type="dxa"/>
          </w:tcPr>
          <w:p w14:paraId="499881E0"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rFonts w:hint="eastAsia"/>
                <w:sz w:val="18"/>
                <w:szCs w:val="18"/>
              </w:rPr>
              <w:t>0</w:t>
            </w:r>
            <w:r w:rsidRPr="004D4ABF">
              <w:rPr>
                <w:sz w:val="18"/>
                <w:szCs w:val="18"/>
              </w:rPr>
              <w:t>.381</w:t>
            </w:r>
          </w:p>
        </w:tc>
        <w:tc>
          <w:tcPr>
            <w:tcW w:w="1217" w:type="dxa"/>
          </w:tcPr>
          <w:p w14:paraId="7ABB4A75"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0.422</w:t>
            </w:r>
          </w:p>
        </w:tc>
        <w:tc>
          <w:tcPr>
            <w:tcW w:w="1217" w:type="dxa"/>
          </w:tcPr>
          <w:p w14:paraId="7E2473C5"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0.531</w:t>
            </w:r>
          </w:p>
        </w:tc>
        <w:tc>
          <w:tcPr>
            <w:tcW w:w="1218" w:type="dxa"/>
          </w:tcPr>
          <w:p w14:paraId="577A43C7"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rFonts w:hint="eastAsia"/>
                <w:sz w:val="18"/>
                <w:szCs w:val="18"/>
              </w:rPr>
              <w:t>0</w:t>
            </w:r>
            <w:r w:rsidRPr="004D4ABF">
              <w:rPr>
                <w:sz w:val="18"/>
                <w:szCs w:val="18"/>
              </w:rPr>
              <w:t>.234</w:t>
            </w:r>
          </w:p>
        </w:tc>
        <w:tc>
          <w:tcPr>
            <w:tcW w:w="1218" w:type="dxa"/>
          </w:tcPr>
          <w:p w14:paraId="088702D6"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rFonts w:hint="eastAsia"/>
                <w:sz w:val="18"/>
                <w:szCs w:val="18"/>
              </w:rPr>
              <w:t>0</w:t>
            </w:r>
            <w:r w:rsidRPr="004D4ABF">
              <w:rPr>
                <w:sz w:val="18"/>
                <w:szCs w:val="18"/>
              </w:rPr>
              <w:t>.356</w:t>
            </w:r>
          </w:p>
        </w:tc>
        <w:tc>
          <w:tcPr>
            <w:tcW w:w="1218" w:type="dxa"/>
          </w:tcPr>
          <w:p w14:paraId="3E84818B"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rFonts w:hint="eastAsia"/>
                <w:sz w:val="18"/>
                <w:szCs w:val="18"/>
              </w:rPr>
              <w:t>0</w:t>
            </w:r>
            <w:r w:rsidRPr="004D4ABF">
              <w:rPr>
                <w:sz w:val="18"/>
                <w:szCs w:val="18"/>
              </w:rPr>
              <w:t>.452</w:t>
            </w:r>
          </w:p>
        </w:tc>
      </w:tr>
      <w:tr w:rsidR="00920E66" w:rsidRPr="004D4ABF" w14:paraId="7B2DF846" w14:textId="77777777" w:rsidTr="00920E66">
        <w:tc>
          <w:tcPr>
            <w:tcW w:w="1217" w:type="dxa"/>
          </w:tcPr>
          <w:p w14:paraId="1B179A75" w14:textId="77777777" w:rsidR="00920E66" w:rsidRPr="004D4ABF" w:rsidRDefault="00106697" w:rsidP="00DC0079">
            <w:pPr>
              <w:overflowPunct w:val="0"/>
              <w:adjustRightInd w:val="0"/>
              <w:snapToGrid w:val="0"/>
              <w:spacing w:before="78" w:after="78" w:line="360" w:lineRule="auto"/>
              <w:ind w:firstLineChars="200" w:firstLine="360"/>
              <w:rPr>
                <w:bCs/>
                <w:sz w:val="18"/>
                <w:szCs w:val="18"/>
              </w:rPr>
            </w:pPr>
            <w:r w:rsidRPr="004D4ABF">
              <w:rPr>
                <w:sz w:val="18"/>
                <w:szCs w:val="18"/>
              </w:rPr>
              <w:t>P</w:t>
            </w:r>
          </w:p>
        </w:tc>
        <w:tc>
          <w:tcPr>
            <w:tcW w:w="1217" w:type="dxa"/>
          </w:tcPr>
          <w:p w14:paraId="738D2DFA" w14:textId="77777777" w:rsidR="00920E66" w:rsidRPr="004D4ABF" w:rsidRDefault="00106697" w:rsidP="00DC0079">
            <w:pPr>
              <w:overflowPunct w:val="0"/>
              <w:adjustRightInd w:val="0"/>
              <w:snapToGrid w:val="0"/>
              <w:spacing w:before="78" w:after="78" w:line="360" w:lineRule="auto"/>
              <w:ind w:firstLineChars="200" w:firstLine="361"/>
              <w:rPr>
                <w:b/>
                <w:sz w:val="18"/>
                <w:szCs w:val="18"/>
              </w:rPr>
            </w:pPr>
            <w:r w:rsidRPr="004D4ABF">
              <w:rPr>
                <w:rFonts w:hint="eastAsia"/>
                <w:b/>
                <w:sz w:val="18"/>
                <w:szCs w:val="18"/>
              </w:rPr>
              <w:t>&lt;</w:t>
            </w:r>
            <w:r w:rsidRPr="004D4ABF">
              <w:rPr>
                <w:b/>
                <w:sz w:val="18"/>
                <w:szCs w:val="18"/>
              </w:rPr>
              <w:t>0.001</w:t>
            </w:r>
            <w:r w:rsidRPr="004D4ABF">
              <w:rPr>
                <w:b/>
                <w:sz w:val="18"/>
                <w:szCs w:val="18"/>
                <w:vertAlign w:val="superscript"/>
              </w:rPr>
              <w:t>a</w:t>
            </w:r>
          </w:p>
        </w:tc>
        <w:tc>
          <w:tcPr>
            <w:tcW w:w="1217" w:type="dxa"/>
          </w:tcPr>
          <w:p w14:paraId="0A29C7DC" w14:textId="3B38642F" w:rsidR="00920E66" w:rsidRPr="004D4ABF" w:rsidRDefault="00106697" w:rsidP="00DC0079">
            <w:pPr>
              <w:overflowPunct w:val="0"/>
              <w:adjustRightInd w:val="0"/>
              <w:snapToGrid w:val="0"/>
              <w:spacing w:before="78" w:after="78" w:line="360" w:lineRule="auto"/>
              <w:ind w:firstLineChars="200" w:firstLine="361"/>
              <w:rPr>
                <w:b/>
                <w:sz w:val="18"/>
                <w:szCs w:val="18"/>
              </w:rPr>
            </w:pPr>
            <w:r w:rsidRPr="004D4ABF">
              <w:rPr>
                <w:rFonts w:hint="eastAsia"/>
                <w:b/>
                <w:sz w:val="18"/>
                <w:szCs w:val="18"/>
              </w:rPr>
              <w:t>&lt;</w:t>
            </w:r>
            <w:r w:rsidRPr="004D4ABF">
              <w:rPr>
                <w:b/>
                <w:sz w:val="18"/>
                <w:szCs w:val="18"/>
              </w:rPr>
              <w:t>0.001</w:t>
            </w:r>
            <w:r w:rsidRPr="004D4ABF">
              <w:rPr>
                <w:b/>
                <w:sz w:val="18"/>
                <w:szCs w:val="18"/>
                <w:vertAlign w:val="superscript"/>
              </w:rPr>
              <w:t>a</w:t>
            </w:r>
          </w:p>
        </w:tc>
        <w:tc>
          <w:tcPr>
            <w:tcW w:w="1217" w:type="dxa"/>
          </w:tcPr>
          <w:p w14:paraId="7FE4F618" w14:textId="7D683B02" w:rsidR="00920E66" w:rsidRPr="004D4ABF" w:rsidRDefault="00106697" w:rsidP="00DC0079">
            <w:pPr>
              <w:overflowPunct w:val="0"/>
              <w:adjustRightInd w:val="0"/>
              <w:snapToGrid w:val="0"/>
              <w:spacing w:before="78" w:after="78" w:line="360" w:lineRule="auto"/>
              <w:ind w:firstLineChars="200" w:firstLine="361"/>
              <w:rPr>
                <w:b/>
                <w:sz w:val="18"/>
                <w:szCs w:val="18"/>
              </w:rPr>
            </w:pPr>
            <w:r w:rsidRPr="004D4ABF">
              <w:rPr>
                <w:rFonts w:hint="eastAsia"/>
                <w:b/>
                <w:sz w:val="18"/>
                <w:szCs w:val="18"/>
              </w:rPr>
              <w:t>&lt;</w:t>
            </w:r>
            <w:r w:rsidRPr="004D4ABF">
              <w:rPr>
                <w:b/>
                <w:sz w:val="18"/>
                <w:szCs w:val="18"/>
              </w:rPr>
              <w:t>0.001</w:t>
            </w:r>
            <w:r w:rsidRPr="004D4ABF">
              <w:rPr>
                <w:b/>
                <w:sz w:val="18"/>
                <w:szCs w:val="18"/>
                <w:vertAlign w:val="superscript"/>
              </w:rPr>
              <w:t>a</w:t>
            </w:r>
          </w:p>
        </w:tc>
        <w:tc>
          <w:tcPr>
            <w:tcW w:w="1218" w:type="dxa"/>
          </w:tcPr>
          <w:p w14:paraId="0DC1F93F" w14:textId="22ACB710" w:rsidR="00920E66" w:rsidRPr="004D4ABF" w:rsidRDefault="00106697" w:rsidP="00DC0079">
            <w:pPr>
              <w:overflowPunct w:val="0"/>
              <w:adjustRightInd w:val="0"/>
              <w:snapToGrid w:val="0"/>
              <w:spacing w:before="78" w:after="78" w:line="360" w:lineRule="auto"/>
              <w:ind w:firstLineChars="200" w:firstLine="361"/>
              <w:rPr>
                <w:b/>
                <w:sz w:val="18"/>
                <w:szCs w:val="18"/>
              </w:rPr>
            </w:pPr>
            <w:r w:rsidRPr="004D4ABF">
              <w:rPr>
                <w:b/>
                <w:sz w:val="18"/>
                <w:szCs w:val="18"/>
              </w:rPr>
              <w:t>0.007</w:t>
            </w:r>
            <w:r w:rsidRPr="004D4ABF">
              <w:rPr>
                <w:b/>
                <w:sz w:val="18"/>
                <w:szCs w:val="18"/>
                <w:vertAlign w:val="superscript"/>
              </w:rPr>
              <w:t>a</w:t>
            </w:r>
          </w:p>
        </w:tc>
        <w:tc>
          <w:tcPr>
            <w:tcW w:w="1218" w:type="dxa"/>
          </w:tcPr>
          <w:p w14:paraId="6583A98C" w14:textId="56F793B0" w:rsidR="00920E66" w:rsidRPr="004D4ABF" w:rsidRDefault="00106697" w:rsidP="00DC0079">
            <w:pPr>
              <w:overflowPunct w:val="0"/>
              <w:adjustRightInd w:val="0"/>
              <w:snapToGrid w:val="0"/>
              <w:spacing w:before="78" w:after="78" w:line="360" w:lineRule="auto"/>
              <w:ind w:firstLineChars="200" w:firstLine="361"/>
              <w:rPr>
                <w:b/>
                <w:sz w:val="18"/>
                <w:szCs w:val="18"/>
              </w:rPr>
            </w:pPr>
            <w:r w:rsidRPr="004D4ABF">
              <w:rPr>
                <w:rFonts w:hint="eastAsia"/>
                <w:b/>
                <w:sz w:val="18"/>
                <w:szCs w:val="18"/>
              </w:rPr>
              <w:t>&lt;</w:t>
            </w:r>
            <w:r w:rsidRPr="004D4ABF">
              <w:rPr>
                <w:b/>
                <w:sz w:val="18"/>
                <w:szCs w:val="18"/>
              </w:rPr>
              <w:t>0.001</w:t>
            </w:r>
            <w:r w:rsidRPr="004D4ABF">
              <w:rPr>
                <w:b/>
                <w:sz w:val="18"/>
                <w:szCs w:val="18"/>
                <w:vertAlign w:val="superscript"/>
              </w:rPr>
              <w:t>a</w:t>
            </w:r>
          </w:p>
        </w:tc>
        <w:tc>
          <w:tcPr>
            <w:tcW w:w="1218" w:type="dxa"/>
          </w:tcPr>
          <w:p w14:paraId="070C3A87" w14:textId="72E9AD96" w:rsidR="00920E66" w:rsidRPr="004D4ABF" w:rsidRDefault="00106697" w:rsidP="00DC0079">
            <w:pPr>
              <w:overflowPunct w:val="0"/>
              <w:adjustRightInd w:val="0"/>
              <w:snapToGrid w:val="0"/>
              <w:spacing w:before="78" w:after="78" w:line="360" w:lineRule="auto"/>
              <w:ind w:firstLineChars="200" w:firstLine="361"/>
              <w:rPr>
                <w:b/>
                <w:sz w:val="18"/>
                <w:szCs w:val="18"/>
              </w:rPr>
            </w:pPr>
            <w:r w:rsidRPr="004D4ABF">
              <w:rPr>
                <w:rFonts w:hint="eastAsia"/>
                <w:b/>
                <w:sz w:val="18"/>
                <w:szCs w:val="18"/>
              </w:rPr>
              <w:t>&lt;</w:t>
            </w:r>
            <w:r w:rsidRPr="004D4ABF">
              <w:rPr>
                <w:b/>
                <w:sz w:val="18"/>
                <w:szCs w:val="18"/>
              </w:rPr>
              <w:t>0.001</w:t>
            </w:r>
            <w:r w:rsidRPr="004D4ABF">
              <w:rPr>
                <w:b/>
                <w:sz w:val="18"/>
                <w:szCs w:val="18"/>
                <w:vertAlign w:val="superscript"/>
              </w:rPr>
              <w:t>a</w:t>
            </w:r>
          </w:p>
        </w:tc>
      </w:tr>
    </w:tbl>
    <w:p w14:paraId="2D9A8E37" w14:textId="77777777" w:rsidR="00920E66" w:rsidRPr="004D4ABF" w:rsidRDefault="00106697" w:rsidP="00DC0079">
      <w:pPr>
        <w:overflowPunct w:val="0"/>
        <w:adjustRightInd w:val="0"/>
        <w:snapToGrid w:val="0"/>
        <w:spacing w:line="360" w:lineRule="auto"/>
        <w:ind w:firstLineChars="200" w:firstLine="300"/>
        <w:rPr>
          <w:rStyle w:val="2Char"/>
          <w:rFonts w:ascii="Times New Roman" w:hAnsi="Times New Roman"/>
          <w:b w:val="0"/>
          <w:sz w:val="15"/>
          <w:szCs w:val="15"/>
        </w:rPr>
      </w:pPr>
      <w:r w:rsidRPr="004D4ABF">
        <w:rPr>
          <w:rStyle w:val="2Char"/>
          <w:rFonts w:ascii="Times New Roman" w:hAnsi="Times New Roman"/>
          <w:b w:val="0"/>
          <w:sz w:val="15"/>
          <w:szCs w:val="15"/>
        </w:rPr>
        <w:t>a Based on Spearman correlation</w:t>
      </w:r>
      <w:r w:rsidRPr="004D4ABF">
        <w:rPr>
          <w:rStyle w:val="2Char"/>
          <w:rFonts w:ascii="Times New Roman" w:hAnsi="Times New Roman" w:hint="eastAsia"/>
          <w:b w:val="0"/>
          <w:sz w:val="15"/>
          <w:szCs w:val="15"/>
        </w:rPr>
        <w:t>,</w:t>
      </w:r>
      <w:r w:rsidRPr="004D4ABF">
        <w:rPr>
          <w:rStyle w:val="2Char"/>
          <w:rFonts w:ascii="Times New Roman" w:hAnsi="Times New Roman"/>
          <w:b w:val="0"/>
          <w:sz w:val="15"/>
          <w:szCs w:val="15"/>
        </w:rPr>
        <w:t xml:space="preserve"> All significant p-values are highlighted by bold chaeacters</w:t>
      </w:r>
    </w:p>
    <w:p w14:paraId="4AD63C38" w14:textId="77777777" w:rsidR="00873D05" w:rsidRPr="004D4ABF" w:rsidRDefault="00873D05" w:rsidP="00DC0079">
      <w:pPr>
        <w:overflowPunct w:val="0"/>
        <w:adjustRightInd w:val="0"/>
        <w:snapToGrid w:val="0"/>
        <w:spacing w:line="360" w:lineRule="auto"/>
        <w:ind w:firstLineChars="200" w:firstLine="300"/>
        <w:rPr>
          <w:rStyle w:val="2Char"/>
          <w:rFonts w:ascii="Times New Roman" w:hAnsi="Times New Roman"/>
          <w:b w:val="0"/>
          <w:sz w:val="15"/>
          <w:szCs w:val="15"/>
        </w:rPr>
      </w:pPr>
    </w:p>
    <w:p w14:paraId="7B10993E" w14:textId="77777777" w:rsidR="00873D05" w:rsidRPr="004D4ABF" w:rsidRDefault="00873D05" w:rsidP="00DC0079">
      <w:pPr>
        <w:overflowPunct w:val="0"/>
        <w:adjustRightInd w:val="0"/>
        <w:snapToGrid w:val="0"/>
        <w:spacing w:line="360" w:lineRule="auto"/>
        <w:rPr>
          <w:rStyle w:val="2Char"/>
          <w:rFonts w:ascii="Times New Roman" w:hAnsi="Times New Roman"/>
          <w:b w:val="0"/>
          <w:sz w:val="15"/>
          <w:szCs w:val="15"/>
        </w:rPr>
      </w:pPr>
    </w:p>
    <w:p w14:paraId="67FF2E91" w14:textId="77777777" w:rsidR="00DC0079" w:rsidRPr="004D4ABF" w:rsidRDefault="00DC0079" w:rsidP="00DC0079">
      <w:pPr>
        <w:overflowPunct w:val="0"/>
        <w:adjustRightInd w:val="0"/>
        <w:snapToGrid w:val="0"/>
        <w:spacing w:line="360" w:lineRule="auto"/>
        <w:rPr>
          <w:rStyle w:val="2Char"/>
          <w:rFonts w:ascii="Times New Roman" w:hAnsi="Times New Roman"/>
          <w:b w:val="0"/>
          <w:sz w:val="15"/>
          <w:szCs w:val="15"/>
        </w:rPr>
      </w:pPr>
    </w:p>
    <w:p w14:paraId="23CDE1C5" w14:textId="77777777" w:rsidR="00DC0079" w:rsidRPr="004D4ABF" w:rsidRDefault="00DC0079" w:rsidP="00DC0079">
      <w:pPr>
        <w:overflowPunct w:val="0"/>
        <w:adjustRightInd w:val="0"/>
        <w:snapToGrid w:val="0"/>
        <w:spacing w:line="360" w:lineRule="auto"/>
        <w:rPr>
          <w:rStyle w:val="2Char"/>
          <w:rFonts w:ascii="Times New Roman" w:hAnsi="Times New Roman"/>
          <w:b w:val="0"/>
          <w:sz w:val="15"/>
          <w:szCs w:val="15"/>
        </w:rPr>
      </w:pPr>
    </w:p>
    <w:tbl>
      <w:tblPr>
        <w:tblStyle w:val="aa"/>
        <w:tblW w:w="10534"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5856"/>
      </w:tblGrid>
      <w:tr w:rsidR="00920E66" w:rsidRPr="004D4ABF" w14:paraId="6538ABA5" w14:textId="77777777">
        <w:tc>
          <w:tcPr>
            <w:tcW w:w="4678" w:type="dxa"/>
          </w:tcPr>
          <w:p w14:paraId="4D942E82"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A</w:t>
            </w:r>
          </w:p>
        </w:tc>
        <w:tc>
          <w:tcPr>
            <w:tcW w:w="5856" w:type="dxa"/>
          </w:tcPr>
          <w:p w14:paraId="48C91508"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B</w:t>
            </w:r>
          </w:p>
        </w:tc>
      </w:tr>
      <w:tr w:rsidR="00920E66" w:rsidRPr="004D4ABF" w14:paraId="641A12A7" w14:textId="77777777">
        <w:tc>
          <w:tcPr>
            <w:tcW w:w="4678" w:type="dxa"/>
          </w:tcPr>
          <w:p w14:paraId="4A1DCDAE" w14:textId="77777777" w:rsidR="00920E66" w:rsidRPr="004D4ABF" w:rsidRDefault="00106697" w:rsidP="00DC0079">
            <w:pPr>
              <w:overflowPunct w:val="0"/>
              <w:autoSpaceDE w:val="0"/>
              <w:autoSpaceDN w:val="0"/>
              <w:adjustRightInd w:val="0"/>
              <w:snapToGrid w:val="0"/>
              <w:spacing w:line="360" w:lineRule="auto"/>
              <w:ind w:firstLineChars="200" w:firstLine="420"/>
              <w:rPr>
                <w:sz w:val="21"/>
                <w:szCs w:val="21"/>
              </w:rPr>
            </w:pPr>
            <w:r w:rsidRPr="004D4ABF">
              <w:rPr>
                <w:noProof/>
                <w:sz w:val="21"/>
                <w:szCs w:val="21"/>
              </w:rPr>
              <w:drawing>
                <wp:inline distT="0" distB="0" distL="0" distR="0" wp14:anchorId="31A1E95A" wp14:editId="2B81FCBC">
                  <wp:extent cx="2691765" cy="20193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10311" cy="2032736"/>
                          </a:xfrm>
                          <a:prstGeom prst="rect">
                            <a:avLst/>
                          </a:prstGeom>
                        </pic:spPr>
                      </pic:pic>
                    </a:graphicData>
                  </a:graphic>
                </wp:inline>
              </w:drawing>
            </w:r>
          </w:p>
        </w:tc>
        <w:tc>
          <w:tcPr>
            <w:tcW w:w="5856" w:type="dxa"/>
          </w:tcPr>
          <w:p w14:paraId="746865E6" w14:textId="77777777" w:rsidR="00920E66" w:rsidRPr="004D4ABF" w:rsidRDefault="00106697" w:rsidP="00DC0079">
            <w:pPr>
              <w:overflowPunct w:val="0"/>
              <w:autoSpaceDE w:val="0"/>
              <w:autoSpaceDN w:val="0"/>
              <w:adjustRightInd w:val="0"/>
              <w:snapToGrid w:val="0"/>
              <w:spacing w:line="360" w:lineRule="auto"/>
              <w:ind w:firstLineChars="200" w:firstLine="420"/>
              <w:rPr>
                <w:sz w:val="21"/>
                <w:szCs w:val="21"/>
              </w:rPr>
            </w:pPr>
            <w:r w:rsidRPr="004D4ABF">
              <w:rPr>
                <w:noProof/>
                <w:sz w:val="21"/>
                <w:szCs w:val="21"/>
              </w:rPr>
              <w:drawing>
                <wp:inline distT="0" distB="0" distL="0" distR="0" wp14:anchorId="34C98660" wp14:editId="3234CEB1">
                  <wp:extent cx="2609850" cy="195707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17874" cy="1963407"/>
                          </a:xfrm>
                          <a:prstGeom prst="rect">
                            <a:avLst/>
                          </a:prstGeom>
                        </pic:spPr>
                      </pic:pic>
                    </a:graphicData>
                  </a:graphic>
                </wp:inline>
              </w:drawing>
            </w:r>
          </w:p>
        </w:tc>
      </w:tr>
      <w:tr w:rsidR="00920E66" w:rsidRPr="004D4ABF" w14:paraId="1D7D2B93" w14:textId="77777777">
        <w:tc>
          <w:tcPr>
            <w:tcW w:w="4678" w:type="dxa"/>
          </w:tcPr>
          <w:p w14:paraId="574A724C" w14:textId="77777777" w:rsidR="00920E66" w:rsidRPr="004D4ABF" w:rsidRDefault="00106697" w:rsidP="00DC0079">
            <w:pPr>
              <w:overflowPunct w:val="0"/>
              <w:autoSpaceDE w:val="0"/>
              <w:autoSpaceDN w:val="0"/>
              <w:adjustRightInd w:val="0"/>
              <w:snapToGrid w:val="0"/>
              <w:spacing w:line="360" w:lineRule="auto"/>
              <w:ind w:firstLineChars="200" w:firstLine="420"/>
              <w:rPr>
                <w:sz w:val="21"/>
                <w:szCs w:val="21"/>
              </w:rPr>
            </w:pPr>
            <w:r w:rsidRPr="004D4ABF">
              <w:rPr>
                <w:rFonts w:hint="eastAsia"/>
                <w:sz w:val="21"/>
                <w:szCs w:val="21"/>
              </w:rPr>
              <w:t>C</w:t>
            </w:r>
          </w:p>
        </w:tc>
        <w:tc>
          <w:tcPr>
            <w:tcW w:w="5856" w:type="dxa"/>
          </w:tcPr>
          <w:p w14:paraId="5E0FC172" w14:textId="77777777" w:rsidR="00920E66" w:rsidRPr="004D4ABF" w:rsidRDefault="00106697" w:rsidP="00DC0079">
            <w:pPr>
              <w:overflowPunct w:val="0"/>
              <w:autoSpaceDE w:val="0"/>
              <w:autoSpaceDN w:val="0"/>
              <w:adjustRightInd w:val="0"/>
              <w:snapToGrid w:val="0"/>
              <w:spacing w:line="360" w:lineRule="auto"/>
              <w:ind w:firstLineChars="200" w:firstLine="420"/>
              <w:rPr>
                <w:sz w:val="21"/>
                <w:szCs w:val="21"/>
              </w:rPr>
            </w:pPr>
            <w:r w:rsidRPr="004D4ABF">
              <w:rPr>
                <w:rFonts w:hint="eastAsia"/>
                <w:sz w:val="21"/>
                <w:szCs w:val="21"/>
              </w:rPr>
              <w:t>D</w:t>
            </w:r>
          </w:p>
        </w:tc>
      </w:tr>
      <w:tr w:rsidR="00920E66" w:rsidRPr="004D4ABF" w14:paraId="235F35A1" w14:textId="77777777">
        <w:tc>
          <w:tcPr>
            <w:tcW w:w="4678" w:type="dxa"/>
          </w:tcPr>
          <w:p w14:paraId="65FD753A"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noProof/>
                <w:sz w:val="18"/>
                <w:szCs w:val="18"/>
              </w:rPr>
              <w:lastRenderedPageBreak/>
              <w:drawing>
                <wp:inline distT="0" distB="0" distL="0" distR="0" wp14:anchorId="2EEA3086" wp14:editId="69543E72">
                  <wp:extent cx="2584450" cy="193865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08781" cy="1956584"/>
                          </a:xfrm>
                          <a:prstGeom prst="rect">
                            <a:avLst/>
                          </a:prstGeom>
                        </pic:spPr>
                      </pic:pic>
                    </a:graphicData>
                  </a:graphic>
                </wp:inline>
              </w:drawing>
            </w:r>
          </w:p>
        </w:tc>
        <w:tc>
          <w:tcPr>
            <w:tcW w:w="5856" w:type="dxa"/>
          </w:tcPr>
          <w:p w14:paraId="47870F35"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noProof/>
                <w:sz w:val="18"/>
                <w:szCs w:val="18"/>
              </w:rPr>
              <w:drawing>
                <wp:inline distT="0" distB="0" distL="0" distR="0" wp14:anchorId="5FEC9D57" wp14:editId="135CEB19">
                  <wp:extent cx="2993390" cy="199580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24641" cy="2016427"/>
                          </a:xfrm>
                          <a:prstGeom prst="rect">
                            <a:avLst/>
                          </a:prstGeom>
                        </pic:spPr>
                      </pic:pic>
                    </a:graphicData>
                  </a:graphic>
                </wp:inline>
              </w:drawing>
            </w:r>
          </w:p>
        </w:tc>
      </w:tr>
      <w:tr w:rsidR="00920E66" w:rsidRPr="004D4ABF" w14:paraId="48A4CB28" w14:textId="77777777">
        <w:tc>
          <w:tcPr>
            <w:tcW w:w="4678" w:type="dxa"/>
          </w:tcPr>
          <w:p w14:paraId="16991F02" w14:textId="77777777" w:rsidR="00920E66" w:rsidRPr="004D4ABF" w:rsidRDefault="00106697" w:rsidP="00DC0079">
            <w:pPr>
              <w:overflowPunct w:val="0"/>
              <w:autoSpaceDE w:val="0"/>
              <w:autoSpaceDN w:val="0"/>
              <w:adjustRightInd w:val="0"/>
              <w:snapToGrid w:val="0"/>
              <w:spacing w:line="360" w:lineRule="auto"/>
              <w:ind w:firstLineChars="200" w:firstLine="420"/>
              <w:rPr>
                <w:sz w:val="21"/>
                <w:szCs w:val="21"/>
              </w:rPr>
            </w:pPr>
            <w:r w:rsidRPr="004D4ABF">
              <w:rPr>
                <w:rFonts w:hint="eastAsia"/>
                <w:sz w:val="21"/>
                <w:szCs w:val="21"/>
              </w:rPr>
              <w:t>E</w:t>
            </w:r>
          </w:p>
        </w:tc>
        <w:tc>
          <w:tcPr>
            <w:tcW w:w="5856" w:type="dxa"/>
          </w:tcPr>
          <w:p w14:paraId="0B474814" w14:textId="77777777" w:rsidR="00920E66" w:rsidRPr="004D4ABF" w:rsidRDefault="00106697" w:rsidP="00DC0079">
            <w:pPr>
              <w:overflowPunct w:val="0"/>
              <w:autoSpaceDE w:val="0"/>
              <w:autoSpaceDN w:val="0"/>
              <w:adjustRightInd w:val="0"/>
              <w:snapToGrid w:val="0"/>
              <w:spacing w:line="360" w:lineRule="auto"/>
              <w:ind w:firstLineChars="200" w:firstLine="420"/>
              <w:rPr>
                <w:sz w:val="21"/>
                <w:szCs w:val="21"/>
              </w:rPr>
            </w:pPr>
            <w:r w:rsidRPr="004D4ABF">
              <w:rPr>
                <w:rFonts w:hint="eastAsia"/>
                <w:sz w:val="21"/>
                <w:szCs w:val="21"/>
              </w:rPr>
              <w:t>F</w:t>
            </w:r>
          </w:p>
        </w:tc>
      </w:tr>
      <w:tr w:rsidR="00920E66" w:rsidRPr="004D4ABF" w14:paraId="10E2C737" w14:textId="77777777">
        <w:tc>
          <w:tcPr>
            <w:tcW w:w="4678" w:type="dxa"/>
          </w:tcPr>
          <w:p w14:paraId="75129798"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noProof/>
                <w:sz w:val="18"/>
                <w:szCs w:val="18"/>
              </w:rPr>
              <w:drawing>
                <wp:inline distT="0" distB="0" distL="0" distR="0" wp14:anchorId="6EB3E569" wp14:editId="3BEC6A1A">
                  <wp:extent cx="2724150" cy="1816096"/>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95692" cy="1863791"/>
                          </a:xfrm>
                          <a:prstGeom prst="rect">
                            <a:avLst/>
                          </a:prstGeom>
                        </pic:spPr>
                      </pic:pic>
                    </a:graphicData>
                  </a:graphic>
                </wp:inline>
              </w:drawing>
            </w:r>
          </w:p>
        </w:tc>
        <w:tc>
          <w:tcPr>
            <w:tcW w:w="5856" w:type="dxa"/>
          </w:tcPr>
          <w:p w14:paraId="654E88CB"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noProof/>
                <w:sz w:val="18"/>
                <w:szCs w:val="18"/>
              </w:rPr>
              <w:drawing>
                <wp:inline distT="0" distB="0" distL="0" distR="0" wp14:anchorId="4E4F4640" wp14:editId="5246F0FF">
                  <wp:extent cx="2976880" cy="198437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45379" cy="2030253"/>
                          </a:xfrm>
                          <a:prstGeom prst="rect">
                            <a:avLst/>
                          </a:prstGeom>
                        </pic:spPr>
                      </pic:pic>
                    </a:graphicData>
                  </a:graphic>
                </wp:inline>
              </w:drawing>
            </w:r>
          </w:p>
        </w:tc>
      </w:tr>
    </w:tbl>
    <w:p w14:paraId="670138EF" w14:textId="7810B04A" w:rsidR="00920E66" w:rsidRPr="004D4ABF" w:rsidRDefault="00106697" w:rsidP="00DC0079">
      <w:pPr>
        <w:overflowPunct w:val="0"/>
        <w:autoSpaceDE w:val="0"/>
        <w:autoSpaceDN w:val="0"/>
        <w:adjustRightInd w:val="0"/>
        <w:snapToGrid w:val="0"/>
        <w:spacing w:line="360" w:lineRule="auto"/>
        <w:ind w:firstLineChars="200" w:firstLine="400"/>
        <w:jc w:val="center"/>
        <w:rPr>
          <w:sz w:val="20"/>
          <w:szCs w:val="20"/>
        </w:rPr>
      </w:pPr>
      <w:bookmarkStart w:id="8" w:name="OLE_LINK36"/>
      <w:r w:rsidRPr="004D4ABF">
        <w:rPr>
          <w:sz w:val="20"/>
          <w:szCs w:val="20"/>
        </w:rPr>
        <w:t>Fig.</w:t>
      </w:r>
      <w:r w:rsidR="007E2107" w:rsidRPr="004D4ABF">
        <w:rPr>
          <w:sz w:val="20"/>
          <w:szCs w:val="20"/>
        </w:rPr>
        <w:t>5</w:t>
      </w:r>
      <w:r w:rsidRPr="004D4ABF">
        <w:rPr>
          <w:sz w:val="20"/>
          <w:szCs w:val="20"/>
        </w:rPr>
        <w:t xml:space="preserve"> The correlational analysis between miRNA-338-3p,miRNA-1250-5p</w:t>
      </w:r>
      <w:r w:rsidR="005E7B27" w:rsidRPr="004D4ABF">
        <w:rPr>
          <w:rFonts w:hint="eastAsia"/>
          <w:sz w:val="20"/>
          <w:szCs w:val="20"/>
        </w:rPr>
        <w:t>,</w:t>
      </w:r>
      <w:r w:rsidRPr="004D4ABF">
        <w:rPr>
          <w:sz w:val="20"/>
          <w:szCs w:val="20"/>
        </w:rPr>
        <w:t xml:space="preserve"> and miRNA-3065-5p groups</w:t>
      </w:r>
    </w:p>
    <w:p w14:paraId="34F20C41" w14:textId="78A91E30" w:rsidR="00920E66" w:rsidRPr="004D4ABF" w:rsidRDefault="00106697" w:rsidP="00DC0079">
      <w:pPr>
        <w:overflowPunct w:val="0"/>
        <w:autoSpaceDE w:val="0"/>
        <w:autoSpaceDN w:val="0"/>
        <w:adjustRightInd w:val="0"/>
        <w:snapToGrid w:val="0"/>
        <w:spacing w:line="360" w:lineRule="auto"/>
        <w:ind w:firstLineChars="200" w:firstLine="400"/>
        <w:rPr>
          <w:sz w:val="20"/>
          <w:szCs w:val="20"/>
        </w:rPr>
      </w:pPr>
      <w:r w:rsidRPr="004D4ABF">
        <w:rPr>
          <w:sz w:val="20"/>
          <w:szCs w:val="20"/>
        </w:rPr>
        <w:t>E: Experimental group, C: Control group. (A)</w:t>
      </w:r>
      <w:r w:rsidR="005E7B27" w:rsidRPr="004D4ABF">
        <w:rPr>
          <w:rFonts w:hint="eastAsia"/>
          <w:sz w:val="20"/>
          <w:szCs w:val="20"/>
        </w:rPr>
        <w:t>,</w:t>
      </w:r>
      <w:r w:rsidRPr="004D4ABF">
        <w:rPr>
          <w:sz w:val="20"/>
          <w:szCs w:val="20"/>
        </w:rPr>
        <w:t xml:space="preserve"> (B)</w:t>
      </w:r>
      <w:r w:rsidR="005E7B27" w:rsidRPr="004D4ABF">
        <w:rPr>
          <w:rFonts w:hint="eastAsia"/>
          <w:sz w:val="20"/>
          <w:szCs w:val="20"/>
        </w:rPr>
        <w:t xml:space="preserve"> and</w:t>
      </w:r>
      <w:r w:rsidRPr="004D4ABF">
        <w:rPr>
          <w:sz w:val="20"/>
          <w:szCs w:val="20"/>
        </w:rPr>
        <w:t xml:space="preserve"> (C) </w:t>
      </w:r>
      <w:r w:rsidR="005E7B27" w:rsidRPr="004D4ABF">
        <w:rPr>
          <w:rFonts w:hint="eastAsia"/>
          <w:sz w:val="20"/>
          <w:szCs w:val="20"/>
        </w:rPr>
        <w:t>illustrate</w:t>
      </w:r>
      <w:r w:rsidRPr="004D4ABF">
        <w:rPr>
          <w:sz w:val="20"/>
          <w:szCs w:val="20"/>
        </w:rPr>
        <w:t xml:space="preserve"> the correlation</w:t>
      </w:r>
      <w:r w:rsidR="005E7B27" w:rsidRPr="004D4ABF">
        <w:rPr>
          <w:rFonts w:hint="eastAsia"/>
          <w:sz w:val="20"/>
          <w:szCs w:val="20"/>
        </w:rPr>
        <w:t>s</w:t>
      </w:r>
      <w:r w:rsidRPr="004D4ABF">
        <w:rPr>
          <w:sz w:val="20"/>
          <w:szCs w:val="20"/>
        </w:rPr>
        <w:t xml:space="preserve"> between miRNA-338-3p, miRNA-1250-5p</w:t>
      </w:r>
      <w:r w:rsidR="005E7B27" w:rsidRPr="004D4ABF">
        <w:rPr>
          <w:rFonts w:hint="eastAsia"/>
          <w:sz w:val="20"/>
          <w:szCs w:val="20"/>
        </w:rPr>
        <w:t>,</w:t>
      </w:r>
      <w:r w:rsidRPr="004D4ABF">
        <w:rPr>
          <w:sz w:val="20"/>
          <w:szCs w:val="20"/>
        </w:rPr>
        <w:t xml:space="preserve"> and miRNA-3065-5p in the experimental group,</w:t>
      </w:r>
      <w:r w:rsidR="005E7B27" w:rsidRPr="004D4ABF">
        <w:rPr>
          <w:rFonts w:hint="eastAsia"/>
          <w:sz w:val="20"/>
          <w:szCs w:val="20"/>
        </w:rPr>
        <w:t xml:space="preserve"> while</w:t>
      </w:r>
      <w:r w:rsidRPr="004D4ABF">
        <w:rPr>
          <w:sz w:val="20"/>
          <w:szCs w:val="20"/>
        </w:rPr>
        <w:t xml:space="preserve"> (D)</w:t>
      </w:r>
      <w:r w:rsidR="005E7B27" w:rsidRPr="004D4ABF">
        <w:rPr>
          <w:rFonts w:hint="eastAsia"/>
          <w:sz w:val="20"/>
          <w:szCs w:val="20"/>
        </w:rPr>
        <w:t>,</w:t>
      </w:r>
      <w:r w:rsidRPr="004D4ABF">
        <w:rPr>
          <w:sz w:val="20"/>
          <w:szCs w:val="20"/>
        </w:rPr>
        <w:t xml:space="preserve"> (E)</w:t>
      </w:r>
      <w:r w:rsidR="005E7B27" w:rsidRPr="004D4ABF">
        <w:rPr>
          <w:rFonts w:hint="eastAsia"/>
          <w:sz w:val="20"/>
          <w:szCs w:val="20"/>
        </w:rPr>
        <w:t>, and</w:t>
      </w:r>
      <w:r w:rsidRPr="004D4ABF">
        <w:rPr>
          <w:sz w:val="20"/>
          <w:szCs w:val="20"/>
        </w:rPr>
        <w:t xml:space="preserve"> (F) </w:t>
      </w:r>
      <w:r w:rsidR="005E7B27" w:rsidRPr="004D4ABF">
        <w:rPr>
          <w:rFonts w:hint="eastAsia"/>
          <w:sz w:val="20"/>
          <w:szCs w:val="20"/>
        </w:rPr>
        <w:t>depict these correlations</w:t>
      </w:r>
      <w:r w:rsidRPr="004D4ABF">
        <w:rPr>
          <w:sz w:val="20"/>
          <w:szCs w:val="20"/>
        </w:rPr>
        <w:t xml:space="preserve"> in the overall population. A: In the experimental group, miRNA-338-3p was positively correlated with miRNA-1250-5p (r=0.381, </w:t>
      </w:r>
      <w:r w:rsidRPr="004D4ABF">
        <w:rPr>
          <w:i/>
          <w:iCs/>
          <w:sz w:val="20"/>
          <w:szCs w:val="20"/>
        </w:rPr>
        <w:t>p</w:t>
      </w:r>
      <w:r w:rsidRPr="004D4ABF">
        <w:rPr>
          <w:sz w:val="20"/>
          <w:szCs w:val="20"/>
        </w:rPr>
        <w:t xml:space="preserve">&lt;0.001). B: In the experimental group, miRNA-338-3p was positively correlated with miRNA-3065-5p (r=0.422, </w:t>
      </w:r>
      <w:r w:rsidRPr="004D4ABF">
        <w:rPr>
          <w:i/>
          <w:iCs/>
          <w:sz w:val="20"/>
          <w:szCs w:val="20"/>
        </w:rPr>
        <w:t>p</w:t>
      </w:r>
      <w:r w:rsidRPr="004D4ABF">
        <w:rPr>
          <w:sz w:val="20"/>
          <w:szCs w:val="20"/>
        </w:rPr>
        <w:t xml:space="preserve">&lt;0.001). C: In the experimental group, miRNA-1250-5p was positively correlated with miRNA-3065-5p (r=0.531, </w:t>
      </w:r>
      <w:r w:rsidRPr="004D4ABF">
        <w:rPr>
          <w:i/>
          <w:iCs/>
          <w:sz w:val="20"/>
          <w:szCs w:val="20"/>
        </w:rPr>
        <w:t>p</w:t>
      </w:r>
      <w:r w:rsidRPr="004D4ABF">
        <w:rPr>
          <w:sz w:val="20"/>
          <w:szCs w:val="20"/>
        </w:rPr>
        <w:t xml:space="preserve">&lt;0.001). D: In the experimental group, miRNA-338-3p was positively correlated with miRNA-1250-5p. In the control group, miRNA-338-3p was negatively correlated with miRNA-1250-5p, </w:t>
      </w:r>
      <w:r w:rsidR="00AE425F" w:rsidRPr="004D4ABF">
        <w:rPr>
          <w:rFonts w:hint="eastAsia"/>
          <w:sz w:val="20"/>
          <w:szCs w:val="20"/>
        </w:rPr>
        <w:t>while a positive correlation was observed</w:t>
      </w:r>
      <w:r w:rsidRPr="004D4ABF">
        <w:rPr>
          <w:sz w:val="20"/>
          <w:szCs w:val="20"/>
        </w:rPr>
        <w:t xml:space="preserve"> in the total population (r=0.234, p=0.007). E: miRNA-338-3p </w:t>
      </w:r>
      <w:r w:rsidR="00111186" w:rsidRPr="004D4ABF">
        <w:rPr>
          <w:sz w:val="20"/>
          <w:szCs w:val="20"/>
        </w:rPr>
        <w:t>positively correlated</w:t>
      </w:r>
      <w:r w:rsidRPr="004D4ABF">
        <w:rPr>
          <w:sz w:val="20"/>
          <w:szCs w:val="20"/>
        </w:rPr>
        <w:t xml:space="preserve"> with miRNA-3065-5p </w:t>
      </w:r>
      <w:r w:rsidRPr="004D4ABF">
        <w:rPr>
          <w:rFonts w:hint="eastAsia"/>
          <w:sz w:val="20"/>
          <w:szCs w:val="20"/>
        </w:rPr>
        <w:t>i</w:t>
      </w:r>
      <w:r w:rsidRPr="004D4ABF">
        <w:rPr>
          <w:sz w:val="20"/>
          <w:szCs w:val="20"/>
        </w:rPr>
        <w:t>n the experimental, control group</w:t>
      </w:r>
      <w:r w:rsidR="00AE425F" w:rsidRPr="004D4ABF">
        <w:rPr>
          <w:rFonts w:hint="eastAsia"/>
          <w:sz w:val="20"/>
          <w:szCs w:val="20"/>
        </w:rPr>
        <w:t>,</w:t>
      </w:r>
      <w:r w:rsidRPr="004D4ABF">
        <w:rPr>
          <w:sz w:val="20"/>
          <w:szCs w:val="20"/>
        </w:rPr>
        <w:t xml:space="preserve"> and total population (r=0.356,p&lt;0.001).</w:t>
      </w:r>
      <w:r w:rsidR="00AE425F" w:rsidRPr="004D4ABF">
        <w:rPr>
          <w:rFonts w:hint="eastAsia"/>
          <w:sz w:val="20"/>
          <w:szCs w:val="20"/>
        </w:rPr>
        <w:t xml:space="preserve"> </w:t>
      </w:r>
      <w:r w:rsidRPr="004D4ABF">
        <w:rPr>
          <w:sz w:val="20"/>
          <w:szCs w:val="20"/>
        </w:rPr>
        <w:t>F</w:t>
      </w:r>
      <w:r w:rsidR="00AE425F" w:rsidRPr="004D4ABF">
        <w:rPr>
          <w:rFonts w:hint="eastAsia"/>
          <w:sz w:val="20"/>
          <w:szCs w:val="20"/>
        </w:rPr>
        <w:t>:</w:t>
      </w:r>
      <w:r w:rsidRPr="004D4ABF">
        <w:rPr>
          <w:sz w:val="20"/>
          <w:szCs w:val="20"/>
        </w:rPr>
        <w:t xml:space="preserve"> miRNA-1250-5p was positively correlated with miRNA-3065-5p</w:t>
      </w:r>
      <w:r w:rsidRPr="004D4ABF">
        <w:rPr>
          <w:rFonts w:hint="eastAsia"/>
          <w:sz w:val="20"/>
          <w:szCs w:val="20"/>
        </w:rPr>
        <w:t xml:space="preserve"> i</w:t>
      </w:r>
      <w:r w:rsidRPr="004D4ABF">
        <w:rPr>
          <w:sz w:val="20"/>
          <w:szCs w:val="20"/>
        </w:rPr>
        <w:t>n the experimental group, control group</w:t>
      </w:r>
      <w:r w:rsidR="00AE425F" w:rsidRPr="004D4ABF">
        <w:rPr>
          <w:rFonts w:hint="eastAsia"/>
          <w:sz w:val="20"/>
          <w:szCs w:val="20"/>
        </w:rPr>
        <w:t>,</w:t>
      </w:r>
      <w:r w:rsidRPr="004D4ABF">
        <w:rPr>
          <w:sz w:val="20"/>
          <w:szCs w:val="20"/>
        </w:rPr>
        <w:t xml:space="preserve"> and total population (r=0.452,p&lt;0.001).</w:t>
      </w:r>
    </w:p>
    <w:bookmarkEnd w:id="8"/>
    <w:p w14:paraId="4CAA989C" w14:textId="72A023ED" w:rsidR="001B4C93" w:rsidRPr="004D4ABF" w:rsidRDefault="00961434" w:rsidP="00111186">
      <w:pPr>
        <w:spacing w:line="360" w:lineRule="auto"/>
        <w:jc w:val="center"/>
        <w:rPr>
          <w:bCs/>
          <w:sz w:val="18"/>
          <w:szCs w:val="18"/>
        </w:rPr>
      </w:pPr>
      <w:r w:rsidRPr="004D4ABF">
        <w:rPr>
          <w:noProof/>
        </w:rPr>
        <w:lastRenderedPageBreak/>
        <w:drawing>
          <wp:inline distT="0" distB="0" distL="0" distR="0" wp14:anchorId="053EF14E" wp14:editId="35D8EB16">
            <wp:extent cx="4051300" cy="2673350"/>
            <wp:effectExtent l="0" t="0" r="0" b="0"/>
            <wp:docPr id="13060324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51300" cy="2673350"/>
                    </a:xfrm>
                    <a:prstGeom prst="rect">
                      <a:avLst/>
                    </a:prstGeom>
                    <a:noFill/>
                    <a:ln>
                      <a:noFill/>
                    </a:ln>
                  </pic:spPr>
                </pic:pic>
              </a:graphicData>
            </a:graphic>
          </wp:inline>
        </w:drawing>
      </w:r>
    </w:p>
    <w:p w14:paraId="42D68402" w14:textId="11A36003" w:rsidR="00961434" w:rsidRPr="004D4ABF" w:rsidRDefault="00961434" w:rsidP="00961434">
      <w:pPr>
        <w:overflowPunct w:val="0"/>
        <w:autoSpaceDE w:val="0"/>
        <w:autoSpaceDN w:val="0"/>
        <w:adjustRightInd w:val="0"/>
        <w:snapToGrid w:val="0"/>
        <w:spacing w:line="360" w:lineRule="auto"/>
        <w:ind w:firstLineChars="200" w:firstLine="400"/>
        <w:jc w:val="center"/>
        <w:rPr>
          <w:sz w:val="20"/>
          <w:szCs w:val="20"/>
        </w:rPr>
      </w:pPr>
      <w:r w:rsidRPr="004D4ABF">
        <w:rPr>
          <w:sz w:val="20"/>
          <w:szCs w:val="20"/>
        </w:rPr>
        <w:t>Fig.</w:t>
      </w:r>
      <w:r w:rsidRPr="004D4ABF">
        <w:rPr>
          <w:rFonts w:hint="eastAsia"/>
          <w:sz w:val="20"/>
          <w:szCs w:val="20"/>
        </w:rPr>
        <w:t>6</w:t>
      </w:r>
      <w:r w:rsidRPr="004D4ABF">
        <w:rPr>
          <w:sz w:val="20"/>
          <w:szCs w:val="20"/>
        </w:rPr>
        <w:t xml:space="preserve"> The ROC of  miRNA-338-3p, miRNA-1250-5p and miRNA-3065-5p</w:t>
      </w:r>
    </w:p>
    <w:p w14:paraId="191CB64C" w14:textId="77777777" w:rsidR="00653A8D" w:rsidRDefault="00653A8D" w:rsidP="00DC0079">
      <w:pPr>
        <w:overflowPunct w:val="0"/>
        <w:autoSpaceDE w:val="0"/>
        <w:autoSpaceDN w:val="0"/>
        <w:adjustRightInd w:val="0"/>
        <w:snapToGrid w:val="0"/>
        <w:spacing w:line="360" w:lineRule="auto"/>
        <w:ind w:firstLineChars="200" w:firstLine="562"/>
        <w:jc w:val="center"/>
        <w:rPr>
          <w:b/>
          <w:bCs/>
        </w:rPr>
      </w:pPr>
      <w:bookmarkStart w:id="9" w:name="OLE_LINK39"/>
    </w:p>
    <w:p w14:paraId="33C5C73E" w14:textId="045A5933" w:rsidR="00920E66" w:rsidRPr="004D4ABF" w:rsidRDefault="00106697" w:rsidP="00DC0079">
      <w:pPr>
        <w:overflowPunct w:val="0"/>
        <w:autoSpaceDE w:val="0"/>
        <w:autoSpaceDN w:val="0"/>
        <w:adjustRightInd w:val="0"/>
        <w:snapToGrid w:val="0"/>
        <w:spacing w:line="360" w:lineRule="auto"/>
        <w:ind w:firstLineChars="200" w:firstLine="400"/>
        <w:jc w:val="center"/>
        <w:rPr>
          <w:sz w:val="20"/>
          <w:szCs w:val="20"/>
        </w:rPr>
      </w:pPr>
      <w:r w:rsidRPr="004D4ABF">
        <w:rPr>
          <w:sz w:val="20"/>
          <w:szCs w:val="20"/>
        </w:rPr>
        <w:t xml:space="preserve">Table </w:t>
      </w:r>
      <w:r w:rsidR="001E3275" w:rsidRPr="004D4ABF">
        <w:rPr>
          <w:rFonts w:hint="eastAsia"/>
          <w:sz w:val="20"/>
          <w:szCs w:val="20"/>
        </w:rPr>
        <w:t>7</w:t>
      </w:r>
      <w:r w:rsidRPr="004D4ABF">
        <w:rPr>
          <w:sz w:val="20"/>
          <w:szCs w:val="20"/>
        </w:rPr>
        <w:t xml:space="preserve">. </w:t>
      </w:r>
      <w:r w:rsidRPr="004D4ABF">
        <w:rPr>
          <w:rFonts w:hint="eastAsia"/>
          <w:sz w:val="20"/>
          <w:szCs w:val="20"/>
        </w:rPr>
        <w:t>Su</w:t>
      </w:r>
      <w:r w:rsidRPr="004D4ABF">
        <w:rPr>
          <w:sz w:val="20"/>
          <w:szCs w:val="20"/>
        </w:rPr>
        <w:t xml:space="preserve">mmary of outcomes </w:t>
      </w:r>
      <w:r w:rsidR="00AE425F" w:rsidRPr="004D4ABF">
        <w:rPr>
          <w:rFonts w:hint="eastAsia"/>
          <w:sz w:val="20"/>
          <w:szCs w:val="20"/>
        </w:rPr>
        <w:t>from the</w:t>
      </w:r>
      <w:r w:rsidRPr="004D4ABF">
        <w:rPr>
          <w:sz w:val="20"/>
          <w:szCs w:val="20"/>
        </w:rPr>
        <w:t xml:space="preserve"> measurement of peripheral </w:t>
      </w:r>
      <w:r w:rsidRPr="004D4ABF">
        <w:rPr>
          <w:rFonts w:hint="eastAsia"/>
          <w:sz w:val="20"/>
          <w:szCs w:val="20"/>
        </w:rPr>
        <w:t>mi</w:t>
      </w:r>
      <w:r w:rsidRPr="004D4ABF">
        <w:rPr>
          <w:sz w:val="20"/>
          <w:szCs w:val="20"/>
        </w:rPr>
        <w:t>R-338-3p/miRNA-1250-5p/miRNA-3065-5p in IS</w:t>
      </w:r>
    </w:p>
    <w:tbl>
      <w:tblPr>
        <w:tblStyle w:val="aa"/>
        <w:tblW w:w="770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409"/>
        <w:gridCol w:w="1558"/>
        <w:gridCol w:w="1364"/>
      </w:tblGrid>
      <w:tr w:rsidR="00920E66" w:rsidRPr="004D4ABF" w14:paraId="4CAB2146" w14:textId="77777777">
        <w:tc>
          <w:tcPr>
            <w:tcW w:w="2376" w:type="dxa"/>
            <w:tcBorders>
              <w:top w:val="single" w:sz="12" w:space="0" w:color="auto"/>
              <w:bottom w:val="single" w:sz="12" w:space="0" w:color="auto"/>
            </w:tcBorders>
          </w:tcPr>
          <w:bookmarkEnd w:id="9"/>
          <w:p w14:paraId="4579561D"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M</w:t>
            </w:r>
            <w:r w:rsidRPr="004D4ABF">
              <w:rPr>
                <w:sz w:val="18"/>
                <w:szCs w:val="18"/>
              </w:rPr>
              <w:t>ain Outcome</w:t>
            </w:r>
          </w:p>
        </w:tc>
        <w:tc>
          <w:tcPr>
            <w:tcW w:w="2409" w:type="dxa"/>
            <w:tcBorders>
              <w:top w:val="single" w:sz="12" w:space="0" w:color="auto"/>
              <w:bottom w:val="single" w:sz="12" w:space="0" w:color="auto"/>
            </w:tcBorders>
          </w:tcPr>
          <w:p w14:paraId="5AE9600A"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S</w:t>
            </w:r>
            <w:r w:rsidRPr="004D4ABF">
              <w:rPr>
                <w:sz w:val="18"/>
                <w:szCs w:val="18"/>
              </w:rPr>
              <w:t>tudies</w:t>
            </w:r>
          </w:p>
        </w:tc>
        <w:tc>
          <w:tcPr>
            <w:tcW w:w="1558" w:type="dxa"/>
            <w:tcBorders>
              <w:top w:val="single" w:sz="12" w:space="0" w:color="auto"/>
              <w:bottom w:val="single" w:sz="12" w:space="0" w:color="auto"/>
            </w:tcBorders>
          </w:tcPr>
          <w:p w14:paraId="461640BD"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kern w:val="0"/>
                <w:sz w:val="18"/>
                <w:szCs w:val="18"/>
              </w:rPr>
              <w:t>Experimental</w:t>
            </w:r>
            <w:r w:rsidRPr="004D4ABF">
              <w:rPr>
                <w:sz w:val="18"/>
                <w:szCs w:val="18"/>
              </w:rPr>
              <w:t xml:space="preserve"> /Controls</w:t>
            </w:r>
          </w:p>
        </w:tc>
        <w:tc>
          <w:tcPr>
            <w:tcW w:w="1364" w:type="dxa"/>
            <w:tcBorders>
              <w:top w:val="single" w:sz="12" w:space="0" w:color="auto"/>
              <w:bottom w:val="single" w:sz="12" w:space="0" w:color="auto"/>
            </w:tcBorders>
          </w:tcPr>
          <w:p w14:paraId="5EBE7C15"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i/>
                <w:iCs/>
                <w:sz w:val="18"/>
                <w:szCs w:val="18"/>
              </w:rPr>
              <w:t>p</w:t>
            </w:r>
            <w:r w:rsidRPr="004D4ABF">
              <w:rPr>
                <w:sz w:val="18"/>
                <w:szCs w:val="18"/>
              </w:rPr>
              <w:t>-V</w:t>
            </w:r>
            <w:r w:rsidRPr="004D4ABF">
              <w:rPr>
                <w:rFonts w:hint="eastAsia"/>
                <w:sz w:val="18"/>
                <w:szCs w:val="18"/>
              </w:rPr>
              <w:t>alu</w:t>
            </w:r>
            <w:r w:rsidRPr="004D4ABF">
              <w:rPr>
                <w:sz w:val="18"/>
                <w:szCs w:val="18"/>
              </w:rPr>
              <w:t>es</w:t>
            </w:r>
          </w:p>
        </w:tc>
      </w:tr>
      <w:tr w:rsidR="00920E66" w:rsidRPr="004D4ABF" w14:paraId="03EFC0E0" w14:textId="77777777">
        <w:tc>
          <w:tcPr>
            <w:tcW w:w="2376" w:type="dxa"/>
            <w:vMerge w:val="restart"/>
            <w:tcBorders>
              <w:top w:val="single" w:sz="12" w:space="0" w:color="auto"/>
            </w:tcBorders>
          </w:tcPr>
          <w:p w14:paraId="5C2846A1" w14:textId="77777777" w:rsidR="00920E66" w:rsidRPr="004D4ABF" w:rsidRDefault="00106697" w:rsidP="00DC0079">
            <w:pPr>
              <w:overflowPunct w:val="0"/>
              <w:autoSpaceDE w:val="0"/>
              <w:autoSpaceDN w:val="0"/>
              <w:adjustRightInd w:val="0"/>
              <w:snapToGrid w:val="0"/>
              <w:spacing w:line="360" w:lineRule="auto"/>
              <w:rPr>
                <w:sz w:val="18"/>
                <w:szCs w:val="18"/>
              </w:rPr>
            </w:pPr>
            <w:r w:rsidRPr="004D4ABF">
              <w:rPr>
                <w:rFonts w:hint="eastAsia"/>
                <w:sz w:val="18"/>
                <w:szCs w:val="18"/>
              </w:rPr>
              <w:t>Lo</w:t>
            </w:r>
            <w:r w:rsidRPr="004D4ABF">
              <w:rPr>
                <w:sz w:val="18"/>
                <w:szCs w:val="18"/>
              </w:rPr>
              <w:t>wer miRNA-338-3p in e</w:t>
            </w:r>
            <w:r w:rsidRPr="004D4ABF">
              <w:rPr>
                <w:kern w:val="0"/>
                <w:sz w:val="18"/>
                <w:szCs w:val="18"/>
              </w:rPr>
              <w:t>xperimental</w:t>
            </w:r>
            <w:r w:rsidRPr="004D4ABF">
              <w:rPr>
                <w:sz w:val="18"/>
                <w:szCs w:val="18"/>
              </w:rPr>
              <w:t xml:space="preserve"> versus controls</w:t>
            </w:r>
          </w:p>
        </w:tc>
        <w:tc>
          <w:tcPr>
            <w:tcW w:w="2409" w:type="dxa"/>
            <w:tcBorders>
              <w:top w:val="single" w:sz="12" w:space="0" w:color="auto"/>
              <w:bottom w:val="single" w:sz="4" w:space="0" w:color="auto"/>
            </w:tcBorders>
          </w:tcPr>
          <w:p w14:paraId="102A8447" w14:textId="49756B02"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Wei H et al</w:t>
            </w:r>
            <w:r w:rsidRPr="004D4ABF">
              <w:rPr>
                <w:rFonts w:hint="eastAsia"/>
                <w:sz w:val="18"/>
                <w:szCs w:val="18"/>
              </w:rPr>
              <w:t>.</w:t>
            </w:r>
            <w:r w:rsidRPr="004D4ABF">
              <w:rPr>
                <w:sz w:val="18"/>
                <w:szCs w:val="18"/>
              </w:rPr>
              <w:t>,[</w:t>
            </w:r>
            <w:r w:rsidR="00F35110" w:rsidRPr="004D4ABF">
              <w:rPr>
                <w:sz w:val="18"/>
                <w:szCs w:val="18"/>
              </w:rPr>
              <w:t>9</w:t>
            </w:r>
            <w:r w:rsidRPr="004D4ABF">
              <w:rPr>
                <w:sz w:val="18"/>
                <w:szCs w:val="18"/>
              </w:rPr>
              <w:t>]</w:t>
            </w:r>
          </w:p>
        </w:tc>
        <w:tc>
          <w:tcPr>
            <w:tcW w:w="1558" w:type="dxa"/>
            <w:tcBorders>
              <w:top w:val="single" w:sz="12" w:space="0" w:color="auto"/>
              <w:bottom w:val="single" w:sz="4" w:space="0" w:color="auto"/>
            </w:tcBorders>
          </w:tcPr>
          <w:p w14:paraId="4A215FF3"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6</w:t>
            </w:r>
            <w:r w:rsidRPr="004D4ABF">
              <w:rPr>
                <w:sz w:val="18"/>
                <w:szCs w:val="18"/>
              </w:rPr>
              <w:t>/6</w:t>
            </w:r>
          </w:p>
        </w:tc>
        <w:tc>
          <w:tcPr>
            <w:tcW w:w="1364" w:type="dxa"/>
            <w:tcBorders>
              <w:top w:val="single" w:sz="12" w:space="0" w:color="auto"/>
              <w:bottom w:val="single" w:sz="4" w:space="0" w:color="auto"/>
            </w:tcBorders>
          </w:tcPr>
          <w:p w14:paraId="7D6AC40A"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P</w:t>
            </w:r>
            <w:r w:rsidRPr="004D4ABF">
              <w:rPr>
                <w:rFonts w:hint="eastAsia"/>
                <w:sz w:val="18"/>
                <w:szCs w:val="18"/>
              </w:rPr>
              <w:t>＜</w:t>
            </w:r>
            <w:r w:rsidRPr="004D4ABF">
              <w:rPr>
                <w:rFonts w:hint="eastAsia"/>
                <w:sz w:val="18"/>
                <w:szCs w:val="18"/>
              </w:rPr>
              <w:t>0</w:t>
            </w:r>
            <w:r w:rsidRPr="004D4ABF">
              <w:rPr>
                <w:sz w:val="18"/>
                <w:szCs w:val="18"/>
              </w:rPr>
              <w:t>.001</w:t>
            </w:r>
          </w:p>
        </w:tc>
      </w:tr>
      <w:tr w:rsidR="00920E66" w:rsidRPr="004D4ABF" w14:paraId="57ECEB36" w14:textId="77777777">
        <w:tc>
          <w:tcPr>
            <w:tcW w:w="2376" w:type="dxa"/>
            <w:vMerge/>
          </w:tcPr>
          <w:p w14:paraId="1FC713FD"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c>
          <w:tcPr>
            <w:tcW w:w="2409" w:type="dxa"/>
            <w:tcBorders>
              <w:top w:val="single" w:sz="4" w:space="0" w:color="auto"/>
              <w:bottom w:val="single" w:sz="4" w:space="0" w:color="auto"/>
            </w:tcBorders>
          </w:tcPr>
          <w:p w14:paraId="335696BF" w14:textId="3896FF92" w:rsidR="00311FC0"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kern w:val="0"/>
                <w:sz w:val="18"/>
                <w:szCs w:val="18"/>
              </w:rPr>
              <w:t>Chen C</w:t>
            </w:r>
            <w:r w:rsidRPr="004D4ABF">
              <w:rPr>
                <w:sz w:val="18"/>
                <w:szCs w:val="18"/>
              </w:rPr>
              <w:t xml:space="preserve"> et al</w:t>
            </w:r>
            <w:r w:rsidRPr="004D4ABF">
              <w:rPr>
                <w:rFonts w:hint="eastAsia"/>
                <w:sz w:val="18"/>
                <w:szCs w:val="18"/>
              </w:rPr>
              <w:t>.</w:t>
            </w:r>
            <w:r w:rsidRPr="004D4ABF">
              <w:rPr>
                <w:sz w:val="18"/>
                <w:szCs w:val="18"/>
              </w:rPr>
              <w:t>,[1</w:t>
            </w:r>
            <w:r w:rsidR="00F026F1" w:rsidRPr="004D4ABF">
              <w:rPr>
                <w:sz w:val="18"/>
                <w:szCs w:val="18"/>
              </w:rPr>
              <w:t>8</w:t>
            </w:r>
            <w:r w:rsidRPr="004D4ABF">
              <w:rPr>
                <w:sz w:val="18"/>
                <w:szCs w:val="18"/>
              </w:rPr>
              <w:t>]</w:t>
            </w:r>
          </w:p>
        </w:tc>
        <w:tc>
          <w:tcPr>
            <w:tcW w:w="1558" w:type="dxa"/>
            <w:tcBorders>
              <w:top w:val="single" w:sz="4" w:space="0" w:color="auto"/>
              <w:bottom w:val="single" w:sz="4" w:space="0" w:color="auto"/>
            </w:tcBorders>
          </w:tcPr>
          <w:p w14:paraId="1BE1DBF4"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9</w:t>
            </w:r>
            <w:r w:rsidRPr="004D4ABF">
              <w:rPr>
                <w:sz w:val="18"/>
                <w:szCs w:val="18"/>
              </w:rPr>
              <w:t>8/85</w:t>
            </w:r>
          </w:p>
        </w:tc>
        <w:tc>
          <w:tcPr>
            <w:tcW w:w="1364" w:type="dxa"/>
            <w:tcBorders>
              <w:top w:val="single" w:sz="4" w:space="0" w:color="auto"/>
              <w:bottom w:val="single" w:sz="4" w:space="0" w:color="auto"/>
            </w:tcBorders>
          </w:tcPr>
          <w:p w14:paraId="42BFECD1"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P</w:t>
            </w:r>
            <w:r w:rsidRPr="004D4ABF">
              <w:rPr>
                <w:rFonts w:hint="eastAsia"/>
                <w:sz w:val="18"/>
                <w:szCs w:val="18"/>
              </w:rPr>
              <w:t>＜</w:t>
            </w:r>
            <w:r w:rsidRPr="004D4ABF">
              <w:rPr>
                <w:rFonts w:hint="eastAsia"/>
                <w:sz w:val="18"/>
                <w:szCs w:val="18"/>
              </w:rPr>
              <w:t>0</w:t>
            </w:r>
            <w:r w:rsidRPr="004D4ABF">
              <w:rPr>
                <w:sz w:val="18"/>
                <w:szCs w:val="18"/>
              </w:rPr>
              <w:t>.001</w:t>
            </w:r>
          </w:p>
        </w:tc>
      </w:tr>
      <w:tr w:rsidR="00920E66" w:rsidRPr="004D4ABF" w14:paraId="0B7A7B3C" w14:textId="77777777">
        <w:trPr>
          <w:trHeight w:val="550"/>
        </w:trPr>
        <w:tc>
          <w:tcPr>
            <w:tcW w:w="2376" w:type="dxa"/>
            <w:vMerge/>
            <w:tcBorders>
              <w:bottom w:val="single" w:sz="4" w:space="0" w:color="auto"/>
            </w:tcBorders>
          </w:tcPr>
          <w:p w14:paraId="370855ED"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c>
          <w:tcPr>
            <w:tcW w:w="2409" w:type="dxa"/>
            <w:tcBorders>
              <w:top w:val="single" w:sz="4" w:space="0" w:color="auto"/>
              <w:bottom w:val="single" w:sz="4" w:space="0" w:color="auto"/>
            </w:tcBorders>
          </w:tcPr>
          <w:p w14:paraId="55D540BC" w14:textId="13D767B2"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kern w:val="0"/>
                <w:sz w:val="18"/>
                <w:szCs w:val="18"/>
              </w:rPr>
              <w:t>Teng L et</w:t>
            </w:r>
            <w:r w:rsidRPr="004D4ABF">
              <w:rPr>
                <w:sz w:val="18"/>
                <w:szCs w:val="18"/>
              </w:rPr>
              <w:t xml:space="preserve"> al</w:t>
            </w:r>
            <w:r w:rsidRPr="004D4ABF">
              <w:rPr>
                <w:rFonts w:hint="eastAsia"/>
                <w:sz w:val="18"/>
                <w:szCs w:val="18"/>
              </w:rPr>
              <w:t>.</w:t>
            </w:r>
            <w:r w:rsidRPr="004D4ABF">
              <w:rPr>
                <w:sz w:val="18"/>
                <w:szCs w:val="18"/>
              </w:rPr>
              <w:t>,[</w:t>
            </w:r>
            <w:r w:rsidR="00BD7152" w:rsidRPr="004D4ABF">
              <w:rPr>
                <w:sz w:val="18"/>
                <w:szCs w:val="18"/>
              </w:rPr>
              <w:t>19</w:t>
            </w:r>
            <w:r w:rsidRPr="004D4ABF">
              <w:rPr>
                <w:sz w:val="18"/>
                <w:szCs w:val="18"/>
              </w:rPr>
              <w:t>]</w:t>
            </w:r>
          </w:p>
        </w:tc>
        <w:tc>
          <w:tcPr>
            <w:tcW w:w="1558" w:type="dxa"/>
            <w:tcBorders>
              <w:top w:val="single" w:sz="4" w:space="0" w:color="auto"/>
              <w:bottom w:val="single" w:sz="4" w:space="0" w:color="auto"/>
            </w:tcBorders>
          </w:tcPr>
          <w:p w14:paraId="71214BC1"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2</w:t>
            </w:r>
            <w:r w:rsidRPr="004D4ABF">
              <w:rPr>
                <w:sz w:val="18"/>
                <w:szCs w:val="18"/>
              </w:rPr>
              <w:t>56/256</w:t>
            </w:r>
          </w:p>
        </w:tc>
        <w:tc>
          <w:tcPr>
            <w:tcW w:w="1364" w:type="dxa"/>
            <w:tcBorders>
              <w:top w:val="single" w:sz="4" w:space="0" w:color="auto"/>
              <w:bottom w:val="single" w:sz="4" w:space="0" w:color="auto"/>
            </w:tcBorders>
          </w:tcPr>
          <w:p w14:paraId="256414B0"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P</w:t>
            </w:r>
            <w:r w:rsidRPr="004D4ABF">
              <w:rPr>
                <w:rFonts w:hint="eastAsia"/>
                <w:sz w:val="18"/>
                <w:szCs w:val="18"/>
              </w:rPr>
              <w:t>＜</w:t>
            </w:r>
            <w:r w:rsidRPr="004D4ABF">
              <w:rPr>
                <w:rFonts w:hint="eastAsia"/>
                <w:sz w:val="18"/>
                <w:szCs w:val="18"/>
              </w:rPr>
              <w:t>0</w:t>
            </w:r>
            <w:r w:rsidRPr="004D4ABF">
              <w:rPr>
                <w:sz w:val="18"/>
                <w:szCs w:val="18"/>
              </w:rPr>
              <w:t>.001</w:t>
            </w:r>
          </w:p>
        </w:tc>
      </w:tr>
      <w:tr w:rsidR="00920E66" w:rsidRPr="004D4ABF" w14:paraId="4714114F" w14:textId="77777777">
        <w:tc>
          <w:tcPr>
            <w:tcW w:w="2376" w:type="dxa"/>
            <w:vMerge w:val="restart"/>
            <w:tcBorders>
              <w:top w:val="single" w:sz="4" w:space="0" w:color="auto"/>
            </w:tcBorders>
          </w:tcPr>
          <w:p w14:paraId="74D6515C" w14:textId="77777777" w:rsidR="00920E66" w:rsidRPr="004D4ABF" w:rsidRDefault="00106697" w:rsidP="00DC0079">
            <w:pPr>
              <w:overflowPunct w:val="0"/>
              <w:autoSpaceDE w:val="0"/>
              <w:autoSpaceDN w:val="0"/>
              <w:adjustRightInd w:val="0"/>
              <w:snapToGrid w:val="0"/>
              <w:spacing w:line="360" w:lineRule="auto"/>
              <w:rPr>
                <w:sz w:val="18"/>
                <w:szCs w:val="18"/>
              </w:rPr>
            </w:pPr>
            <w:r w:rsidRPr="004D4ABF">
              <w:rPr>
                <w:sz w:val="18"/>
                <w:szCs w:val="18"/>
              </w:rPr>
              <w:t>Higher miRNA-338-3p in experimental versus controls</w:t>
            </w:r>
          </w:p>
        </w:tc>
        <w:tc>
          <w:tcPr>
            <w:tcW w:w="2409" w:type="dxa"/>
            <w:tcBorders>
              <w:top w:val="single" w:sz="4" w:space="0" w:color="auto"/>
              <w:bottom w:val="single" w:sz="4" w:space="0" w:color="auto"/>
            </w:tcBorders>
          </w:tcPr>
          <w:p w14:paraId="5CFC28D6" w14:textId="49B1E178"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Li L et al</w:t>
            </w:r>
            <w:r w:rsidRPr="004D4ABF">
              <w:rPr>
                <w:rFonts w:hint="eastAsia"/>
                <w:sz w:val="18"/>
                <w:szCs w:val="18"/>
              </w:rPr>
              <w:t>.</w:t>
            </w:r>
            <w:r w:rsidRPr="004D4ABF">
              <w:rPr>
                <w:sz w:val="18"/>
                <w:szCs w:val="18"/>
              </w:rPr>
              <w:t>,[1</w:t>
            </w:r>
            <w:r w:rsidR="00656236" w:rsidRPr="004D4ABF">
              <w:rPr>
                <w:sz w:val="18"/>
                <w:szCs w:val="18"/>
              </w:rPr>
              <w:t>7</w:t>
            </w:r>
            <w:r w:rsidRPr="004D4ABF">
              <w:rPr>
                <w:sz w:val="18"/>
                <w:szCs w:val="18"/>
              </w:rPr>
              <w:t>]</w:t>
            </w:r>
          </w:p>
        </w:tc>
        <w:tc>
          <w:tcPr>
            <w:tcW w:w="1558" w:type="dxa"/>
            <w:tcBorders>
              <w:top w:val="single" w:sz="4" w:space="0" w:color="auto"/>
              <w:bottom w:val="single" w:sz="4" w:space="0" w:color="auto"/>
            </w:tcBorders>
          </w:tcPr>
          <w:p w14:paraId="50B781AB"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8</w:t>
            </w:r>
            <w:r w:rsidRPr="004D4ABF">
              <w:rPr>
                <w:sz w:val="18"/>
                <w:szCs w:val="18"/>
              </w:rPr>
              <w:t>/8</w:t>
            </w:r>
          </w:p>
        </w:tc>
        <w:tc>
          <w:tcPr>
            <w:tcW w:w="1364" w:type="dxa"/>
            <w:tcBorders>
              <w:top w:val="single" w:sz="4" w:space="0" w:color="auto"/>
              <w:bottom w:val="single" w:sz="4" w:space="0" w:color="auto"/>
            </w:tcBorders>
          </w:tcPr>
          <w:p w14:paraId="2AF6547D"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P</w:t>
            </w:r>
            <w:r w:rsidRPr="004D4ABF">
              <w:rPr>
                <w:rFonts w:hint="eastAsia"/>
                <w:sz w:val="18"/>
                <w:szCs w:val="18"/>
              </w:rPr>
              <w:t>＜</w:t>
            </w:r>
            <w:r w:rsidRPr="004D4ABF">
              <w:rPr>
                <w:rFonts w:hint="eastAsia"/>
                <w:sz w:val="18"/>
                <w:szCs w:val="18"/>
              </w:rPr>
              <w:t>0</w:t>
            </w:r>
            <w:r w:rsidRPr="004D4ABF">
              <w:rPr>
                <w:sz w:val="18"/>
                <w:szCs w:val="18"/>
              </w:rPr>
              <w:t>.05</w:t>
            </w:r>
          </w:p>
        </w:tc>
      </w:tr>
      <w:tr w:rsidR="00920E66" w:rsidRPr="004D4ABF" w14:paraId="5CAAA12C" w14:textId="77777777">
        <w:tc>
          <w:tcPr>
            <w:tcW w:w="2376" w:type="dxa"/>
            <w:vMerge/>
            <w:tcBorders>
              <w:bottom w:val="single" w:sz="4" w:space="0" w:color="auto"/>
            </w:tcBorders>
          </w:tcPr>
          <w:p w14:paraId="67E8CBA1"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c>
          <w:tcPr>
            <w:tcW w:w="2409" w:type="dxa"/>
            <w:tcBorders>
              <w:top w:val="single" w:sz="4" w:space="0" w:color="auto"/>
              <w:bottom w:val="single" w:sz="4" w:space="0" w:color="auto"/>
            </w:tcBorders>
          </w:tcPr>
          <w:p w14:paraId="68D8C7B6" w14:textId="48238F36"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Peng G et al</w:t>
            </w:r>
            <w:r w:rsidRPr="004D4ABF">
              <w:rPr>
                <w:rFonts w:hint="eastAsia"/>
                <w:sz w:val="18"/>
                <w:szCs w:val="18"/>
              </w:rPr>
              <w:t>.</w:t>
            </w:r>
            <w:r w:rsidRPr="004D4ABF">
              <w:rPr>
                <w:sz w:val="18"/>
                <w:szCs w:val="18"/>
              </w:rPr>
              <w:t>,[</w:t>
            </w:r>
            <w:r w:rsidR="00030F8D" w:rsidRPr="004D4ABF">
              <w:rPr>
                <w:sz w:val="18"/>
                <w:szCs w:val="18"/>
              </w:rPr>
              <w:t>1</w:t>
            </w:r>
            <w:r w:rsidR="00F026F1" w:rsidRPr="004D4ABF">
              <w:rPr>
                <w:sz w:val="18"/>
                <w:szCs w:val="18"/>
              </w:rPr>
              <w:t>5</w:t>
            </w:r>
            <w:r w:rsidRPr="004D4ABF">
              <w:rPr>
                <w:sz w:val="18"/>
                <w:szCs w:val="18"/>
              </w:rPr>
              <w:t>]</w:t>
            </w:r>
          </w:p>
        </w:tc>
        <w:tc>
          <w:tcPr>
            <w:tcW w:w="1558" w:type="dxa"/>
            <w:tcBorders>
              <w:top w:val="single" w:sz="4" w:space="0" w:color="auto"/>
              <w:bottom w:val="single" w:sz="4" w:space="0" w:color="auto"/>
            </w:tcBorders>
          </w:tcPr>
          <w:p w14:paraId="5F72845B"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7</w:t>
            </w:r>
            <w:r w:rsidRPr="004D4ABF">
              <w:rPr>
                <w:sz w:val="18"/>
                <w:szCs w:val="18"/>
              </w:rPr>
              <w:t>2/51</w:t>
            </w:r>
          </w:p>
        </w:tc>
        <w:tc>
          <w:tcPr>
            <w:tcW w:w="1364" w:type="dxa"/>
            <w:tcBorders>
              <w:top w:val="single" w:sz="4" w:space="0" w:color="auto"/>
              <w:bottom w:val="single" w:sz="4" w:space="0" w:color="auto"/>
            </w:tcBorders>
          </w:tcPr>
          <w:p w14:paraId="474C7ED6"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P=0.056</w:t>
            </w:r>
          </w:p>
        </w:tc>
      </w:tr>
      <w:tr w:rsidR="00920E66" w:rsidRPr="004D4ABF" w14:paraId="1A968B70" w14:textId="77777777">
        <w:tc>
          <w:tcPr>
            <w:tcW w:w="2376" w:type="dxa"/>
            <w:tcBorders>
              <w:top w:val="single" w:sz="4" w:space="0" w:color="auto"/>
              <w:bottom w:val="single" w:sz="4" w:space="0" w:color="auto"/>
            </w:tcBorders>
          </w:tcPr>
          <w:p w14:paraId="18F5EF20"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miRNA-1250-5p in IS</w:t>
            </w:r>
          </w:p>
        </w:tc>
        <w:tc>
          <w:tcPr>
            <w:tcW w:w="2409" w:type="dxa"/>
            <w:tcBorders>
              <w:top w:val="single" w:sz="4" w:space="0" w:color="auto"/>
              <w:bottom w:val="single" w:sz="4" w:space="0" w:color="auto"/>
            </w:tcBorders>
          </w:tcPr>
          <w:p w14:paraId="2DE365CF"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N</w:t>
            </w:r>
            <w:r w:rsidRPr="004D4ABF">
              <w:rPr>
                <w:sz w:val="18"/>
                <w:szCs w:val="18"/>
              </w:rPr>
              <w:t>A</w:t>
            </w:r>
          </w:p>
        </w:tc>
        <w:tc>
          <w:tcPr>
            <w:tcW w:w="1558" w:type="dxa"/>
            <w:tcBorders>
              <w:top w:val="single" w:sz="4" w:space="0" w:color="auto"/>
              <w:bottom w:val="single" w:sz="4" w:space="0" w:color="auto"/>
            </w:tcBorders>
          </w:tcPr>
          <w:p w14:paraId="07C57F1C"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c>
          <w:tcPr>
            <w:tcW w:w="1364" w:type="dxa"/>
            <w:tcBorders>
              <w:top w:val="single" w:sz="4" w:space="0" w:color="auto"/>
              <w:bottom w:val="single" w:sz="4" w:space="0" w:color="auto"/>
            </w:tcBorders>
          </w:tcPr>
          <w:p w14:paraId="3EA9FE88"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r>
      <w:tr w:rsidR="00920E66" w:rsidRPr="004D4ABF" w14:paraId="4FC16B9B" w14:textId="77777777">
        <w:tc>
          <w:tcPr>
            <w:tcW w:w="2376" w:type="dxa"/>
            <w:tcBorders>
              <w:top w:val="single" w:sz="4" w:space="0" w:color="auto"/>
              <w:bottom w:val="single" w:sz="12" w:space="0" w:color="auto"/>
            </w:tcBorders>
          </w:tcPr>
          <w:p w14:paraId="1C700DF9"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sz w:val="18"/>
                <w:szCs w:val="18"/>
              </w:rPr>
              <w:t>miRNA-3065-5p in IS</w:t>
            </w:r>
          </w:p>
        </w:tc>
        <w:tc>
          <w:tcPr>
            <w:tcW w:w="2409" w:type="dxa"/>
            <w:tcBorders>
              <w:top w:val="single" w:sz="4" w:space="0" w:color="auto"/>
              <w:bottom w:val="single" w:sz="12" w:space="0" w:color="auto"/>
            </w:tcBorders>
          </w:tcPr>
          <w:p w14:paraId="11D4CB79" w14:textId="77777777" w:rsidR="00920E66" w:rsidRPr="004D4ABF" w:rsidRDefault="00106697" w:rsidP="00DC0079">
            <w:pPr>
              <w:overflowPunct w:val="0"/>
              <w:autoSpaceDE w:val="0"/>
              <w:autoSpaceDN w:val="0"/>
              <w:adjustRightInd w:val="0"/>
              <w:snapToGrid w:val="0"/>
              <w:spacing w:line="360" w:lineRule="auto"/>
              <w:ind w:firstLineChars="200" w:firstLine="360"/>
              <w:rPr>
                <w:sz w:val="18"/>
                <w:szCs w:val="18"/>
              </w:rPr>
            </w:pPr>
            <w:r w:rsidRPr="004D4ABF">
              <w:rPr>
                <w:rFonts w:hint="eastAsia"/>
                <w:sz w:val="18"/>
                <w:szCs w:val="18"/>
              </w:rPr>
              <w:t>N</w:t>
            </w:r>
            <w:r w:rsidRPr="004D4ABF">
              <w:rPr>
                <w:sz w:val="18"/>
                <w:szCs w:val="18"/>
              </w:rPr>
              <w:t>A</w:t>
            </w:r>
          </w:p>
        </w:tc>
        <w:tc>
          <w:tcPr>
            <w:tcW w:w="1558" w:type="dxa"/>
            <w:tcBorders>
              <w:top w:val="single" w:sz="4" w:space="0" w:color="auto"/>
              <w:bottom w:val="single" w:sz="12" w:space="0" w:color="auto"/>
            </w:tcBorders>
          </w:tcPr>
          <w:p w14:paraId="2B8E9569"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c>
          <w:tcPr>
            <w:tcW w:w="1364" w:type="dxa"/>
            <w:tcBorders>
              <w:top w:val="single" w:sz="4" w:space="0" w:color="auto"/>
              <w:bottom w:val="single" w:sz="12" w:space="0" w:color="auto"/>
            </w:tcBorders>
          </w:tcPr>
          <w:p w14:paraId="18069651" w14:textId="77777777" w:rsidR="00920E66" w:rsidRPr="004D4ABF" w:rsidRDefault="00920E66" w:rsidP="00DC0079">
            <w:pPr>
              <w:overflowPunct w:val="0"/>
              <w:autoSpaceDE w:val="0"/>
              <w:autoSpaceDN w:val="0"/>
              <w:adjustRightInd w:val="0"/>
              <w:snapToGrid w:val="0"/>
              <w:spacing w:line="360" w:lineRule="auto"/>
              <w:ind w:firstLineChars="200" w:firstLine="360"/>
              <w:rPr>
                <w:sz w:val="18"/>
                <w:szCs w:val="18"/>
              </w:rPr>
            </w:pPr>
          </w:p>
        </w:tc>
      </w:tr>
    </w:tbl>
    <w:p w14:paraId="6C2B01BB" w14:textId="4BA0DEDC" w:rsidR="007626D2" w:rsidRPr="004D4ABF" w:rsidRDefault="007626D2" w:rsidP="00653A8D">
      <w:pPr>
        <w:overflowPunct w:val="0"/>
        <w:autoSpaceDE w:val="0"/>
        <w:autoSpaceDN w:val="0"/>
        <w:adjustRightInd w:val="0"/>
        <w:snapToGrid w:val="0"/>
        <w:spacing w:line="360" w:lineRule="auto"/>
        <w:ind w:firstLineChars="200" w:firstLine="480"/>
        <w:rPr>
          <w:sz w:val="24"/>
          <w:szCs w:val="24"/>
        </w:rPr>
      </w:pPr>
    </w:p>
    <w:sectPr w:rsidR="007626D2" w:rsidRPr="004D4ABF">
      <w:pgSz w:w="11906" w:h="16838"/>
      <w:pgMar w:top="1440" w:right="17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A87F6" w14:textId="77777777" w:rsidR="00D8359A" w:rsidRDefault="00D8359A" w:rsidP="004479D8">
      <w:r>
        <w:separator/>
      </w:r>
    </w:p>
  </w:endnote>
  <w:endnote w:type="continuationSeparator" w:id="0">
    <w:p w14:paraId="65F721E9" w14:textId="77777777" w:rsidR="00D8359A" w:rsidRDefault="00D8359A" w:rsidP="0044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5014F" w14:textId="77777777" w:rsidR="00D8359A" w:rsidRDefault="00D8359A" w:rsidP="004479D8">
      <w:r>
        <w:separator/>
      </w:r>
    </w:p>
  </w:footnote>
  <w:footnote w:type="continuationSeparator" w:id="0">
    <w:p w14:paraId="383691E5" w14:textId="77777777" w:rsidR="00D8359A" w:rsidRDefault="00D8359A" w:rsidP="004479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commondata" w:val="eyJoZGlkIjoiM2FkOThjYTU2M2FhZjMyNDU4ZDk2Y2U2NjY4MjViMWUifQ=="/>
    <w:docVar w:name="NE.Ref{058A30AF-5588-46E3-92CD-56A7E356CCFD}" w:val=" ADDIN NE.Ref.{058A30AF-5588-46E3-92CD-56A7E356CCFD}&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0736BDAA-194D-4864-94D5-075DC621CBDB}" w:val=" ADDIN NE.Ref.{0736BDAA-194D-4864-94D5-075DC621CBDB}&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0A4EBBCE-BA8E-4D38-8EA7-4960998F23C0}" w:val=" ADDIN NE.Ref.{0A4EBBCE-BA8E-4D38-8EA7-4960998F23C0}&lt;Citation&gt;&lt;Group&gt;&lt;References&gt;&lt;Item&gt;&lt;ID&gt;644&lt;/ID&gt;&lt;UID&gt;{564EA06E-2E5C-4360-98A0-3A16B48B3A97}&lt;/UID&gt;&lt;Title&gt;Sensational MicroRNAs: Neurosensory Roles of the MicroRNA-183 Family&lt;/Title&gt;&lt;Template&gt;Journal Article&lt;/Template&gt;&lt;Star&gt;0&lt;/Star&gt;&lt;Tag&gt;0&lt;/Tag&gt;&lt;Author&gt;Banks, S A; Pierce, M L; Soukup, G A&lt;/Author&gt;&lt;Year&gt;2020&lt;/Year&gt;&lt;Details&gt;&lt;_accession_num&gt;31359323&lt;/_accession_num&gt;&lt;_author_adr&gt;Department of Biomedical Sciences, Creighton University School of Medicine, 2500  California Plaza, Omaha, NE, 68178, USA.; Department of Pharmacology, Creighton University School of Medicine, 2500 California Plaza, Omaha, NE, 68178, USA.; Department of Biomedical Sciences, Creighton University School of Medicine, 2500  California Plaza, Omaha, NE, 68178, USA. gasoukup@creighton.edu.&lt;/_author_adr&gt;&lt;_date_display&gt;2020 Jan&lt;/_date_display&gt;&lt;_date&gt;2020-01-01&lt;/_date&gt;&lt;_doi&gt;10.1007/s12035-019-01717-3&lt;/_doi&gt;&lt;_isbn&gt;1559-1182 (Electronic); 0893-7648 (Linking)&lt;/_isbn&gt;&lt;_issue&gt;1&lt;/_issue&gt;&lt;_journal&gt;Mol Neurobiol&lt;/_journal&gt;&lt;_keywords&gt;Chemoreception; Circadian rhythm; Mechanoreception; Memory; MicroRNA-183 family; Photoreception&lt;/_keywords&gt;&lt;_language&gt;eng&lt;/_language&gt;&lt;_pages&gt;358-371&lt;/_pages&gt;&lt;_subject_headings&gt;Animals; Base Sequence; Circadian Rhythm/genetics; Humans; MicroRNAs/genetics/*metabolism; Pain/genetics; Sensation/*genetics; Sensory Receptor Cells/*metabolism&lt;/_subject_headings&gt;&lt;_tertiary_title&gt;Molecular neurobiology&lt;/_tertiary_title&gt;&lt;_type_work&gt;Journal Article; Review&lt;/_type_work&gt;&lt;_url&gt;http://www.ncbi.nlm.nih.gov/entrez/query.fcgi?cmd=Retrieve&amp;amp;db=pubmed&amp;amp;dopt=Abstract&amp;amp;list_uids=31359323&amp;amp;query_hl=1&lt;/_url&gt;&lt;_volume&gt;57&lt;/_volume&gt;&lt;_created&gt;64494267&lt;/_created&gt;&lt;_modified&gt;64494268&lt;/_modified&gt;&lt;_db_updated&gt;PubMed&lt;/_db_updated&gt;&lt;_impact_factor&gt;   5.590&lt;/_impact_factor&gt;&lt;_collection_scope&gt;SCI;SCIE&lt;/_collection_scope&gt;&lt;/Details&gt;&lt;Extra&gt;&lt;DBUID&gt;{F96A950B-833F-4880-A151-76DA2D6A2879}&lt;/DBUID&gt;&lt;/Extra&gt;&lt;/Item&gt;&lt;/References&gt;&lt;/Group&gt;&lt;/Citation&gt;_x000a_"/>
    <w:docVar w:name="NE.Ref{0B3AEA08-37E3-4727-8393-698658D86F4D}" w:val=" ADDIN NE.Ref.{0B3AEA08-37E3-4727-8393-698658D86F4D}&lt;Citation&gt;&lt;Group&gt;&lt;References&gt;&lt;Item&gt;&lt;ID&gt;659&lt;/ID&gt;&lt;UID&gt;{BA82F364-4D90-4BF4-9D25-DD70D65BF078}&lt;/UID&gt;&lt;Title&gt;Calmodulin 2 Facilitates Angiogenesis and Metastasis of Gastric Cancer via STAT3/HIF-1A/VEGF-A Mediated Macrophage Polarization&lt;/Title&gt;&lt;Template&gt;Journal Article&lt;/Template&gt;&lt;Star&gt;0&lt;/Star&gt;&lt;Tag&gt;0&lt;/Tag&gt;&lt;Author&gt;Mu, G; Zhu, Y; Dong, Z; Shi, L; Deng, Y; Li, H&lt;/Author&gt;&lt;Year&gt;2021&lt;/Year&gt;&lt;Details&gt;&lt;_accession_num&gt;34604066&lt;/_accession_num&gt;&lt;_author_adr&gt;Department of Gastroenterology, Renmin Hospital of Wuhan University, Wuhan, China.; Key Laboratory of Hubei Province for Digestive System Disease, Renmin Hospital of Wuhan University, Wuhan, China.; Department of Gastroenterology, Renmin Hospital of Wuhan University, Wuhan, China.; Key Laboratory of Hubei Province for Digestive System Disease, Renmin Hospital of Wuhan University, Wuhan, China.; Department of Nephrology, Renmin Hospital of Wuhan University, Wuhan, China.; Department of Gastroenterology, Renmin Hospital of Wuhan University, Wuhan, China.; Key Laboratory of Hubei Province for Digestive System Disease, Renmin Hospital of Wuhan University, Wuhan, China.; Department of Gastroenterology, Renmin Hospital of Wuhan University, Wuhan, China.; Key Laboratory of Hubei Province for Digestive System Disease, Renmin Hospital of Wuhan University, Wuhan, China.; Department of Gastroenterology, Renmin Hospital of Wuhan University, Wuhan, China.; Key Laboratory of Hubei Province for Digestive System Disease, Renmin Hospital of Wuhan University, Wuhan, China.&lt;/_author_adr&gt;&lt;_date_display&gt;2021&lt;/_date_display&gt;&lt;_date&gt;2021-01-20&lt;/_date&gt;&lt;_doi&gt;10.3389/fonc.2021.727306&lt;/_doi&gt;&lt;_isbn&gt;2234-943X (Print); 2234-943X (Linking)&lt;/_isbn&gt;&lt;_journal&gt;Front Oncol&lt;/_journal&gt;&lt;_keywords&gt;angiogenesis; calmodulin 2; cancer; gastric cancer; tumor-associated macrophages&lt;/_keywords&gt;&lt;_language&gt;eng&lt;/_language&gt;&lt;_ori_publication&gt;Copyright (c) 2021 Mu, Zhu, Dong, Shi, Deng and Li.&lt;/_ori_publication&gt;&lt;_pages&gt;727306&lt;/_pages&gt;&lt;_tertiary_title&gt;Frontiers in oncology&lt;/_tertiary_title&gt;&lt;_type_work&gt;Journal Article&lt;/_type_work&gt;&lt;_url&gt;http://www.ncbi.nlm.nih.gov/entrez/query.fcgi?cmd=Retrieve&amp;amp;db=pubmed&amp;amp;dopt=Abstract&amp;amp;list_uids=34604066&amp;amp;query_hl=1&lt;/_url&gt;&lt;_volume&gt;11&lt;/_volume&gt;&lt;_created&gt;64495649&lt;/_created&gt;&lt;_modified&gt;64495649&lt;/_modified&gt;&lt;_db_updated&gt;PubMed&lt;/_db_updated&gt;&lt;_impact_factor&gt;   6.244&lt;/_impact_factor&gt;&lt;_collection_scope&gt;SCIE&lt;/_collection_scope&gt;&lt;/Details&gt;&lt;Extra&gt;&lt;DBUID&gt;{F96A950B-833F-4880-A151-76DA2D6A2879}&lt;/DBUID&gt;&lt;/Extra&gt;&lt;/Item&gt;&lt;/References&gt;&lt;/Group&gt;&lt;/Citation&gt;_x000a_"/>
    <w:docVar w:name="NE.Ref{0B9B4F07-10A6-4B2C-BD14-7272FA4A2C8D}" w:val=" ADDIN NE.Ref.{0B9B4F07-10A6-4B2C-BD14-7272FA4A2C8D}&lt;Citation&gt;&lt;Group&gt;&lt;References&gt;&lt;Item&gt;&lt;ID&gt;662&lt;/ID&gt;&lt;UID&gt;{80E6D5BB-B603-46E4-8052-58C3495BE220}&lt;/UID&gt;&lt;Title&gt;miR-3065-3p promotes stemness and metastasis by targeting CRLF1 in colorectal cancer&lt;/Title&gt;&lt;Template&gt;Journal Article&lt;/Template&gt;&lt;Star&gt;0&lt;/Star&gt;&lt;Tag&gt;0&lt;/Tag&gt;&lt;Author&gt;Li, Y; Xun, J; Wang, B; Ma, Y; Zhang, L; Yang, L; Gao, R; Guan, J; Liu, T; Gao, H; Wang, X; Zhang, Q&lt;/Author&gt;&lt;Year&gt;2021&lt;/Year&gt;&lt;Details&gt;&lt;_accession_num&gt;34656128&lt;/_accession_num&gt;&lt;_author_adr&gt;Academy of Medical Engineering and Translational Medicine, Tianjin University, Tianjin, China.; Tianjin Key Laboratory of Acute Abdomen Disease Associated Organ Injury and Integrated Chinese and Western Medicine (ITCWM) Repair, Institute of Integrative  Medicine for Acute Abdominal Diseases, Integrated Chinese and Western Medicine Hospital, Tianjin University, Tianjin, China.; Tianjin Key Laboratory of Acute Abdomen Disease Associated Organ Injury and Integrated Chinese and Western Medicine (ITCWM) Repair, Graduate School of Tianjin Medical University, Tianjin, China.; Tianjin Key Laboratory of Acute Abdomen Disease Associated Organ Injury and Integrated Chinese and Western Medicine (ITCWM) Repair, Graduate School of Tianjin Medical University, Tianjin, China.; Tianjin Key Laboratory of Acute Abdomen Disease Associated Organ Injury and Integrated Chinese and Western Medicine (ITCWM) Repair, Institute of Integrative  Medicine for Acute Abdominal Diseases, Integrated Chinese and Western Medicine Hospital, Tianjin University, Tianjin, China.; Tianjin Key Laboratory of Acute Abdomen Disease Associated Organ Injury and Integrated Chinese and Western Medicine (ITCWM) Repair, Institute of Integrative  Medicine for Acute Abdominal Diseases, Integrated Chinese and Western Medicine Hospital, Tianjin University, Tianjin, China.; Tianjin Institute of Medical and Pharmaceutical Sciences, Tianjin, China.; Tianjin Key Laboratory of Acute Abdomen Disease Associated Organ Injury and Integrated Chinese and Western Medicine (ITCWM) Repair, Graduate School of Tianjin Medical University, Tianjin, China.; Tianjin Key Laboratory of Acute Abdomen Disease Associated Organ Injury and Integrated Chinese and Western Medicine (ITCWM) Repair, Graduate School of Tianjin Medical University, Tianjin, China.; Tianjin Key Laboratory of Acute Abdomen Disease Associated Organ Injury and Integrated Chinese and Western Medicine (ITCWM) Repair, Graduate School of Tianjin Medical University, Tianjin, China.; Tianjin Key Laboratory of Acute Abdomen Disease Associated Organ Injury and Integrated Chinese and Western Medicine (ITCWM) Repair, Institute of Integrative  Medicine for Acute Abdominal Diseases, Integrated Chinese and Western Medicine Hospital, Tianjin University, Tianjin, China.; Tianjin Key Laboratory of Acute Abdomen Disease Associated Organ Injury and Integrated Chinese and Western Medicine (ITCWM) Repair, Institute of Integrative  Medicine for Acute Abdominal Diseases, Integrated Chinese and Western Medicine Hospital, Tianjin University, Tianjin, China. zhangqi8501@126.com.&lt;/_author_adr&gt;&lt;_date_display&gt;2021 Oct 16&lt;/_date_display&gt;&lt;_date&gt;2021-10-16&lt;/_date&gt;&lt;_doi&gt;10.1186/s12967-021-03102-y&lt;/_doi&gt;&lt;_isbn&gt;1479-5876 (Electronic); 1479-5876 (Linking)&lt;/_isbn&gt;&lt;_issue&gt;1&lt;/_issue&gt;&lt;_journal&gt;J Transl Med&lt;/_journal&gt;&lt;_keywords&gt;*CRLF1; *Colorectal cancer; *Metastasis; *Stemness; *miR-3065-3p&lt;/_keywords&gt;&lt;_language&gt;eng&lt;/_language&gt;&lt;_ori_publication&gt;(c) 2021. The Author(s).&lt;/_ori_publication&gt;&lt;_pages&gt;429&lt;/_pages&gt;&lt;_subject_headings&gt;Animals; Cell Line, Tumor; *Colorectal Neoplasms/genetics; Gene Expression Regulation, Neoplastic; Humans; Mice; *MicroRNAs/genetics; Neoplasm Metastasis; Receptors, Cytokine&lt;/_subject_headings&gt;&lt;_tertiary_title&gt;Journal of translational medicine&lt;/_tertiary_title&gt;&lt;_type_work&gt;Journal Article; Research Support, Non-U.S. Gov&amp;apos;t&lt;/_type_work&gt;&lt;_url&gt;http://www.ncbi.nlm.nih.gov/entrez/query.fcgi?cmd=Retrieve&amp;amp;db=pubmed&amp;amp;dopt=Abstract&amp;amp;list_uids=34656128&amp;amp;query_hl=1&lt;/_url&gt;&lt;_volume&gt;19&lt;/_volume&gt;&lt;_created&gt;64495734&lt;/_created&gt;&lt;_modified&gt;64495734&lt;/_modified&gt;&lt;_db_updated&gt;PubMed&lt;/_db_updated&gt;&lt;_impact_factor&gt;   5.531&lt;/_impact_factor&gt;&lt;_collection_scope&gt;SCIE&lt;/_collection_scope&gt;&lt;/Details&gt;&lt;Extra&gt;&lt;DBUID&gt;{F96A950B-833F-4880-A151-76DA2D6A2879}&lt;/DBUID&gt;&lt;/Extra&gt;&lt;/Item&gt;&lt;/References&gt;&lt;/Group&gt;&lt;/Citation&gt;_x000a_"/>
    <w:docVar w:name="NE.Ref{0FCC059E-6721-4BFF-A263-B38B8CE0F2D8}" w:val=" ADDIN NE.Ref.{0FCC059E-6721-4BFF-A263-B38B8CE0F2D8}&lt;Citation&gt;&lt;Group&gt;&lt;References&gt;&lt;Item&gt;&lt;ID&gt;664&lt;/ID&gt;&lt;UID&gt;{96DD281A-300B-4007-A919-E11444E02D36}&lt;/UID&gt;&lt;Title&gt;Downregulation of miR-338-3p alleviates neuronal ischemic injury by decreasing cPKCgamma-Mediated autophagy through the Akt/mTOR pathway&lt;/Title&gt;&lt;Template&gt;Journal Article&lt;/Template&gt;&lt;Star&gt;0&lt;/Star&gt;&lt;Tag&gt;0&lt;/Tag&gt;&lt;Author&gt;Wei, H; Peng, Z; Guo, J; Chen, L; Shao, K&lt;/Author&gt;&lt;Year&gt;2022&lt;/Year&gt;&lt;Details&gt;&lt;_accession_num&gt;35021067&lt;/_accession_num&gt;&lt;_author_adr&gt;Department of Neurology, Lanzhou University Second Hospital, Lanzhou, 730030, PR  China. Electronic address: haipingwei11@sina.com.; Department of Physiology, Medical School, Shanxi Datong University, Datong, 037009, PR China.; Department of Neurology, Lanzhou University Second Hospital, Lanzhou, 730030, PR  China.; Department of Neurology, Lanzhou University Second Hospital, Lanzhou, 730030, PR  China.; Department of Neurology, Lanzhou University Second Hospital, Lanzhou, 730030, PR  China.&lt;/_author_adr&gt;&lt;_date_display&gt;2022 Mar&lt;/_date_display&gt;&lt;_date&gt;2022-03-01&lt;/_date&gt;&lt;_doi&gt;10.1016/j.neuint.2022.105279&lt;/_doi&gt;&lt;_isbn&gt;1872-9754 (Electronic); 0197-0186 (Linking)&lt;/_isbn&gt;&lt;_journal&gt;Neurochem Int&lt;/_journal&gt;&lt;_keywords&gt;*Autophagy; *Conventional protein kinase cgamma; *Ischemic stroke; *Oxygen glucose deprivation /reoxgenation; *miR-338-3p&lt;/_keywords&gt;&lt;_language&gt;eng&lt;/_language&gt;&lt;_ori_publication&gt;Copyright (c) 2022. Published by Elsevier Ltd.&lt;/_ori_publication&gt;&lt;_pages&gt;105279&lt;/_pages&gt;&lt;_subject_headings&gt;Autophagy; Down-Regulation; Glucose/metabolism; Humans; Ischemia/metabolism; *MicroRNAs/genetics/metabolism; Neurons/metabolism; *Proto-Oncogene Proteins c-akt/metabolism; TOR Serine-Threonine Kinases/metabolism&lt;/_subject_headings&gt;&lt;_tertiary_title&gt;Neurochemistry international&lt;/_tertiary_title&gt;&lt;_type_work&gt;Journal Article; Research Support, Non-U.S. Gov&amp;apos;t&lt;/_type_work&gt;&lt;_url&gt;http://www.ncbi.nlm.nih.gov/entrez/query.fcgi?cmd=Retrieve&amp;amp;db=pubmed&amp;amp;dopt=Abstract&amp;amp;list_uids=35021067&amp;amp;query_hl=1&lt;/_url&gt;&lt;_volume&gt;154&lt;/_volume&gt;&lt;_created&gt;64495738&lt;/_created&gt;&lt;_modified&gt;64495738&lt;/_modified&gt;&lt;_db_updated&gt;PubMed&lt;/_db_updated&gt;&lt;_impact_factor&gt;   3.921&lt;/_impact_factor&gt;&lt;_collection_scope&gt;SCI;SCIE&lt;/_collection_scope&gt;&lt;/Details&gt;&lt;Extra&gt;&lt;DBUID&gt;{F96A950B-833F-4880-A151-76DA2D6A2879}&lt;/DBUID&gt;&lt;/Extra&gt;&lt;/Item&gt;&lt;/References&gt;&lt;/Group&gt;&lt;/Citation&gt;_x000a_"/>
    <w:docVar w:name="NE.Ref{122EF516-7E43-42DD-9052-96B622CFBCA9}" w:val=" ADDIN NE.Ref.{122EF516-7E43-42DD-9052-96B622CFBCA9}&lt;Citation&gt;&lt;Group&gt;&lt;References&gt;&lt;Item&gt;&lt;ID&gt;645&lt;/ID&gt;&lt;UID&gt;{E4A2B322-843A-4182-81E6-07EC59C35F3F}&lt;/UID&gt;&lt;Title&gt;Diversity and evolution of MicroRNA gene clusters&lt;/Title&gt;&lt;Template&gt;Journal Article&lt;/Template&gt;&lt;Star&gt;0&lt;/Star&gt;&lt;Tag&gt;0&lt;/Tag&gt;&lt;Author&gt;Zhang, Y; Zhang, R; Su, B&lt;/Author&gt;&lt;Year&gt;2009&lt;/Year&gt;&lt;Details&gt;&lt;_accession_num&gt;19294351&lt;/_accession_num&gt;&lt;_author_adr&gt;State Key Laboratory of Genetic Resources and Evolution, Kunming Institute of Zoology, Chinese Academy of Sciences, Kunming, 650223, China.&lt;/_author_adr&gt;&lt;_date_display&gt;2009 Mar&lt;/_date_display&gt;&lt;_date&gt;2009-03-01&lt;/_date&gt;&lt;_doi&gt;10.1007/s11427-009-0032-5&lt;/_doi&gt;&lt;_isbn&gt;1006-9305 (Print); 1006-9305 (Linking)&lt;/_isbn&gt;&lt;_issue&gt;3&lt;/_issue&gt;&lt;_journal&gt;Sci China C Life Sci&lt;/_journal&gt;&lt;_language&gt;eng&lt;/_language&gt;&lt;_pages&gt;261-6&lt;/_pages&gt;&lt;_subject_headings&gt;*Evolution, Molecular; MicroRNAs/*genetics; Models, Genetic; Multigene Family/*genetics&lt;/_subject_headings&gt;&lt;_tertiary_title&gt;Science in China. Series C, Life sciences&lt;/_tertiary_title&gt;&lt;_type_work&gt;Journal Article; Research Support, Non-U.S. Gov&amp;apos;t; Review&lt;/_type_work&gt;&lt;_url&gt;http://www.ncbi.nlm.nih.gov/entrez/query.fcgi?cmd=Retrieve&amp;amp;db=pubmed&amp;amp;dopt=Abstract&amp;amp;list_uids=19294351&amp;amp;query_hl=1&lt;/_url&gt;&lt;_volume&gt;52&lt;/_volume&gt;&lt;_created&gt;64494303&lt;/_created&gt;&lt;_modified&gt;64494303&lt;/_modified&gt;&lt;_db_updated&gt;PubMed&lt;/_db_updated&gt;&lt;/Details&gt;&lt;Extra&gt;&lt;DBUID&gt;{F96A950B-833F-4880-A151-76DA2D6A2879}&lt;/DBUID&gt;&lt;/Extra&gt;&lt;/Item&gt;&lt;/References&gt;&lt;/Group&gt;&lt;/Citation&gt;_x000a_"/>
    <w:docVar w:name="NE.Ref{1670BCF2-1DFE-4C1B-99EA-FED185E4C046}" w:val=" ADDIN NE.Ref.{1670BCF2-1DFE-4C1B-99EA-FED185E4C046}&lt;Citation&gt;&lt;Group&gt;&lt;References&gt;&lt;Item&gt;&lt;ID&gt;666&lt;/ID&gt;&lt;UID&gt;{45C18720-6546-4F78-81B8-5740200F5769}&lt;/UID&gt;&lt;Title&gt;MTA1, a metastasisassociated protein, in endothelial cells is an essential molecule for angiogenesis&lt;/Title&gt;&lt;Template&gt;Journal Article&lt;/Template&gt;&lt;Star&gt;0&lt;/Star&gt;&lt;Tag&gt;0&lt;/Tag&gt;&lt;Author&gt;Ishikawa, M; Osaki, M; Uno, N; Ohira, T; Kugoh, H; Okada, F&lt;/Author&gt;&lt;Year&gt;2022&lt;/Year&gt;&lt;Details&gt;&lt;_accession_num&gt;34779499&lt;/_accession_num&gt;&lt;_author_adr&gt;Division of Experimental Pathology, Faculty of Medicine, Tottori University, Yonago, Tottori 6838503, Japan.; Division of Experimental Pathology, Faculty of Medicine, Tottori University, Yonago, Tottori 6838503, Japan.; Chromosome Engineering Research Center, Faculty of Medicine, Tottori University,  Yonago, Tottori 6838503, Japan.; Chromosome Engineering Research Center, Faculty of Medicine, Tottori University,  Yonago, Tottori 6838503, Japan.; Chromosome Engineering Research Center, Faculty of Medicine, Tottori University,  Yonago, Tottori 6838503, Japan.; Division of Experimental Pathology, Faculty of Medicine, Tottori University, Yonago, Tottori 6838503, Japan.&lt;/_author_adr&gt;&lt;_date_display&gt;2022 Jan&lt;/_date_display&gt;&lt;_date&gt;2022-01-01&lt;/_date&gt;&lt;_doi&gt;10.3892/mmr.2021.12527&lt;/_doi&gt;&lt;_isbn&gt;1791-3004 (Electronic); 1791-2997 (Linking)&lt;/_isbn&gt;&lt;_issue&gt;1&lt;/_issue&gt;&lt;_journal&gt;Mol Med Rep&lt;/_journal&gt;&lt;_keywords&gt;angiogenesis; endothelial cells; metastasisassociated protein 1; tumor; vascular endothelial growth factor&lt;/_keywords&gt;&lt;_language&gt;eng&lt;/_language&gt;&lt;_subject_headings&gt;Angiogenesis Inhibitors/pharmacology; Animals; Cell Line; Cell Movement/drug effects; Cells, Cultured; China; Endothelial Cells/*metabolism; Mice; Morphogenesis/drug effects; Myosin Heavy Chains/metabolism; Neoplasm Metastasis/genetics; Neovascularization, Pathologic/*metabolism; Phosphorylation; Repressor Proteins/*metabolism/physiology; S100 Calcium-Binding Protein A4/metabolism; Trans-Activators/*metabolism/physiology; Vascular Endothelial Growth Factor A/metabolism; Vascular Endothelial Growth Factor Receptor-1/metabolism; Vascular Endothelial Growth Factors/metabolism&lt;/_subject_headings&gt;&lt;_tertiary_title&gt;Molecular medicine reports&lt;/_tertiary_title&gt;&lt;_type_work&gt;Journal Article&lt;/_type_work&gt;&lt;_url&gt;http://www.ncbi.nlm.nih.gov/entrez/query.fcgi?cmd=Retrieve&amp;amp;db=pubmed&amp;amp;dopt=Abstract&amp;amp;list_uids=34779499&amp;amp;query_hl=1&lt;/_url&gt;&lt;_volume&gt;25&lt;/_volume&gt;&lt;_created&gt;64495742&lt;/_created&gt;&lt;_modified&gt;64495742&lt;/_modified&gt;&lt;_db_updated&gt;PubMed&lt;/_db_updated&gt;&lt;_impact_factor&gt;   2.952&lt;/_impact_factor&gt;&lt;_collection_scope&gt;SCIE&lt;/_collection_scope&gt;&lt;/Details&gt;&lt;Extra&gt;&lt;DBUID&gt;{F96A950B-833F-4880-A151-76DA2D6A2879}&lt;/DBUID&gt;&lt;/Extra&gt;&lt;/Item&gt;&lt;/References&gt;&lt;/Group&gt;&lt;/Citation&gt;_x000a_"/>
    <w:docVar w:name="NE.Ref{17E76F7D-D80C-4057-B091-2394A1D28B32}" w:val=" ADDIN NE.Ref.{17E76F7D-D80C-4057-B091-2394A1D28B32}&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1D80690D-4FCA-4201-919A-F8F48B0C0E8A}" w:val=" ADDIN NE.Ref.{1D80690D-4FCA-4201-919A-F8F48B0C0E8A}&lt;Citation&gt;&lt;Group&gt;&lt;References&gt;&lt;Item&gt;&lt;ID&gt;668&lt;/ID&gt;&lt;UID&gt;{BC8D479D-EEDC-494A-A6A1-A4C9A4ED40F9}&lt;/UID&gt;&lt;Title&gt;Neuroprotective effects of a chromatin modifier on ischemia/reperfusion neurons:  implication of its regulation of BCL2 transactivation by ERalpha signaling&lt;/Title&gt;&lt;Template&gt;Journal Article&lt;/Template&gt;&lt;Star&gt;0&lt;/Star&gt;&lt;Tag&gt;0&lt;/Tag&gt;&lt;Author&gt;Guo, J; Zhang, T; Yu, J; Li, H Z; Zhao, C; Qiu, J; Zhao, B; Zhao, J; Li, W; Zhao, T Z&lt;/Author&gt;&lt;Year&gt;2016&lt;/Year&gt;&lt;Details&gt;&lt;_accession_num&gt;26728277&lt;/_accession_num&gt;&lt;_author_adr&gt;Department of Neurology, Tangdu Hospital, Fourth Military Medical University, Xi&amp;apos;an, 710038, People&amp;apos;s Republic of China.; Department of Neurosurgery, Tangdu Hospital, Fourth Military Medical University,  Xi&amp;apos;an, 710038, People&amp;apos;s Republic of China.; Department of Neurosurgery, Tangdu Hospital, Fourth Military Medical University,  Xi&amp;apos;an, 710038, People&amp;apos;s Republic of China.; Department of Neurology, Tangdu Hospital, Fourth Military Medical University, Xi&amp;apos;an, 710038, People&amp;apos;s Republic of China.; Department of Neurology, Tangdu Hospital, Fourth Military Medical University, Xi&amp;apos;an, 710038, People&amp;apos;s Republic of China.; Department of Neurology, General Hospital of Shenyang Military Command, Shenyang, 110015, People&amp;apos;s Republic of China.; Department of Neurosurgery, Tangdu Hospital, Fourth Military Medical University,  Xi&amp;apos;an, 710038, People&amp;apos;s Republic of China.; Department of Histology and Embryology, Fourth Military Medical University, Xi&amp;apos;an, 710032, People&amp;apos;s Republic of China.; Department of Histology and Embryology, Fourth Military Medical University, Xi&amp;apos;an, 710032, People&amp;apos;s Republic of China. liweipepeyato@163.com.; Department of Neurosurgery, Tangdu Hospital, Fourth Military Medical University,  Xi&amp;apos;an, 710038, People&amp;apos;s Republic of China. zhaotianzhi1981@163.com.&lt;/_author_adr&gt;&lt;_date_display&gt;2016 Jun&lt;/_date_display&gt;&lt;_date&gt;2016-06-01&lt;/_date&gt;&lt;_doi&gt;10.1007/s00441-015-2347-9&lt;/_doi&gt;&lt;_isbn&gt;1432-0878 (Electronic); 0302-766X (Linking)&lt;/_isbn&gt;&lt;_issue&gt;3&lt;/_issue&gt;&lt;_journal&gt;Cell Tissue Res&lt;/_journal&gt;&lt;_keywords&gt;Estrogen receptor alpha (ERalpha); Histone deacetylase (HDAC); Ischemia/reperfusion (I/R); Metastasis-associated protein 1 (MTA1); Neuron&lt;/_keywords&gt;&lt;_language&gt;eng&lt;/_language&gt;&lt;_pages&gt;475-488&lt;/_pages&gt;&lt;_subject_headings&gt;Animals; Brain/metabolism/pathology; Cell Line, Tumor; Cell Survival; Disease Models, Animal; Estrogen Receptor alpha/*metabolism; Female; Histone Deacetylases/*metabolism; Humans; Infarction, Middle Cerebral Artery/complications/genetics/pathology; Mice, Inbred C57BL; Models, Biological; Neurons/metabolism/*pathology; Neuroprotective Agents/*metabolism; Proto-Oncogene Proteins c-bcl-2/*genetics/metabolism; RNA, Small Interfering/metabolism; Reperfusion Injury/complications/*genetics/pathology; Repressor Proteins/*metabolism; Signal Transduction; Stress, Physiological; Trans-Activators; Transcription Factors/*metabolism; Transcriptional Activation/*genetics; Up-Regulation&lt;/_subject_headings&gt;&lt;_tertiary_title&gt;Cell and tissue research&lt;/_tertiary_title&gt;&lt;_type_work&gt;Journal Article&lt;/_type_work&gt;&lt;_url&gt;http://www.ncbi.nlm.nih.gov/entrez/query.fcgi?cmd=Retrieve&amp;amp;db=pubmed&amp;amp;dopt=Abstract&amp;amp;list_uids=26728277&amp;amp;query_hl=1&lt;/_url&gt;&lt;_volume&gt;364&lt;/_volume&gt;&lt;_created&gt;64495769&lt;/_created&gt;&lt;_modified&gt;64495769&lt;/_modified&gt;&lt;_db_updated&gt;PubMed&lt;/_db_updated&gt;&lt;_impact_factor&gt;   5.249&lt;/_impact_factor&gt;&lt;_collection_scope&gt;SCI;SCIE&lt;/_collection_scope&gt;&lt;/Details&gt;&lt;Extra&gt;&lt;DBUID&gt;{F96A950B-833F-4880-A151-76DA2D6A2879}&lt;/DBUID&gt;&lt;/Extra&gt;&lt;/Item&gt;&lt;/References&gt;&lt;/Group&gt;&lt;/Citation&gt;_x000a_"/>
    <w:docVar w:name="NE.Ref{1E5A2B11-6E4E-41DB-9D17-EC8B517FB5B1}" w:val=" ADDIN NE.Ref.{1E5A2B11-6E4E-41DB-9D17-EC8B517FB5B1}&lt;Citation&gt;&lt;Group&gt;&lt;References&gt;&lt;Item&gt;&lt;ID&gt;653&lt;/ID&gt;&lt;UID&gt;{EA64489B-09CB-4824-8953-7BD49CAD1F83}&lt;/UID&gt;&lt;Title&gt;A long non-coding RNA, ELFN1-AS1, sponges miR-1250 to upregulate MTA1 to promote  cell proliferation, migration and invasion, and induce apoptosis in colorectal cancer&lt;/Title&gt;&lt;Template&gt;Journal Article&lt;/Template&gt;&lt;Star&gt;0&lt;/Star&gt;&lt;Tag&gt;0&lt;/Tag&gt;&lt;Author&gt;Zhai, L Q; Wang, X X; Qu, C X; Yang, L Z; Jia, C M; Shi, X C&lt;/Author&gt;&lt;Year&gt;2021&lt;/Year&gt;&lt;Details&gt;&lt;_accession_num&gt;34337713&lt;/_accession_num&gt;&lt;_author_adr&gt;Department of Pathology, Shanxi Provincial People&amp;apos;s Hospital, Taiyuan, Shanxi Province, China. LiqinZhai8080@163.com.&lt;/_author_adr&gt;&lt;_date_display&gt;2021 Jul&lt;/_date_display&gt;&lt;_date&gt;2021-07-01&lt;/_date&gt;&lt;_doi&gt;10.26355/eurrev_202107_26376&lt;/_doi&gt;&lt;_isbn&gt;2284-0729 (Electronic); 1128-3602 (Linking)&lt;/_isbn&gt;&lt;_issue&gt;14&lt;/_issue&gt;&lt;_journal&gt;Eur Rev Med Pharmacol Sci&lt;/_journal&gt;&lt;_language&gt;eng&lt;/_language&gt;&lt;_pages&gt;4655-4667&lt;/_pages&gt;&lt;_subject_headings&gt;*Apoptosis; Cell Movement; Cell Proliferation; Colorectal Neoplasms/*metabolism/pathology; Female; Humans; Male; MicroRNAs/genetics/*metabolism; Middle Aged; RNA, Long Noncoding/genetics/*metabolism; Repressor Proteins/genetics/*metabolism; Trans-Activators/genetics/*metabolism; Tumor Cells, Cultured; *Up-Regulation&lt;/_subject_headings&gt;&lt;_tertiary_title&gt;European review for medical and pharmacological sciences&lt;/_tertiary_title&gt;&lt;_type_work&gt;Journal Article&lt;/_type_work&gt;&lt;_url&gt;http://www.ncbi.nlm.nih.gov/entrez/query.fcgi?cmd=Retrieve&amp;amp;db=pubmed&amp;amp;dopt=Abstract&amp;amp;list_uids=34337713&amp;amp;query_hl=1&lt;/_url&gt;&lt;_volume&gt;25&lt;/_volume&gt;&lt;_created&gt;64495588&lt;/_created&gt;&lt;_modified&gt;64495588&lt;/_modified&gt;&lt;_db_updated&gt;PubMed&lt;/_db_updated&gt;&lt;_impact_factor&gt;   3.507&lt;/_impact_factor&gt;&lt;/Details&gt;&lt;Extra&gt;&lt;DBUID&gt;{F96A950B-833F-4880-A151-76DA2D6A2879}&lt;/DBUID&gt;&lt;/Extra&gt;&lt;/Item&gt;&lt;/References&gt;&lt;/Group&gt;&lt;/Citation&gt;_x000a_"/>
    <w:docVar w:name="NE.Ref{1EB4556D-4469-4AF1-965C-6E3B03C4B3EB}" w:val=" ADDIN NE.Ref.{1EB4556D-4469-4AF1-965C-6E3B03C4B3EB}&lt;Citation&gt;&lt;Group&gt;&lt;References&gt;&lt;Item&gt;&lt;ID&gt;671&lt;/ID&gt;&lt;UID&gt;{3CB9A089-5F5E-477B-90F8-5312FF14287F}&lt;/UID&gt;&lt;Title&gt;Cascaded bio-responsive delivery of eNOS gene and ZNF580 gene to collaboratively  treat hindlimb ischemia via pro-angiogenesis and anti-inflammation&lt;/Title&gt;&lt;Template&gt;Journal Article&lt;/Template&gt;&lt;Star&gt;0&lt;/Star&gt;&lt;Tag&gt;0&lt;/Tag&gt;&lt;Author&gt;Wang, X; Su, B; Gao, B; Zhou, J; Ren, X K; Guo, J; Xia, S; Zhang, W; Feng, Y&lt;/Author&gt;&lt;Year&gt;2020&lt;/Year&gt;&lt;Details&gt;&lt;_accession_num&gt;33112303&lt;/_accession_num&gt;&lt;_author_adr&gt;School of Chemical Engineering and Technology, Tianjin University, Yaguan Road 135, Tianjin 300350, P. R. China. yakaifeng@tju.edu.cn.&lt;/_author_adr&gt;&lt;_date_display&gt;2020 Dec 7&lt;/_date_display&gt;&lt;_date&gt;2020-12-07&lt;/_date&gt;&lt;_doi&gt;10.1039/d0bm01573c&lt;/_doi&gt;&lt;_isbn&gt;2047-4849 (Electronic); 2047-4830 (Linking)&lt;/_isbn&gt;&lt;_issue&gt;23&lt;/_issue&gt;&lt;_journal&gt;Biomater Sci&lt;/_journal&gt;&lt;_language&gt;eng&lt;/_language&gt;&lt;_pages&gt;6545-6560&lt;/_pages&gt;&lt;_subject_headings&gt;Animals; Anti-Inflammatory Agents; *Genetic Therapy; Hindlimb; *Ischemia/therapy; *Matrix Metalloproteinase 2; Mice; *Neovascularization, Physiologic; Transfection&lt;/_subject_headings&gt;&lt;_tertiary_title&gt;Biomaterials science&lt;/_tertiary_title&gt;&lt;_type_work&gt;Journal Article&lt;/_type_work&gt;&lt;_url&gt;http://www.ncbi.nlm.nih.gov/entrez/query.fcgi?cmd=Retrieve&amp;amp;db=pubmed&amp;amp;dopt=Abstract&amp;amp;list_uids=33112303&amp;amp;query_hl=1&lt;/_url&gt;&lt;_volume&gt;8&lt;/_volume&gt;&lt;_created&gt;64495784&lt;/_created&gt;&lt;_modified&gt;64495785&lt;/_modified&gt;&lt;_db_updated&gt;PubMed&lt;/_db_updated&gt;&lt;_impact_factor&gt;   6.843&lt;/_impact_factor&gt;&lt;/Details&gt;&lt;Extra&gt;&lt;DBUID&gt;{F96A950B-833F-4880-A151-76DA2D6A2879}&lt;/DBUID&gt;&lt;/Extra&gt;&lt;/Item&gt;&lt;/References&gt;&lt;/Group&gt;&lt;/Citation&gt;_x000a_"/>
    <w:docVar w:name="NE.Ref{26EE6C09-E073-4D77-A236-9F2933352898}" w:val=" ADDIN NE.Ref.{26EE6C09-E073-4D77-A236-9F2933352898}&lt;Citation&gt;&lt;Group&gt;&lt;References&gt;&lt;Item&gt;&lt;ID&gt;670&lt;/ID&gt;&lt;UID&gt;{CD3F23A2-7D05-496D-AC5F-28DF4EBA5055}&lt;/UID&gt;&lt;Title&gt;Circulating miR-338 Cluster activities on osteoblast differentiation: Potential Diagnostic and Therapeutic Targets for Postmenopausal Osteoporosis&lt;/Title&gt;&lt;Template&gt;Journal Article&lt;/Template&gt;&lt;Star&gt;0&lt;/Star&gt;&lt;Tag&gt;0&lt;/Tag&gt;&lt;Author&gt;Lin, C; Yu, S; Jin, R; Xiao, Y; Pan, M; Pei, F; Zhu, X; Huang, H; Zhang, Z; Chen, S; Liu, H; Chen, Z&lt;/Author&gt;&lt;Year&gt;2019&lt;/Year&gt;&lt;Details&gt;&lt;_accession_num&gt;31281513&lt;/_accession_num&gt;&lt;_author_adr&gt;State Key Laboratory Breeding Base of Basic Science of Stomatology (Hubei-MOST) and Key Laboratory for Oral Biomedicine of Ministry of Education (KLOBM),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 Department of Dentistry, The Central Hospital of Wuhan, Tongji Medical College Huazhong University of Science and Technology, Wuhan 430014, China.; State Key Laboratory Breeding Base of Basic Science of Stomatology (Hubei-MOST) and Key Laboratory for Oral Biomedicine of Ministry of Education (KLOBM), School  and Hospital of Stomatology, Wuhan University, Wuhan 430079, China.; Instititue of Life Sciences, Hangzhou Normal University, Hangzhou 310071.; Instititue of Life Sciences, Hangzhou Normal University, Hangzhou 310071.; Instititue of Life Sciences, Hangzhou Normal University, Hangzhou 310071.; Department of Developmental Dentistry, University of Texas Health Science Center, San Antonio, Texas, 78229-3700, United States.; State Key Laboratory Breeding Base of Basic Science of Stomatology (Hubei-MOST) and Key Laboratory for Oral Biomedicine of Ministry of Education (KLOBM), School  and Hospital of Stomatology, Wuhan University, Wuhan 430079, China.; Department of Periodontology,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lt;/_author_adr&gt;&lt;_date_display&gt;2019&lt;/_date_display&gt;&lt;_date&gt;2019-01-20&lt;/_date&gt;&lt;_doi&gt;10.7150/thno.34493&lt;/_doi&gt;&lt;_isbn&gt;1838-7640 (Electronic); 1838-7640 (Linking)&lt;/_isbn&gt;&lt;_issue&gt;13&lt;/_issue&gt;&lt;_journal&gt;Theranostics&lt;/_journal&gt;&lt;_keywords&gt;*Runx2; *miR-338 cluster; *microRNA; *osteoporosis&lt;/_keywords&gt;&lt;_language&gt;eng&lt;/_language&gt;&lt;_pages&gt;3780-3797&lt;/_pages&gt;&lt;_subject_headings&gt;Aged; Animals; Cell Differentiation/*genetics; Cell Line; Core Binding Factor Alpha 1 Subunit/metabolism; Disease Progression; Down-Regulation/genetics; Estrogens/pharmacology; Feedback, Physiological; Female; Humans; Mice, Inbred C57BL; Mice, Knockout; MicroRNAs/*blood/genetics; Middle Aged; *Molecular Targeted Therapy; Osteoblasts/*pathology; Osteoporosis, Postmenopausal/*blood/diagnosis/*genetics/therapy; Ovariectomy; SOXC Transcription Factors/metabolism&lt;/_subject_headings&gt;&lt;_tertiary_title&gt;Theranostics&lt;/_tertiary_title&gt;&lt;_type_work&gt;Journal Article; Research Support, Non-U.S. Gov&amp;apos;t&lt;/_type_work&gt;&lt;_url&gt;http://www.ncbi.nlm.nih.gov/entrez/query.fcgi?cmd=Retrieve&amp;amp;db=pubmed&amp;amp;dopt=Abstract&amp;amp;list_uids=31281513&amp;amp;query_hl=1&lt;/_url&gt;&lt;_volume&gt;9&lt;/_volume&gt;&lt;_created&gt;64495779&lt;/_created&gt;&lt;_modified&gt;64495779&lt;/_modified&gt;&lt;_db_updated&gt;PubMed&lt;/_db_updated&gt;&lt;_impact_factor&gt;  11.556&lt;/_impact_factor&gt;&lt;_collection_scope&gt;SCIE&lt;/_collection_scope&gt;&lt;/Details&gt;&lt;Extra&gt;&lt;DBUID&gt;{F96A950B-833F-4880-A151-76DA2D6A2879}&lt;/DBUID&gt;&lt;/Extra&gt;&lt;/Item&gt;&lt;/References&gt;&lt;/Group&gt;&lt;/Citation&gt;_x000a_"/>
    <w:docVar w:name="NE.Ref{2C26047A-DE9A-4C6A-B54D-6DECA89BADBE}" w:val=" ADDIN NE.Ref.{2C26047A-DE9A-4C6A-B54D-6DECA89BADBE}&lt;Citation&gt;&lt;Group&gt;&lt;References&gt;&lt;Item&gt;&lt;ID&gt;651&lt;/ID&gt;&lt;UID&gt;{B968A217-B813-4F0F-A6BF-161D71236258}&lt;/UID&gt;&lt;Title&gt;A novel miR-338-3p/SLC1A5 axis reprograms retinal pigment epithelium to increases its resistance to high glucose-induced cell ferroptosis&lt;/Title&gt;&lt;Template&gt;Journal Article&lt;/Template&gt;&lt;Star&gt;0&lt;/Star&gt;&lt;Tag&gt;0&lt;/Tag&gt;&lt;Author&gt;Zhou, J; Sun, C; Dong, X; Wang, H&lt;/Author&gt;&lt;Year&gt;2022&lt;/Year&gt;&lt;Details&gt;&lt;_accession_num&gt;35320491&lt;/_accession_num&gt;&lt;_author_adr&gt;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huiwanghomewh@163.com.&lt;/_author_adr&gt;&lt;_date_display&gt;2022 Jun&lt;/_date_display&gt;&lt;_date&gt;2022-06-01&lt;/_date&gt;&lt;_doi&gt;10.1007/s10735-022-10070-0&lt;/_doi&gt;&lt;_isbn&gt;1567-2387 (Electronic); 1567-2379 (Linking)&lt;/_isbn&gt;&lt;_issue&gt;3&lt;/_issue&gt;&lt;_journal&gt;J Mol Histol&lt;/_journal&gt;&lt;_keywords&gt;Cell ferroptosis; Diabetic retinopathy; ROS; SLC1A5; miR-338-3p&lt;/_keywords&gt;&lt;_language&gt;eng&lt;/_language&gt;&lt;_ori_publication&gt;(c) 2022. The Author(s), under exclusive licence to Springer Nature B.V.&lt;/_ori_publication&gt;&lt;_pages&gt;561-571&lt;/_pages&gt;&lt;_subject_headings&gt;*Amino Acid Transport System ASC/genetics/metabolism; Apoptosis; Cell Proliferation/genetics; *Diabetic Retinopathy/genetics/pathology; *Ferroptosis; Glucose/pharmacology; Humans; *MicroRNAs/genetics; *Minor Histocompatibility Antigens/genetics/metabolism; Reactive Oxygen Species/metabolism; Retinal Pigment Epithelium/metabolism/pathology&lt;/_subject_headings&gt;&lt;_tertiary_title&gt;Journal of molecular histology&lt;/_tertiary_title&gt;&lt;_type_work&gt;Journal Article&lt;/_type_work&gt;&lt;_url&gt;http://www.ncbi.nlm.nih.gov/entrez/query.fcgi?cmd=Retrieve&amp;amp;db=pubmed&amp;amp;dopt=Abstract&amp;amp;list_uids=35320491&amp;amp;query_hl=1&lt;/_url&gt;&lt;_volume&gt;53&lt;/_volume&gt;&lt;_created&gt;64495579&lt;/_created&gt;&lt;_modified&gt;64495579&lt;/_modified&gt;&lt;_db_updated&gt;PubMed&lt;/_db_updated&gt;&lt;_impact_factor&gt;   2.611&lt;/_impact_factor&gt;&lt;_collection_scope&gt;SCI;SCIE&lt;/_collection_scope&gt;&lt;/Details&gt;&lt;Extra&gt;&lt;DBUID&gt;{F96A950B-833F-4880-A151-76DA2D6A2879}&lt;/DBUID&gt;&lt;/Extra&gt;&lt;/Item&gt;&lt;/References&gt;&lt;/Group&gt;&lt;/Citation&gt;_x000a_"/>
    <w:docVar w:name="NE.Ref{2E858F4E-49F7-490A-87A7-EBFF634D6EFC}" w:val=" ADDIN NE.Ref.{2E858F4E-49F7-490A-87A7-EBFF634D6EFC}&lt;Citation&gt;&lt;Group&gt;&lt;References&gt;&lt;Item&gt;&lt;ID&gt;676&lt;/ID&gt;&lt;UID&gt;{E694E1F1-B54D-4838-9C43-AD7018EBA271}&lt;/UID&gt;&lt;Title&gt;ZNF354C is a transcriptional repressor that inhibits endothelial angiogenic sprouting&lt;/Title&gt;&lt;Template&gt;Journal Article&lt;/Template&gt;&lt;Star&gt;0&lt;/Star&gt;&lt;Tag&gt;0&lt;/Tag&gt;&lt;Author&gt;Oo, J A; Irmer, B; Gunther, S; Warwick, T; Palfi, K; Izquierdo, Ponce J; Teichmann, T; Pfluger-Muller, B; Gilsbach, R; Brandes, R P; Leisegang, M S&lt;/Author&gt;&lt;Year&gt;2020&lt;/Year&gt;&lt;Details&gt;&lt;_accession_num&gt;33154469&lt;/_accession_num&gt;&lt;_author_adr&gt;Institute for Cardiovascular Physiology, Goethe University, Theodor-Stern-Kai 7,  60590, Frankfurt am Main, Germany.; German Center of Cardiovascular Research (DZHK), Partner site RheinMain, Frankfurt, Germany.; Institute for Cardiovascular Physiology, Goethe University, Theodor-Stern-Kai 7,  60590, Frankfurt am Main, Germany.; Max Planck Institute for Heart and Lung Research, Bad Nauheim, Germany.; Institute for Cardiovascular Physiology, Goethe University, Theodor-Stern-Kai 7,  60590, Frankfurt am Main, Germany.; Institute for Cardiovascular Physiology, Goethe University, Theodor-Stern-Kai 7,  60590, Frankfurt am Main, Germany.; Institute for Cardiovascular Physiology, Goethe University, Theodor-Stern-Kai 7,  60590, Frankfurt am Main, Germany.; Institute for Cardiovascular Physiology, Goethe University, Theodor-Stern-Kai 7,  60590, Frankfurt am Main, Germany.; Institute for Cardiovascular Physiology, Goethe University, Theodor-Stern-Kai 7,  60590, Frankfurt am Main, Germany.; German Center of Cardiovascular Research (DZHK), Partner site RheinMain, Frankfurt, Germany.; Institute for Cardiovascular Physiology, Goethe University, Theodor-Stern-Kai 7,  60590, Frankfurt am Main, Germany.; German Center of Cardiovascular Research (DZHK), Partner site RheinMain, Frankfurt, Germany.; Institute for Cardiovascular Physiology, Goethe University, Theodor-Stern-Kai 7,  60590, Frankfurt am Main, Germany.; German Center of Cardiovascular Research (DZHK), Partner site RheinMain, Frankfurt, Germany.; Institute for Cardiovascular Physiology, Goethe University, Theodor-Stern-Kai 7,  60590, Frankfurt am Main, Germany. Leisegang@vrc.uni-frankfurt.de.; German Center of Cardiovascular Research (DZHK), Partner site RheinMain, Frankfurt, Germany. Leisegang@vrc.uni-frankfurt.de.&lt;/_author_adr&gt;&lt;_date_display&gt;2020 Nov 5&lt;/_date_display&gt;&lt;_date&gt;2020-11-05&lt;/_date&gt;&lt;_doi&gt;10.1038/s41598-020-76193-0&lt;/_doi&gt;&lt;_isbn&gt;2045-2322 (Electronic); 2045-2322 (Linking)&lt;/_isbn&gt;&lt;_issue&gt;1&lt;/_issue&gt;&lt;_journal&gt;Sci Rep&lt;/_journal&gt;&lt;_language&gt;eng&lt;/_language&gt;&lt;_pages&gt;19079&lt;/_pages&gt;&lt;_subject_headings&gt;Amino Acid Sequence; CRISPR-Cas Systems; Cells, Cultured; Endothelial Cells/*cytology/*metabolism; Gene Expression Profiling; Gene Knockout Techniques; Histones/metabolism; Human Umbilical Vein Endothelial Cells; Humans; Mutagenesis, Site-Directed; Myocytes, Smooth Muscle/cytology/metabolism; *Neovascularization, Physiologic/genetics; Promoter Regions, Genetic; RNA, Small Interfering/genetics; Repressor Proteins/antagonists &amp;amp; inhibitors/genetics/*metabolism; Tripartite Motif-Containing Protein 28/metabolism; Zinc Fingers/genetics&lt;/_subject_headings&gt;&lt;_tertiary_title&gt;Scientific reports&lt;/_tertiary_title&gt;&lt;_type_work&gt;Journal Article; Research Support, Non-U.S. Gov&amp;apos;t&lt;/_type_work&gt;&lt;_url&gt;http://www.ncbi.nlm.nih.gov/entrez/query.fcgi?cmd=Retrieve&amp;amp;db=pubmed&amp;amp;dopt=Abstract&amp;amp;list_uids=33154469&amp;amp;query_hl=1&lt;/_url&gt;&lt;_volume&gt;10&lt;/_volume&gt;&lt;_created&gt;64495805&lt;/_created&gt;&lt;_modified&gt;64495805&lt;/_modified&gt;&lt;_db_updated&gt;PubMed&lt;/_db_updated&gt;&lt;_impact_factor&gt;   4.380&lt;/_impact_factor&gt;&lt;/Details&gt;&lt;Extra&gt;&lt;DBUID&gt;{F96A950B-833F-4880-A151-76DA2D6A2879}&lt;/DBUID&gt;&lt;/Extra&gt;&lt;/Item&gt;&lt;/References&gt;&lt;/Group&gt;&lt;/Citation&gt;_x000a_"/>
    <w:docVar w:name="NE.Ref{33865719-B4DD-4A47-9A35-CE46400E51A4}" w:val=" ADDIN NE.Ref.{33865719-B4DD-4A47-9A35-CE46400E51A4}&lt;Citation&gt;&lt;Group&gt;&lt;References&gt;&lt;Item&gt;&lt;ID&gt;642&lt;/ID&gt;&lt;UID&gt;{7C980CE6-BB43-469C-AE19-528FDEBCF304}&lt;/UID&gt;&lt;Title&gt;Ischemia and reperfusion--from mechanism to translation&lt;/Title&gt;&lt;Template&gt;Journal Article&lt;/Template&gt;&lt;Star&gt;0&lt;/Star&gt;&lt;Tag&gt;0&lt;/Tag&gt;&lt;Author&gt;Eltzschig, H K; Eckle, T&lt;/Author&gt;&lt;Year&gt;2011&lt;/Year&gt;&lt;Details&gt;&lt;_accession_num&gt;22064429&lt;/_accession_num&gt;&lt;_author_adr&gt;Department of Anesthesiology, Mucosal Inflammation Program, University of Colorado, Aurora, Colorado, USA. holger.eltzschig@ucdenver.edu&lt;/_author_adr&gt;&lt;_date_display&gt;2011 Nov 7&lt;/_date_display&gt;&lt;_date&gt;2011-11-07&lt;/_date&gt;&lt;_doi&gt;10.1038/nm.2507&lt;/_doi&gt;&lt;_isbn&gt;1546-170X (Electronic); 1078-8956 (Linking)&lt;/_isbn&gt;&lt;_issue&gt;11&lt;/_issue&gt;&lt;_journal&gt;Nat Med&lt;/_journal&gt;&lt;_language&gt;eng&lt;/_language&gt;&lt;_pages&gt;1391-401&lt;/_pages&gt;&lt;_subject_headings&gt;Adaptive Immunity/immunology; Cell Death/physiology; Humans; Immunity, Innate/immunology; Ischemia/pathology/*physiopathology; Ischemic Preconditioning; MicroRNAs/metabolism; Nucleosides/metabolism; Nucleotides/metabolism; *Protein Biosynthesis; *Reperfusion; Reperfusion Injury/*physiopathology/therapy; Signal Transduction/physiology&lt;/_subject_headings&gt;&lt;_tertiary_title&gt;Nature medicine&lt;/_tertiary_title&gt;&lt;_type_work&gt;Journal Article; Research Support, N.I.H., Extramural; Research Support, Non-U.S. Gov&amp;apos;t; Review&lt;/_type_work&gt;&lt;_url&gt;http://www.ncbi.nlm.nih.gov/entrez/query.fcgi?cmd=Retrieve&amp;amp;db=pubmed&amp;amp;dopt=Abstract&amp;amp;list_uids=22064429&amp;amp;query_hl=1&lt;/_url&gt;&lt;_volume&gt;17&lt;/_volume&gt;&lt;_created&gt;64494262&lt;/_created&gt;&lt;_modified&gt;64494262&lt;/_modified&gt;&lt;_db_updated&gt;PubMed&lt;/_db_updated&gt;&lt;_impact_factor&gt;  53.440&lt;/_impact_factor&gt;&lt;_collection_scope&gt;SCI;SCIE&lt;/_collection_scope&gt;&lt;/Details&gt;&lt;Extra&gt;&lt;DBUID&gt;{F96A950B-833F-4880-A151-76DA2D6A2879}&lt;/DBUID&gt;&lt;/Extra&gt;&lt;/Item&gt;&lt;/References&gt;&lt;/Group&gt;&lt;/Citation&gt;_x000a_"/>
    <w:docVar w:name="NE.Ref{3A6EE31A-0880-4C4A-A264-FA14F197008F}" w:val=" ADDIN NE.Ref.{3A6EE31A-0880-4C4A-A264-FA14F197008F}&lt;Citation&gt;&lt;Group&gt;&lt;References&gt;&lt;Item&gt;&lt;ID&gt;646&lt;/ID&gt;&lt;UID&gt;{4D74D763-CDA2-4B12-A8CB-62631CECAD4D}&lt;/UID&gt;&lt;Title&gt;Clustered miRNAs and their role in biological functions and diseases&lt;/Title&gt;&lt;Template&gt;Journal Article&lt;/Template&gt;&lt;Star&gt;0&lt;/Star&gt;&lt;Tag&gt;0&lt;/Tag&gt;&lt;Author&gt;Kabekkodu, S P; Shukla, V; Varghese, V K; D&amp;apos;, Souza J; Chakrabarty, S; Satyamoorthy, K&lt;/Author&gt;&lt;Year&gt;2018&lt;/Year&gt;&lt;Details&gt;&lt;_accession_num&gt;29797774&lt;/_accession_num&gt;&lt;_author_adr&gt;Department of Cell and Molecular Biology, School of Life Sciences, Manipal Academy of Higher Education, Manipal, 576104, India.; Department of Cell and Molecular Biology, School of Life Sciences, Manipal Academy of Higher Education, Manipal, 576104, India.; Department of Cell and Molecular Biology, School of Life Sciences, Manipal Academy of Higher Education, Manipal, 576104, India.; Department of Cell and Molecular Biology, School of Life Sciences, Manipal Academy of Higher Education, Manipal, 576104, India.; Department of Cell and Molecular Biology, School of Life Sciences, Manipal Academy of Higher Education, Manipal, 576104, India.; Department of Cell and Molecular Biology, School of Life Sciences, Manipal Academy of Higher Education, Manipal, 576104, India.&lt;/_author_adr&gt;&lt;_date_display&gt;2018 Nov&lt;/_date_display&gt;&lt;_date&gt;2018-11-01&lt;/_date&gt;&lt;_doi&gt;10.1111/brv.12428&lt;/_doi&gt;&lt;_isbn&gt;1469-185X (Electronic); 0006-3231 (Linking)&lt;/_isbn&gt;&lt;_issue&gt;4&lt;/_issue&gt;&lt;_journal&gt;Biol Rev Camb Philos Soc&lt;/_journal&gt;&lt;_keywords&gt;*cancer; *epigenetics; *genetics; *immunity; *metabolism; *miRNA cluster&lt;/_keywords&gt;&lt;_language&gt;eng&lt;/_language&gt;&lt;_ori_publication&gt;(c) 2018 Cambridge Philosophical Society.&lt;/_ori_publication&gt;&lt;_pages&gt;1955-1986&lt;/_pages&gt;&lt;_subject_headings&gt;Animals; Gene Expression Regulation/*physiology; Humans; MicroRNAs/*genetics/*metabolism; *Multigene Family&lt;/_subject_headings&gt;&lt;_tertiary_title&gt;Biological reviews of the Cambridge Philosophical Society&lt;/_tertiary_title&gt;&lt;_type_work&gt;Journal Article; Research Support, Non-U.S. Gov&amp;apos;t; Review&lt;/_type_work&gt;&lt;_url&gt;http://www.ncbi.nlm.nih.gov/entrez/query.fcgi?cmd=Retrieve&amp;amp;db=pubmed&amp;amp;dopt=Abstract&amp;amp;list_uids=29797774&amp;amp;query_hl=1&lt;/_url&gt;&lt;_volume&gt;93&lt;/_volume&gt;&lt;_created&gt;64494348&lt;/_created&gt;&lt;_modified&gt;64494348&lt;/_modified&gt;&lt;_db_updated&gt;PubMed&lt;/_db_updated&gt;&lt;/Details&gt;&lt;Extra&gt;&lt;DBUID&gt;{F96A950B-833F-4880-A151-76DA2D6A2879}&lt;/DBUID&gt;&lt;/Extra&gt;&lt;/Item&gt;&lt;/References&gt;&lt;/Group&gt;&lt;Group&gt;&lt;References&gt;&lt;Item&gt;&lt;ID&gt;647&lt;/ID&gt;&lt;UID&gt;{5EE5A7AD-6813-4704-8A0C-33DDB946A8BB}&lt;/UID&gt;&lt;Title&gt;Clustering and conservation patterns of human microRNAs&lt;/Title&gt;&lt;Template&gt;Journal Article&lt;/Template&gt;&lt;Star&gt;0&lt;/Star&gt;&lt;Tag&gt;0&lt;/Tag&gt;&lt;Author&gt;Altuvia, Y; Landgraf, P; Lithwick, G; Elefant, N; Pfeffer, S; Aravin, A; Brownstein, M J; Tuschl, T; Margalit, H&lt;/Author&gt;&lt;Year&gt;2005&lt;/Year&gt;&lt;Details&gt;&lt;_accession_num&gt;15891114&lt;/_accession_num&gt;&lt;_author_adr&gt;Department of Molecular Genetics and Biotechnology, Faculty of Medicine, The Hebrew University PO Box 12272, Jerusalem 91120, Israel.&lt;/_author_adr&gt;&lt;_date_display&gt;2005&lt;/_date_display&gt;&lt;_date&gt;2005-01-20&lt;/_date&gt;&lt;_doi&gt;10.1093/nar/gki567&lt;/_doi&gt;&lt;_isbn&gt;1362-4962 (Electronic); 0305-1048 (Linking)&lt;/_isbn&gt;&lt;_issue&gt;8&lt;/_issue&gt;&lt;_journal&gt;Nucleic Acids Res&lt;/_journal&gt;&lt;_language&gt;eng&lt;/_language&gt;&lt;_pages&gt;2697-706&lt;/_pages&gt;&lt;_subject_headings&gt;Base Sequence; Cell Line, Tumor; Chromosome Mapping; Cluster Analysis; Evolution, Molecular; Genome, Human; Humans; MicroRNAs/chemistry/*genetics&lt;/_subject_headings&gt;&lt;_tertiary_title&gt;Nucleic acids research&lt;/_tertiary_title&gt;&lt;_type_work&gt;Journal Article; Research Support, Non-U.S. Gov&amp;apos;t; Research Support, U.S. Gov&amp;apos;t, Non-P.H.S.&lt;/_type_work&gt;&lt;_url&gt;http://www.ncbi.nlm.nih.gov/entrez/query.fcgi?cmd=Retrieve&amp;amp;db=pubmed&amp;amp;dopt=Abstract&amp;amp;list_uids=15891114&amp;amp;query_hl=1&lt;/_url&gt;&lt;_volume&gt;33&lt;/_volume&gt;&lt;_created&gt;64494349&lt;/_created&gt;&lt;_modified&gt;64494349&lt;/_modified&gt;&lt;_db_updated&gt;PubMed&lt;/_db_updated&gt;&lt;_impact_factor&gt;  16.971&lt;/_impact_factor&gt;&lt;_collection_scope&gt;SCI;SCIE&lt;/_collection_scope&gt;&lt;/Details&gt;&lt;Extra&gt;&lt;DBUID&gt;{F96A950B-833F-4880-A151-76DA2D6A2879}&lt;/DBUID&gt;&lt;/Extra&gt;&lt;/Item&gt;&lt;/References&gt;&lt;/Group&gt;&lt;/Citation&gt;_x000a_"/>
    <w:docVar w:name="NE.Ref{4131ECED-8E05-4533-9FD4-F4B10BC0A071}" w:val=" ADDIN NE.Ref.{4131ECED-8E05-4533-9FD4-F4B10BC0A071}&lt;Citation&gt;&lt;Group&gt;&lt;References&gt;&lt;Item&gt;&lt;ID&gt;643&lt;/ID&gt;&lt;UID&gt;{1B870612-9F1C-4D5C-B116-83DE2F5D83A7}&lt;/UID&gt;&lt;Title&gt;Toward a Comprehensive View of MicroRNA Biology&lt;/Title&gt;&lt;Template&gt;Journal Article&lt;/Template&gt;&lt;Star&gt;0&lt;/Star&gt;&lt;Tag&gt;0&lt;/Tag&gt;&lt;Author&gt;Xiao, Y; MacRae, I J&lt;/Author&gt;&lt;Year&gt;2019&lt;/Year&gt;&lt;Details&gt;&lt;_accession_num&gt;31442421&lt;/_accession_num&gt;&lt;_author_adr&gt;Department of Integrative Structural and Computational Biology, The Scripps Research Institute, La Jolla, CA 92037, USA.; Department of Integrative Structural and Computational Biology, The Scripps Research Institute, La Jolla, CA 92037, USA. Electronic address: macrae@scripps.edu.&lt;/_author_adr&gt;&lt;_date_display&gt;2019 Aug 22&lt;/_date_display&gt;&lt;_date&gt;2019-08-22&lt;/_date&gt;&lt;_doi&gt;10.1016/j.molcel.2019.08.001&lt;/_doi&gt;&lt;_isbn&gt;1097-4164 (Electronic); 1097-2765 (Linking)&lt;/_isbn&gt;&lt;_issue&gt;4&lt;/_issue&gt;&lt;_journal&gt;Mol Cell&lt;/_journal&gt;&lt;_language&gt;eng&lt;/_language&gt;&lt;_ori_publication&gt;Copyright (c) 2019 Elsevier Inc. All rights reserved.&lt;/_ori_publication&gt;&lt;_pages&gt;666-668&lt;/_pages&gt;&lt;_subject_headings&gt;Computational Biology; *MicroRNAs&lt;/_subject_headings&gt;&lt;_tertiary_title&gt;Molecular cell&lt;/_tertiary_title&gt;&lt;_type_work&gt;Journal Article; Comment&lt;/_type_work&gt;&lt;_url&gt;http://www.ncbi.nlm.nih.gov/entrez/query.fcgi?cmd=Retrieve&amp;amp;db=pubmed&amp;amp;dopt=Abstract&amp;amp;list_uids=31442421&amp;amp;query_hl=1&lt;/_url&gt;&lt;_volume&gt;75&lt;/_volume&gt;&lt;_created&gt;64494266&lt;/_created&gt;&lt;_modified&gt;64494266&lt;/_modified&gt;&lt;_db_updated&gt;PubMed&lt;/_db_updated&gt;&lt;_impact_factor&gt;  17.970&lt;/_impact_factor&gt;&lt;_collection_scope&gt;SCI;SCIE&lt;/_collection_scope&gt;&lt;/Details&gt;&lt;Extra&gt;&lt;DBUID&gt;{F96A950B-833F-4880-A151-76DA2D6A2879}&lt;/DBUID&gt;&lt;/Extra&gt;&lt;/Item&gt;&lt;/References&gt;&lt;/Group&gt;&lt;/Citation&gt;_x000a_"/>
    <w:docVar w:name="NE.Ref{4C580D9E-A97A-4356-929E-24F03F912D1C}" w:val=" ADDIN NE.Ref.{4C580D9E-A97A-4356-929E-24F03F912D1C}&lt;Citation&gt;&lt;Group&gt;&lt;References&gt;&lt;Item&gt;&lt;ID&gt;652&lt;/ID&gt;&lt;UID&gt;{29C8E6D2-E674-4999-9AE8-68CEBF5709BC}&lt;/UID&gt;&lt;Title&gt;Long Non-Coding RNA MALAT1 Promotes Acute Cerebral Infarction Through miRNAs-Mediated hs-CRP Regulation&lt;/Title&gt;&lt;Template&gt;Journal Article&lt;/Template&gt;&lt;Star&gt;0&lt;/Star&gt;&lt;Tag&gt;0&lt;/Tag&gt;&lt;Author&gt;Teng, L; Meng, R&lt;/Author&gt;&lt;Year&gt;2019&lt;/Year&gt;&lt;Details&gt;&lt;_accession_num&gt;31342266&lt;/_accession_num&gt;&lt;_author_adr&gt;Department of Geriatric Medicine, Shanghai East Hospital, Tongji University School of Medicine, No. 150 Jimo Road, Pudong New Area, Shanghai, 200120, China.  tengli0812@126.com.; Central Laboratory, Shanghai Oriental Hospital, Tongji University School of Medicine, Shanghai, 200120, China.&lt;/_author_adr&gt;&lt;_date_display&gt;2019 Nov&lt;/_date_display&gt;&lt;_date&gt;2019-11-01&lt;/_date&gt;&lt;_doi&gt;10.1007/s12031-019-01384-y&lt;/_doi&gt;&lt;_isbn&gt;1559-1166 (Electronic); 0895-8696 (Linking)&lt;/_isbn&gt;&lt;_issue&gt;3&lt;/_issue&gt;&lt;_journal&gt;J Mol Neurosci&lt;/_journal&gt;&lt;_keywords&gt;Acute cerebral infarction; High-sensitivity C-reactive protein; Long-chain non-coding RNA; microRNAs&lt;/_keywords&gt;&lt;_language&gt;eng&lt;/_language&gt;&lt;_pages&gt;494-504&lt;/_pages&gt;&lt;_subject_headings&gt;3&amp;apos; Untranslated Regions; Acute Disease; Aged; Asians/genetics; Binding Sites; C-Reactive Protein/*biosynthesis/genetics; Cerebral Infarction/blood/*genetics; Comorbidity; Female; Gene Expression Regulation; Human Umbilical Vein Endothelial Cells; Humans; Male; MicroRNAs/biosynthesis/blood/*genetics; Middle Aged; Nerve Tissue Proteins/*biosynthesis/genetics; RNA Interference; RNA, Long Noncoding/blood/*genetics; RNA, Small Interfering/genetics; Risk Factors; Transfection; Up-Regulation&lt;/_subject_headings&gt;&lt;_tertiary_title&gt;Journal of molecular neuroscience : MN&lt;/_tertiary_title&gt;&lt;_type_work&gt;Journal Article&lt;/_type_work&gt;&lt;_url&gt;http://www.ncbi.nlm.nih.gov/entrez/query.fcgi?cmd=Retrieve&amp;amp;db=pubmed&amp;amp;dopt=Abstract&amp;amp;list_uids=31342266&amp;amp;query_hl=1&lt;/_url&gt;&lt;_volume&gt;69&lt;/_volume&gt;&lt;_created&gt;64495583&lt;/_created&gt;&lt;_modified&gt;64495583&lt;/_modified&gt;&lt;_db_updated&gt;PubMed&lt;/_db_updated&gt;&lt;_impact_factor&gt;   3.444&lt;/_impact_factor&gt;&lt;_collection_scope&gt;SCI;SCIE&lt;/_collection_scope&gt;&lt;/Details&gt;&lt;Extra&gt;&lt;DBUID&gt;{F96A950B-833F-4880-A151-76DA2D6A2879}&lt;/DBUID&gt;&lt;/Extra&gt;&lt;/Item&gt;&lt;/References&gt;&lt;/Group&gt;&lt;Group&gt;&lt;References&gt;&lt;Item&gt;&lt;ID&gt;655&lt;/ID&gt;&lt;UID&gt;{246E8DE0-5777-4B47-AA78-354B3A92A8DE}&lt;/UID&gt;&lt;Title&gt;A microRNA panel that regulates proinflammatory cytokines as diagnostic and prognosis biomarkers in colon cancer&lt;/Title&gt;&lt;Template&gt;Journal Article&lt;/Template&gt;&lt;Star&gt;0&lt;/Star&gt;&lt;Tag&gt;0&lt;/Tag&gt;&lt;Author&gt;Martinez-Gutierrez, A; Carbajal-Lopez, B; Bui, T M; Mendoza-Rodriguez, M; Campos-Parra, A D; Calderillo-Ruiz, G; Cantu-De, Leon D; Madrigal-Santillan, E O; Sumagin, R; Perez-Plasencia, C; Perez-Yepez, E A&lt;/Author&gt;&lt;Year&gt;2022&lt;/Year&gt;&lt;Details&gt;&lt;_accession_num&gt;35313644&lt;/_accession_num&gt;&lt;_author_adr&gt;Laboratorio de Genomica, Instituto Nacional de Cancerologia, Tlalpan, Mexico.; Laboratorio de Genomica, Instituto Nacional de Cancerologia, Tlalpan, Mexico.; Programa de Doctorado en Investigacion en Medicina, Escuela Superior de Medicina, Instituto Politecnico Nacional, Mexico.; Department of Pathology, Northwestern University Feinberg School of Medicine, 300 East Superior St., Chicago, IL, 60611, USA.; Unidad de Biomedicina, FES-Iztacala, Universidad Nacional Autonoma de Mexico, Tlalnepantla, Estado de Mexico, 54090, Mexico.; Laboratorio de Genomica, Instituto Nacional de Cancerologia, Tlalpan, Mexico.; Subdireccion de Medicina Interna, Instituto Nacional de Cancerologia, Tlalpan, Mexico.; Unidad de Investigacion en Cancer, Instituto Nacional de Cancerologia, Tlalpan, Mexico.; Laboratorio de Medicina de la Conservacion, Escuela Superior de Medicina, Instituto Politecnico Nacional, Ciudad de Mexico, 11340, Mexico.; Department of Pathology, Northwestern University Feinberg School of Medicine, 300 East Superior St., Chicago, IL, 60611, USA.; Laboratorio de Genomica, Instituto Nacional de Cancerologia, Tlalpan, Mexico.; Laboratorio de Genomica Funcional. Unidad de Biomedicina, FES-IZTACALA, UNAM, Tlalnepantla, Mexico.; Laboratorio de Genomica, Instituto Nacional de Cancerologia, Tlalpan, Mexico.; Catedra-CONACYT, Direccion de Catedras, Consejo Nacional de Ciencia y Tecnologia  (CONACYT), Mexico.&lt;/_author_adr&gt;&lt;_date_display&gt;2022 Jul&lt;/_date_display&gt;&lt;_date&gt;2022-07-01&lt;/_date&gt;&lt;_doi&gt;10.1016/j.bbrep.2022.101252&lt;/_doi&gt;&lt;_isbn&gt;2405-5808 (Electronic); 2405-5808 (Linking)&lt;/_isbn&gt;&lt;_journal&gt;Biochem Biophys Rep&lt;/_journal&gt;&lt;_keywords&gt;Biomarkers; Colon cancer; Computational assay; Proinflammatory cytokines&lt;/_keywords&gt;&lt;_language&gt;eng&lt;/_language&gt;&lt;_ori_publication&gt;(c) 2022 The Authors.&lt;/_ori_publication&gt;&lt;_pages&gt;101252&lt;/_pages&gt;&lt;_tertiary_title&gt;Biochemistry and biophysics reports&lt;/_tertiary_title&gt;&lt;_type_work&gt;Journal Article&lt;/_type_work&gt;&lt;_url&gt;http://www.ncbi.nlm.nih.gov/entrez/query.fcgi?cmd=Retrieve&amp;amp;db=pubmed&amp;amp;dopt=Abstract&amp;amp;list_uids=35313644&amp;amp;query_hl=1&lt;/_url&gt;&lt;_volume&gt;30&lt;/_volume&gt;&lt;_created&gt;64495590&lt;/_created&gt;&lt;_modified&gt;64495590&lt;/_modified&gt;&lt;_db_updated&gt;PubMed&lt;/_db_updated&gt;&lt;/Details&gt;&lt;Extra&gt;&lt;DBUID&gt;{F96A950B-833F-4880-A151-76DA2D6A2879}&lt;/DBUID&gt;&lt;/Extra&gt;&lt;/Item&gt;&lt;/References&gt;&lt;/Group&gt;&lt;Group&gt;&lt;References&gt;&lt;Item&gt;&lt;ID&gt;660&lt;/ID&gt;&lt;UID&gt;{22DA5A5F-940D-4B43-9245-AD0EB63E66C6}&lt;/UID&gt;&lt;Title&gt;LncRNA CASC15 Promotes Cerebral Ischemia/Reperfusion Injury via miR-338-3p/ETS1 Axis in Acute Ischemic Stroke&lt;/Title&gt;&lt;Template&gt;Journal Article&lt;/Template&gt;&lt;Star&gt;0&lt;/Star&gt;&lt;Tag&gt;0&lt;/Tag&gt;&lt;Author&gt;Chen, C; Wang, L; Wang, L; Liu, Q; Wang, C&lt;/Author&gt;&lt;Year&gt;2021&lt;/Year&gt;&lt;Details&gt;&lt;_accession_num&gt;34629895&lt;/_accession_num&gt;&lt;_author_adr&gt;Institute of Chinese Medicine, Heilongjiang University of Chinese Medicine, Harbin, 150040, People&amp;apos;s Republic of China.; Institute of Chinese Medicine, Heilongjiang University of Chinese Medicine, Harbin, 150040, People&amp;apos;s Republic of China.; Harbin Traditional Chinese Medicine Hospital, Harbin, 150076, People&amp;apos;s Republic of China.; Institute of Chinese Medicine, Heilongjiang University of Chinese Medicine, Harbin, 150040, People&amp;apos;s Republic of China.; Institute of Chinese Medicine, Heilongjiang University of Chinese Medicine, Harbin, 150040, People&amp;apos;s Republic of China.&lt;/_author_adr&gt;&lt;_created&gt;64495656&lt;/_created&gt;&lt;_date&gt;2021-01-20&lt;/_date&gt;&lt;_date_display&gt;2021&lt;/_date_display&gt;&lt;_db_updated&gt;PubMed&lt;/_db_updated&gt;&lt;_doi&gt;10.2147/IJGM.S323237&lt;/_doi&gt;&lt;_impact_factor&gt;   2.466&lt;/_impact_factor&gt;&lt;_isbn&gt;1178-7074 (Print); 1178-7074 (Linking)&lt;/_isbn&gt;&lt;_journal&gt;Int J Gen Med&lt;/_journal&gt;&lt;_keywords&gt;CASC15/miR-338-3p/ETS1; acute ischemic stroke; biomarker; inflammation&lt;/_keywords&gt;&lt;_language&gt;eng&lt;/_language&gt;&lt;_modified&gt;64495656&lt;/_modified&gt;&lt;_ori_publication&gt;(c) 2021 Chen et al.&lt;/_ori_publication&gt;&lt;_pages&gt;6305-6313&lt;/_pages&gt;&lt;_tertiary_title&gt;International journal of general medicine&lt;/_tertiary_title&gt;&lt;_type_work&gt;Journal Article&lt;/_type_work&gt;&lt;_url&gt;http://www.ncbi.nlm.nih.gov/entrez/query.fcgi?cmd=Retrieve&amp;amp;db=pubmed&amp;amp;dopt=Abstract&amp;amp;list_uids=34629895&amp;amp;query_hl=1&lt;/_url&gt;&lt;_volume&gt;14&lt;/_volume&gt;&lt;/Details&gt;&lt;Extra&gt;&lt;DBUID&gt;{F96A950B-833F-4880-A151-76DA2D6A2879}&lt;/DBUID&gt;&lt;/Extra&gt;&lt;/Item&gt;&lt;/References&gt;&lt;/Group&gt;&lt;/Citation&gt;_x000a_"/>
    <w:docVar w:name="NE.Ref{509604BC-0915-4B42-84E4-DF00A07AFCF7}" w:val=" ADDIN NE.Ref.{509604BC-0915-4B42-84E4-DF00A07AFCF7}&lt;Citation&gt;&lt;Group&gt;&lt;References&gt;&lt;Item&gt;&lt;ID&gt;653&lt;/ID&gt;&lt;UID&gt;{EA64489B-09CB-4824-8953-7BD49CAD1F83}&lt;/UID&gt;&lt;Title&gt;A long non-coding RNA, ELFN1-AS1, sponges miR-1250 to upregulate MTA1 to promote  cell proliferation, migration and invasion, and induce apoptosis in colorectal cancer&lt;/Title&gt;&lt;Template&gt;Journal Article&lt;/Template&gt;&lt;Star&gt;0&lt;/Star&gt;&lt;Tag&gt;0&lt;/Tag&gt;&lt;Author&gt;Zhai, L Q; Wang, X X; Qu, C X; Yang, L Z; Jia, C M; Shi, X C&lt;/Author&gt;&lt;Year&gt;2021&lt;/Year&gt;&lt;Details&gt;&lt;_accession_num&gt;34337713&lt;/_accession_num&gt;&lt;_author_adr&gt;Department of Pathology, Shanxi Provincial People&amp;apos;s Hospital, Taiyuan, Shanxi Province, China. LiqinZhai8080@163.com.&lt;/_author_adr&gt;&lt;_date_display&gt;2021 Jul&lt;/_date_display&gt;&lt;_date&gt;2021-07-01&lt;/_date&gt;&lt;_doi&gt;10.26355/eurrev_202107_26376&lt;/_doi&gt;&lt;_isbn&gt;2284-0729 (Electronic); 1128-3602 (Linking)&lt;/_isbn&gt;&lt;_issue&gt;14&lt;/_issue&gt;&lt;_journal&gt;Eur Rev Med Pharmacol Sci&lt;/_journal&gt;&lt;_language&gt;eng&lt;/_language&gt;&lt;_pages&gt;4655-4667&lt;/_pages&gt;&lt;_subject_headings&gt;*Apoptosis; Cell Movement; Cell Proliferation; Colorectal Neoplasms/*metabolism/pathology; Female; Humans; Male; MicroRNAs/genetics/*metabolism; Middle Aged; RNA, Long Noncoding/genetics/*metabolism; Repressor Proteins/genetics/*metabolism; Trans-Activators/genetics/*metabolism; Tumor Cells, Cultured; *Up-Regulation&lt;/_subject_headings&gt;&lt;_tertiary_title&gt;European review for medical and pharmacological sciences&lt;/_tertiary_title&gt;&lt;_type_work&gt;Journal Article&lt;/_type_work&gt;&lt;_url&gt;http://www.ncbi.nlm.nih.gov/entrez/query.fcgi?cmd=Retrieve&amp;amp;db=pubmed&amp;amp;dopt=Abstract&amp;amp;list_uids=34337713&amp;amp;query_hl=1&lt;/_url&gt;&lt;_volume&gt;25&lt;/_volume&gt;&lt;_created&gt;64495588&lt;/_created&gt;&lt;_modified&gt;64495588&lt;/_modified&gt;&lt;_db_updated&gt;PubMed&lt;/_db_updated&gt;&lt;_impact_factor&gt;   3.507&lt;/_impact_factor&gt;&lt;/Details&gt;&lt;Extra&gt;&lt;DBUID&gt;{F96A950B-833F-4880-A151-76DA2D6A2879}&lt;/DBUID&gt;&lt;/Extra&gt;&lt;/Item&gt;&lt;/References&gt;&lt;/Group&gt;&lt;/Citation&gt;_x000a_"/>
    <w:docVar w:name="NE.Ref{5182DCA7-021C-46F0-B90C-35E071669451}" w:val=" ADDIN NE.Ref.{5182DCA7-021C-46F0-B90C-35E071669451}&lt;Citation&gt;&lt;Group&gt;&lt;References&gt;&lt;Item&gt;&lt;ID&gt;656&lt;/ID&gt;&lt;UID&gt;{C59B861C-62FB-44A2-A89A-A9D66F448283}&lt;/UID&gt;&lt;Title&gt;miR-338-3p suppresses neuroblastoma proliferation, invasion and migration through targeting PREX2a&lt;/Title&gt;&lt;Template&gt;Journal Article&lt;/Template&gt;&lt;Star&gt;0&lt;/Star&gt;&lt;Tag&gt;0&lt;/Tag&gt;&lt;Author&gt;Chen, X; Pan, M; Han, L; Lu, H; Hao, X; Dong, Q&lt;/Author&gt;&lt;Year&gt;2013&lt;/Year&gt;&lt;Details&gt;&lt;_accession_num&gt;24140344&lt;/_accession_num&gt;&lt;_author_adr&gt;Department of Pediatric Surgery, The Affiliated Hospital of Medical College, Qingdao University, Qingdao, Shandong, China. Electronic address: brabus-cx@163.com.&lt;/_author_adr&gt;&lt;_date_display&gt;2013 Nov 15&lt;/_date_display&gt;&lt;_date&gt;2013-11-15&lt;/_date&gt;&lt;_doi&gt;10.1016/j.febslet.2013.09.044&lt;/_doi&gt;&lt;_isbn&gt;1873-3468 (Electronic); 0014-5793 (Linking)&lt;/_isbn&gt;&lt;_issue&gt;22&lt;/_issue&gt;&lt;_journal&gt;FEBS Lett&lt;/_journal&gt;&lt;_keywords&gt;AKT; Metastasis; Microarray; Neuroblastoma; PREX2a; PTEN; miR-338-3p&lt;/_keywords&gt;&lt;_language&gt;eng&lt;/_language&gt;&lt;_ori_publication&gt;Copyright (c) 2013 Federation of European Biochemical Societies. Published by_x000d__x000a_      Elsevier B.V. All rights reserved.&lt;/_ori_publication&gt;&lt;_pages&gt;3729-37&lt;/_pages&gt;&lt;_subject_headings&gt;3&amp;apos; Untranslated Regions; Base Sequence; Binding Sites; Cell Line, Tumor; *Cell Movement; *Cell Proliferation; Down-Regulation; Gene Expression Regulation, Neoplastic; Guanine Nucleotide Exchange Factors/*genetics/metabolism; Humans; MicroRNAs/*genetics/metabolism; Neoplasm Invasiveness; Neuroblastoma/genetics/*metabolism/secondary; PTEN Phosphohydrolase/metabolism; Proto-Oncogene Proteins c-akt/metabolism; RNA Interference; RNA, Messenger/genetics/metabolism; Signal Transduction&lt;/_subject_headings&gt;&lt;_tertiary_title&gt;FEBS letters&lt;/_tertiary_title&gt;&lt;_type_work&gt;Journal Article; Research Support, Non-U.S. Gov&amp;apos;t&lt;/_type_work&gt;&lt;_url&gt;http://www.ncbi.nlm.nih.gov/entrez/query.fcgi?cmd=Retrieve&amp;amp;db=pubmed&amp;amp;dopt=Abstract&amp;amp;list_uids=24140344&amp;amp;query_hl=1&lt;/_url&gt;&lt;_volume&gt;587&lt;/_volume&gt;&lt;_created&gt;64495643&lt;/_created&gt;&lt;_modified&gt;64495643&lt;/_modified&gt;&lt;_db_updated&gt;PubMed&lt;/_db_updated&gt;&lt;_impact_factor&gt;   4.124&lt;/_impact_factor&gt;&lt;_collection_scope&gt;SCI;SCIE&lt;/_collection_scope&gt;&lt;/Details&gt;&lt;Extra&gt;&lt;DBUID&gt;{F96A950B-833F-4880-A151-76DA2D6A2879}&lt;/DBUID&gt;&lt;/Extra&gt;&lt;/Item&gt;&lt;/References&gt;&lt;/Group&gt;&lt;/Citation&gt;_x000a_"/>
    <w:docVar w:name="NE.Ref{5604E829-DD6D-43C6-B630-E1B2C8F75F15}" w:val=" ADDIN NE.Ref.{5604E829-DD6D-43C6-B630-E1B2C8F75F15}&lt;Citation&gt;&lt;Group&gt;&lt;References&gt;&lt;Item&gt;&lt;ID&gt;664&lt;/ID&gt;&lt;UID&gt;{96DD281A-300B-4007-A919-E11444E02D36}&lt;/UID&gt;&lt;Title&gt;Downregulation of miR-338-3p alleviates neuronal ischemic injury by decreasing cPKCgamma-Mediated autophagy through the Akt/mTOR pathway&lt;/Title&gt;&lt;Template&gt;Journal Article&lt;/Template&gt;&lt;Star&gt;0&lt;/Star&gt;&lt;Tag&gt;0&lt;/Tag&gt;&lt;Author&gt;Wei, H; Peng, Z; Guo, J; Chen, L; Shao, K&lt;/Author&gt;&lt;Year&gt;2022&lt;/Year&gt;&lt;Details&gt;&lt;_accession_num&gt;35021067&lt;/_accession_num&gt;&lt;_author_adr&gt;Department of Neurology, Lanzhou University Second Hospital, Lanzhou, 730030, PR  China. Electronic address: haipingwei11@sina.com.; Department of Physiology, Medical School, Shanxi Datong University, Datong, 037009, PR China.; Department of Neurology, Lanzhou University Second Hospital, Lanzhou, 730030, PR  China.; Department of Neurology, Lanzhou University Second Hospital, Lanzhou, 730030, PR  China.; Department of Neurology, Lanzhou University Second Hospital, Lanzhou, 730030, PR  China.&lt;/_author_adr&gt;&lt;_date_display&gt;2022 Mar&lt;/_date_display&gt;&lt;_date&gt;2022-03-01&lt;/_date&gt;&lt;_doi&gt;10.1016/j.neuint.2022.105279&lt;/_doi&gt;&lt;_isbn&gt;1872-9754 (Electronic); 0197-0186 (Linking)&lt;/_isbn&gt;&lt;_journal&gt;Neurochem Int&lt;/_journal&gt;&lt;_keywords&gt;*Autophagy; *Conventional protein kinase cgamma; *Ischemic stroke; *Oxygen glucose deprivation /reoxgenation; *miR-338-3p&lt;/_keywords&gt;&lt;_language&gt;eng&lt;/_language&gt;&lt;_ori_publication&gt;Copyright (c) 2022. Published by Elsevier Ltd.&lt;/_ori_publication&gt;&lt;_pages&gt;105279&lt;/_pages&gt;&lt;_subject_headings&gt;Autophagy; Down-Regulation; Glucose/metabolism; Humans; Ischemia/metabolism; *MicroRNAs/genetics/metabolism; Neurons/metabolism; *Proto-Oncogene Proteins c-akt/metabolism; TOR Serine-Threonine Kinases/metabolism&lt;/_subject_headings&gt;&lt;_tertiary_title&gt;Neurochemistry international&lt;/_tertiary_title&gt;&lt;_type_work&gt;Journal Article; Research Support, Non-U.S. Gov&amp;apos;t&lt;/_type_work&gt;&lt;_url&gt;http://www.ncbi.nlm.nih.gov/entrez/query.fcgi?cmd=Retrieve&amp;amp;db=pubmed&amp;amp;dopt=Abstract&amp;amp;list_uids=35021067&amp;amp;query_hl=1&lt;/_url&gt;&lt;_volume&gt;154&lt;/_volume&gt;&lt;_created&gt;64495738&lt;/_created&gt;&lt;_modified&gt;64495738&lt;/_modified&gt;&lt;_db_updated&gt;PubMed&lt;/_db_updated&gt;&lt;_impact_factor&gt;   3.921&lt;/_impact_factor&gt;&lt;_collection_scope&gt;SCI;SCIE&lt;/_collection_scope&gt;&lt;/Details&gt;&lt;Extra&gt;&lt;DBUID&gt;{F96A950B-833F-4880-A151-76DA2D6A2879}&lt;/DBUID&gt;&lt;/Extra&gt;&lt;/Item&gt;&lt;/References&gt;&lt;/Group&gt;&lt;/Citation&gt;_x000a_"/>
    <w:docVar w:name="NE.Ref{593E32B2-3AC6-48BF-A89E-9DC85CACE2D7}" w:val=" ADDIN NE.Ref.{593E32B2-3AC6-48BF-A89E-9DC85CACE2D7}&lt;Citation&gt;&lt;Group&gt;&lt;References&gt;&lt;Item&gt;&lt;ID&gt;679&lt;/ID&gt;&lt;UID&gt;{5083C370-D3F0-4982-BFB1-5C1784D65BE0}&lt;/UID&gt;&lt;Title&gt;SLC gene mutations and pediatric neurological disorders: diverse clinical phenotypes in a Saudi Arabian population&lt;/Title&gt;&lt;Template&gt;Journal Article&lt;/Template&gt;&lt;Star&gt;0&lt;/Star&gt;&lt;Tag&gt;0&lt;/Tag&gt;&lt;Author&gt;Mir, A; Almudhry, M; Alghamdi, F; Albaradie, R; Ibrahim, M; Aldurayhim, F; Alhedaithy, A; Alamr, M; Bawazir, M; Mohammad, S; Abdelhay, S; Bashir, S; Housawi, Y&lt;/Author&gt;&lt;Year&gt;2022&lt;/Year&gt;&lt;Details&gt;&lt;_accession_num&gt;34797406&lt;/_accession_num&gt;&lt;_author_adr&gt;Department of Pediatric Neurology, Neuroscience Center, King Fahad Specialist Hospital, Ammar Bin Thabit Street, Dammam, 31444, Kingdom of Saudi Arabia. ali.mir@kfsh.med.s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Genetic and Metabolic Department, King Fahad Specialist Hospital, Dammam, Kingdom of Saudi Arabia.; Genetic and Metabolic Department, King Fahad Specialist Hospital, Dammam, Kingdom of Saudi Arabia.; Department of Pediatric, King Fahad Specialist Hospital, Dammam, Kingdom of Saudi Arabia.; Department of Pediatric, King Fahad Specialist Hospital, Dammam, Kingdom of Saudi Arabia.; Department of Pediatric Neurology, Neuroscience Center, King Fahad Specialist Hospital, Ammar Bin Thabit Street, Dammam, 31444, Kingdom of Saudi Arabia.; Genetic and Metabolic Department, King Fahad Specialist Hospital, Dammam, Kingdom of Saudi Arabia.&lt;/_author_adr&gt;&lt;_date_display&gt;2022 Jan&lt;/_date_display&gt;&lt;_date&gt;2022-01-01&lt;/_date&gt;&lt;_doi&gt;10.1007/s00439-021-02404-x&lt;/_doi&gt;&lt;_isbn&gt;1432-1203 (Electronic); 0340-6717 (Linking)&lt;/_isbn&gt;&lt;_issue&gt;1&lt;/_issue&gt;&lt;_journal&gt;Hum Genet&lt;/_journal&gt;&lt;_language&gt;eng&lt;/_language&gt;&lt;_ori_publication&gt;(c) 2021. The Author(s), under exclusive licence to Springer-Verlag GmbH Germany,_x000d__x000a_      part of Springer Nature.&lt;/_ori_publication&gt;&lt;_pages&gt;81-99&lt;/_pages&gt;&lt;_subject_headings&gt;Adolescent; Asians/genetics; Autism Spectrum Disorder/*genetics; Brain/metabolism; Bulbar Palsy, Progressive/genetics; Child; Child, Preschool; Epilepsy/*genetics; Female; *Genetic Predisposition to Disease; Hearing Loss, Sensorineural/genetics; Humans; Infant; Intellectual Disability/*genetics; Male; Membrane Transport Proteins/genetics; Mutation; Phenotype; Saudi Arabia; Solute Carrier Proteins/*genetics&lt;/_subject_headings&gt;&lt;_tertiary_title&gt;Human genetics&lt;/_tertiary_title&gt;&lt;_type_work&gt;Journal Article&lt;/_type_work&gt;&lt;_url&gt;http://www.ncbi.nlm.nih.gov/entrez/query.fcgi?cmd=Retrieve&amp;amp;db=pubmed&amp;amp;dopt=Abstract&amp;amp;list_uids=34797406&amp;amp;query_hl=1&lt;/_url&gt;&lt;_volume&gt;141&lt;/_volume&gt;&lt;_created&gt;64495814&lt;/_created&gt;&lt;_modified&gt;64495814&lt;/_modified&gt;&lt;_db_updated&gt;PubMed&lt;/_db_updated&gt;&lt;_impact_factor&gt;   4.132&lt;/_impact_factor&gt;&lt;_collection_scope&gt;SCI;SCIE&lt;/_collection_scope&gt;&lt;/Details&gt;&lt;Extra&gt;&lt;DBUID&gt;{F96A950B-833F-4880-A151-76DA2D6A2879}&lt;/DBUID&gt;&lt;/Extra&gt;&lt;/Item&gt;&lt;/References&gt;&lt;/Group&gt;&lt;/Citation&gt;_x000a_"/>
    <w:docVar w:name="NE.Ref{5CAE3BFE-6C0F-4016-B072-BBD12E07BC74}" w:val=" ADDIN NE.Ref.{5CAE3BFE-6C0F-4016-B072-BBD12E07BC74}&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5F2CB213-1591-4903-A3FA-2C2FCFA7E2E3}" w:val=" ADDIN NE.Ref.{5F2CB213-1591-4903-A3FA-2C2FCFA7E2E3}"/>
    <w:docVar w:name="NE.Ref{617F17A0-C5AB-487D-99EC-64ADBD99E18E}" w:val=" ADDIN NE.Ref.{617F17A0-C5AB-487D-99EC-64ADBD99E18E}&lt;Citation&gt;&lt;Group&gt;&lt;References&gt;&lt;Item&gt;&lt;ID&gt;753&lt;/ID&gt;&lt;UID&gt;{0ADC2DDE-E25D-4E57-AA8D-5E579AA07FC7}&lt;/UID&gt;&lt;Title&gt;Exosomal miR-128-3p reversed fibrinogen-mediated inhibition of oligodendrocyte  progenitor cell differentiation and remyelination after cerebral ischemia&lt;/Title&gt;&lt;Template&gt;Journal Article&lt;/Template&gt;&lt;Star&gt;0&lt;/Star&gt;&lt;Tag&gt;0&lt;/Tag&gt;&lt;Author&gt;Hou, H; Wang, Y; Yang, L; Wang, Y&lt;/Author&gt;&lt;Year&gt;2023&lt;/Year&gt;&lt;Details&gt;&lt;_accession_num&gt;36756722&lt;/_accession_num&gt;&lt;_author_adr&gt;Department of Neurology, Beijing Tiantan Hospital, Capital Medical University,  Beijing, China.; Department of Neurology, the Second Hospital of Hebei Medical University,  Shijiazhuang, China.; China National Clinical Research Center for Neurological Diseases, Beijing,  China.; Research Unit of Artificial Intelligence in Cerebrovascular Disease, Chinese  Academy of Medical Sciences, Beijing, China.; Center for Excellence in Brain Science and Intelligence Technology, Chinese  Academy of Sciences, Beijing, China.; Department of Neurology, the Second Hospital of Hebei Medical University,  Shijiazhuang, China.; Department of Neurology, the Second Hospital of Hebei Medical University,  Shijiazhuang, China.; Department of Neurology, Beijing Tiantan Hospital, Capital Medical University,  Beijing, China.; China National Clinical Research Center for Neurological Diseases, Beijing,  China.; Research Unit of Artificial Intelligence in Cerebrovascular Disease, Chinese  Academy of Medical Sciences, Beijing, China.; Center for Excellence in Brain Science and Intelligence Technology, Chinese  Academy of Sciences, Beijing, China.&lt;/_author_adr&gt;&lt;_date_display&gt;2023 Feb 8&lt;/_date_display&gt;&lt;_date&gt;2023-02-08&lt;/_date&gt;&lt;_doi&gt;10.1111/cns.14113&lt;/_doi&gt;&lt;_isbn&gt;1755-5949 (Electronic); 1755-5930 (Linking)&lt;/_isbn&gt;&lt;_journal&gt;CNS Neurosci Ther&lt;/_journal&gt;&lt;_keywords&gt;exosome; fibrinogen; microRNA; oligodendrocyte progenitor cell; stroke&lt;/_keywords&gt;&lt;_language&gt;eng&lt;/_language&gt;&lt;_ori_publication&gt;(c) 2023 The Authors. CNS Neuroscience &amp;amp; Therapeutics published by John Wiley &amp;amp; _x000d__x000a_      Sons Ltd.&lt;/_ori_publication&gt;&lt;_tertiary_title&gt;CNS neuroscience &amp;amp; therapeutics&lt;/_tertiary_title&gt;&lt;_type_work&gt;Journal Article&lt;/_type_work&gt;&lt;_url&gt;http://www.ncbi.nlm.nih.gov/entrez/query.fcgi?cmd=Retrieve&amp;amp;db=pubmed&amp;amp;dopt=Abstract&amp;amp;list_uids=36756722&amp;amp;query_hl=1&lt;/_url&gt;&lt;_created&gt;64825531&lt;/_created&gt;&lt;_modified&gt;64825531&lt;/_modified&gt;&lt;_db_updated&gt;PubMed&lt;/_db_updated&gt;&lt;_impact_factor&gt;   5.243&lt;/_impact_factor&gt;&lt;_collection_scope&gt;SCIE&lt;/_collection_scope&gt;&lt;/Details&gt;&lt;Extra&gt;&lt;DBUID&gt;{F96A950B-833F-4880-A151-76DA2D6A2879}&lt;/DBUID&gt;&lt;/Extra&gt;&lt;/Item&gt;&lt;/References&gt;&lt;/Group&gt;&lt;/Citation&gt;_x000a_"/>
    <w:docVar w:name="NE.Ref{6AD2CC2F-C828-44ED-88D4-E282AB23BDF4}" w:val=" ADDIN NE.Ref.{6AD2CC2F-C828-44ED-88D4-E282AB23BDF4}&lt;Citation&gt;&lt;Group&gt;&lt;References&gt;&lt;Item&gt;&lt;ID&gt;659&lt;/ID&gt;&lt;UID&gt;{BA82F364-4D90-4BF4-9D25-DD70D65BF078}&lt;/UID&gt;&lt;Title&gt;Calmodulin 2 Facilitates Angiogenesis and Metastasis of Gastric Cancer via STAT3/HIF-1A/VEGF-A Mediated Macrophage Polarization&lt;/Title&gt;&lt;Template&gt;Journal Article&lt;/Template&gt;&lt;Star&gt;0&lt;/Star&gt;&lt;Tag&gt;0&lt;/Tag&gt;&lt;Author&gt;Mu, G; Zhu, Y; Dong, Z; Shi, L; Deng, Y; Li, H&lt;/Author&gt;&lt;Year&gt;2021&lt;/Year&gt;&lt;Details&gt;&lt;_accession_num&gt;34604066&lt;/_accession_num&gt;&lt;_author_adr&gt;Department of Gastroenterology, Renmin Hospital of Wuhan University, Wuhan, China.; Key Laboratory of Hubei Province for Digestive System Disease, Renmin Hospital of Wuhan University, Wuhan, China.; Department of Gastroenterology, Renmin Hospital of Wuhan University, Wuhan, China.; Key Laboratory of Hubei Province for Digestive System Disease, Renmin Hospital of Wuhan University, Wuhan, China.; Department of Nephrology, Renmin Hospital of Wuhan University, Wuhan, China.; Department of Gastroenterology, Renmin Hospital of Wuhan University, Wuhan, China.; Key Laboratory of Hubei Province for Digestive System Disease, Renmin Hospital of Wuhan University, Wuhan, China.; Department of Gastroenterology, Renmin Hospital of Wuhan University, Wuhan, China.; Key Laboratory of Hubei Province for Digestive System Disease, Renmin Hospital of Wuhan University, Wuhan, China.; Department of Gastroenterology, Renmin Hospital of Wuhan University, Wuhan, China.; Key Laboratory of Hubei Province for Digestive System Disease, Renmin Hospital of Wuhan University, Wuhan, China.&lt;/_author_adr&gt;&lt;_date_display&gt;2021&lt;/_date_display&gt;&lt;_date&gt;2021-01-20&lt;/_date&gt;&lt;_doi&gt;10.3389/fonc.2021.727306&lt;/_doi&gt;&lt;_isbn&gt;2234-943X (Print); 2234-943X (Linking)&lt;/_isbn&gt;&lt;_journal&gt;Front Oncol&lt;/_journal&gt;&lt;_keywords&gt;angiogenesis; calmodulin 2; cancer; gastric cancer; tumor-associated macrophages&lt;/_keywords&gt;&lt;_language&gt;eng&lt;/_language&gt;&lt;_ori_publication&gt;Copyright (c) 2021 Mu, Zhu, Dong, Shi, Deng and Li.&lt;/_ori_publication&gt;&lt;_pages&gt;727306&lt;/_pages&gt;&lt;_tertiary_title&gt;Frontiers in oncology&lt;/_tertiary_title&gt;&lt;_type_work&gt;Journal Article&lt;/_type_work&gt;&lt;_url&gt;http://www.ncbi.nlm.nih.gov/entrez/query.fcgi?cmd=Retrieve&amp;amp;db=pubmed&amp;amp;dopt=Abstract&amp;amp;list_uids=34604066&amp;amp;query_hl=1&lt;/_url&gt;&lt;_volume&gt;11&lt;/_volume&gt;&lt;_created&gt;64495649&lt;/_created&gt;&lt;_modified&gt;64495649&lt;/_modified&gt;&lt;_db_updated&gt;PubMed&lt;/_db_updated&gt;&lt;_impact_factor&gt;   6.244&lt;/_impact_factor&gt;&lt;_collection_scope&gt;SCIE&lt;/_collection_scope&gt;&lt;/Details&gt;&lt;Extra&gt;&lt;DBUID&gt;{F96A950B-833F-4880-A151-76DA2D6A2879}&lt;/DBUID&gt;&lt;/Extra&gt;&lt;/Item&gt;&lt;/References&gt;&lt;/Group&gt;&lt;/Citation&gt;_x000a_"/>
    <w:docVar w:name="NE.Ref{6CDF5359-A6C6-454C-823F-5BD71E38F125}" w:val=" ADDIN NE.Ref.{6CDF5359-A6C6-454C-823F-5BD71E38F125}&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6E96D930-EAFC-4033-9EAF-95B8993D6CFB}" w:val=" ADDIN NE.Ref.{6E96D930-EAFC-4033-9EAF-95B8993D6CFB}&lt;Citation&gt;&lt;Group&gt;&lt;References&gt;&lt;Item&gt;&lt;ID&gt;663&lt;/ID&gt;&lt;UID&gt;{99B4DAA5-F8F5-42DD-A43F-55C9FD048607}&lt;/UID&gt;&lt;Title&gt;MicroRNA let-7e Is a Potential Circulating Biomarker of Acute Stage Ischemic Stroke&lt;/Title&gt;&lt;Template&gt;Journal Article&lt;/Template&gt;&lt;Star&gt;0&lt;/Star&gt;&lt;Tag&gt;0&lt;/Tag&gt;&lt;Author&gt;Peng, G; Yuan, Y; Wu, S; He, F; Hu, Y; Luo, B&lt;/Author&gt;&lt;Year&gt;2015&lt;/Year&gt;&lt;Details&gt;&lt;_accession_num&gt;26415639&lt;/_accession_num&gt;&lt;_author_adr&gt;Department of Neurology, First Affiliated Hospital, Zhejiang University, 79 Qingchun Road, Hangzhou, 310003, People&amp;apos;s Republic of China.; Laboratory of Brain Medical Center, First Affiliated Hospital, Zhejiang University, 79 Qingchun Road, Hangzhou, 310003, China.; Department of Neurology, First Affiliated Hospital, Zhejiang University, 79 Qingchun Road, Hangzhou, 310003, People&amp;apos;s Republic of China.; National Key Laboratory of Diagnosis and Treatment for Infectious Diseases, First Affiliated Hospital, Zhejiang University, 79 Qingchun Road, Hangzhou, 310003, China.; Laboratory of Brain Medical Center, First Affiliated Hospital, Zhejiang University, 79 Qingchun Road, Hangzhou, 310003, China.; Department of Neurology, First Affiliated Hospital, Zhejiang University, 79 Qingchun Road, Hangzhou, 310003, People&amp;apos;s Republic of China.; Department of Neurology, First Affiliated Hospital, Zhejiang University, 79 Qingchun Road, Hangzhou, 310003, People&amp;apos;s Republic of China. luobenyan@zju.edu.cn.; Laboratory of Brain Medical Center, First Affiliated Hospital, Zhejiang University, 79 Qingchun Road, Hangzhou, 310003, China. luobenyan@zju.edu.cn.&lt;/_author_adr&gt;&lt;_date_display&gt;2015 Dec&lt;/_date_display&gt;&lt;_date&gt;2015-12-01&lt;/_date&gt;&lt;_doi&gt;10.1007/s12975-015-0422-x&lt;/_doi&gt;&lt;_isbn&gt;1868-601X (Electronic); 1868-4483 (Linking)&lt;/_isbn&gt;&lt;_issue&gt;6&lt;/_issue&gt;&lt;_journal&gt;Transl Stroke Res&lt;/_journal&gt;&lt;_keywords&gt;Acute stage; Circulating biomarker; Ischemic stroke; Let-7e; MicroRNA-338&lt;/_keywords&gt;&lt;_language&gt;eng&lt;/_language&gt;&lt;_pages&gt;437-45&lt;/_pages&gt;&lt;_subject_headings&gt;Aged; Biomarkers/blood/cerebrospinal fluid; Brain Ischemia/blood/cerebrospinal fluid/*metabolism; Female; Humans; Male; MicroRNAs/blood/cerebrospinal fluid/*metabolism; Middle Aged; Stroke/blood/cerebrospinal fluid/*metabolism&lt;/_subject_headings&gt;&lt;_tertiary_title&gt;Translational stroke research&lt;/_tertiary_title&gt;&lt;_type_work&gt;Journal Article; Research Support, Non-U.S. Gov&amp;apos;t&lt;/_type_work&gt;&lt;_url&gt;http://www.ncbi.nlm.nih.gov/entrez/query.fcgi?cmd=Retrieve&amp;amp;db=pubmed&amp;amp;dopt=Abstract&amp;amp;list_uids=26415639&amp;amp;query_hl=1&lt;/_url&gt;&lt;_volume&gt;6&lt;/_volume&gt;&lt;_created&gt;64495735&lt;/_created&gt;&lt;_modified&gt;64495735&lt;/_modified&gt;&lt;_db_updated&gt;PubMed&lt;/_db_updated&gt;&lt;_impact_factor&gt;   6.829&lt;/_impact_factor&gt;&lt;_collection_scope&gt;SCIE&lt;/_collection_scope&gt;&lt;/Details&gt;&lt;Extra&gt;&lt;DBUID&gt;{F96A950B-833F-4880-A151-76DA2D6A2879}&lt;/DBUID&gt;&lt;/Extra&gt;&lt;/Item&gt;&lt;/References&gt;&lt;/Group&gt;&lt;/Citation&gt;_x000a_"/>
    <w:docVar w:name="NE.Ref{7868B76C-7D6B-401C-B3AE-DF9CE8EB2E33}" w:val=" ADDIN NE.Ref.{7868B76C-7D6B-401C-B3AE-DF9CE8EB2E33}&lt;Citation&gt;&lt;Group&gt;&lt;References&gt;&lt;Item&gt;&lt;ID&gt;755&lt;/ID&gt;&lt;UID&gt;{B72F8921-CD40-44A4-BFB5-457CD9D965B4}&lt;/UID&gt;&lt;Title&gt;Downregulation of miR-338-3p alleviates neuronal ischemic injury by decreasing  cPKCgamma-Mediated autophagy through the Akt/mTOR pathway&lt;/Title&gt;&lt;Template&gt;Journal Article&lt;/Template&gt;&lt;Star&gt;0&lt;/Star&gt;&lt;Tag&gt;0&lt;/Tag&gt;&lt;Author&gt;Wei, H; Peng, Z; Guo, J; Chen, L; Shao, K&lt;/Author&gt;&lt;Year&gt;2022&lt;/Year&gt;&lt;Details&gt;&lt;_accession_num&gt;35021067&lt;/_accession_num&gt;&lt;_author_adr&gt;Department of Neurology, Lanzhou University Second Hospital, Lanzhou, 730030, PR  China. Electronic address: haipingwei11@sina.com.; Department of Physiology, Medical School, Shanxi Datong University, Datong,  037009, PR China.; Department of Neurology, Lanzhou University Second Hospital, Lanzhou, 730030, PR  China.; Department of Neurology, Lanzhou University Second Hospital, Lanzhou, 730030, PR  China.; Department of Neurology, Lanzhou University Second Hospital, Lanzhou, 730030, PR  China.&lt;/_author_adr&gt;&lt;_date_display&gt;2022 Mar&lt;/_date_display&gt;&lt;_date&gt;2022-03-01&lt;/_date&gt;&lt;_doi&gt;10.1016/j.neuint.2022.105279&lt;/_doi&gt;&lt;_isbn&gt;1872-9754 (Electronic); 0197-0186 (Linking)&lt;/_isbn&gt;&lt;_journal&gt;Neurochem Int&lt;/_journal&gt;&lt;_keywords&gt;Autophagy; Conventional protein kinase cgamma; Ischemic stroke; Oxygen glucose deprivation /reoxgenation; miR-338-3p&lt;/_keywords&gt;&lt;_language&gt;eng&lt;/_language&gt;&lt;_ori_publication&gt;Copyright (c) 2022. Published by Elsevier Ltd.&lt;/_ori_publication&gt;&lt;_pages&gt;105279&lt;/_pages&gt;&lt;_subject_headings&gt;Autophagy; Down-Regulation; Glucose/metabolism; Humans; Ischemia/metabolism; *MicroRNAs/genetics/metabolism; Neurons/metabolism; *Proto-Oncogene Proteins c-akt/metabolism; TOR Serine-Threonine Kinases/metabolism&lt;/_subject_headings&gt;&lt;_tertiary_title&gt;Neurochemistry international&lt;/_tertiary_title&gt;&lt;_type_work&gt;Journal Article; Research Support, Non-U.S. Gov&amp;apos;t&lt;/_type_work&gt;&lt;_url&gt;http://www.ncbi.nlm.nih.gov/entrez/query.fcgi?cmd=Retrieve&amp;amp;db=pubmed&amp;amp;dopt=Abstract&amp;amp;list_uids=35021067&amp;amp;query_hl=1&lt;/_url&gt;&lt;_volume&gt;154&lt;/_volume&gt;&lt;_created&gt;64826692&lt;/_created&gt;&lt;_modified&gt;64826693&lt;/_modified&gt;&lt;_db_updated&gt;PubMed&lt;/_db_updated&gt;&lt;_impact_factor&gt;   3.921&lt;/_impact_factor&gt;&lt;_collection_scope&gt;SCI;SCIE&lt;/_collection_scope&gt;&lt;/Details&gt;&lt;Extra&gt;&lt;DBUID&gt;{F96A950B-833F-4880-A151-76DA2D6A2879}&lt;/DBUID&gt;&lt;/Extra&gt;&lt;/Item&gt;&lt;/References&gt;&lt;/Group&gt;&lt;Group&gt;&lt;References&gt;&lt;Item&gt;&lt;ID&gt;759&lt;/ID&gt;&lt;UID&gt;{635C0888-A703-44AF-8140-9E2E52180512}&lt;/UID&gt;&lt;Title&gt;Long Non-Coding RNA MALAT1 Promotes Acute Cerebral Infarction Through  miRNAs-Mediated hs-CRP Regulation&lt;/Title&gt;&lt;Template&gt;Journal Article&lt;/Template&gt;&lt;Star&gt;0&lt;/Star&gt;&lt;Tag&gt;0&lt;/Tag&gt;&lt;Author&gt;Teng, L; Meng, R&lt;/Author&gt;&lt;Year&gt;2019&lt;/Year&gt;&lt;Details&gt;&lt;_accession_num&gt;31342266&lt;/_accession_num&gt;&lt;_author_adr&gt;Department of Geriatric Medicine, Shanghai East Hospital, Tongji University  School of Medicine, No. 150 Jimo Road, Pudong New Area, Shanghai, 200120, China.  tengli0812@126.com.; Central Laboratory, Shanghai Oriental Hospital, Tongji University School of  Medicine, Shanghai, 200120, China.&lt;/_author_adr&gt;&lt;_date_display&gt;2019 Nov&lt;/_date_display&gt;&lt;_date&gt;2019-11-01&lt;/_date&gt;&lt;_doi&gt;10.1007/s12031-019-01384-y&lt;/_doi&gt;&lt;_isbn&gt;1559-1166 (Electronic); 0895-8696 (Linking)&lt;/_isbn&gt;&lt;_issue&gt;3&lt;/_issue&gt;&lt;_journal&gt;J Mol Neurosci&lt;/_journal&gt;&lt;_keywords&gt;Acute cerebral infarction; High-sensitivity C-reactive protein; Long-chain non-coding RNA; microRNAs&lt;/_keywords&gt;&lt;_language&gt;eng&lt;/_language&gt;&lt;_pages&gt;494-504&lt;/_pages&gt;&lt;_subject_headings&gt;3&amp;apos; Untranslated Regions; Acute Disease; Aged; Asian People/genetics; Binding Sites; C-Reactive Protein/*biosynthesis/genetics; Cerebral Infarction/blood/*genetics; Comorbidity; Female; Gene Expression Regulation; Human Umbilical Vein Endothelial Cells; Humans; Male; MicroRNAs/biosynthesis/blood/*genetics; Middle Aged; Nerve Tissue Proteins/*biosynthesis/genetics; RNA Interference; RNA, Long Noncoding/blood/*genetics; RNA, Small Interfering/genetics; Risk Factors; Transfection; Up-Regulation&lt;/_subject_headings&gt;&lt;_tertiary_title&gt;Journal of molecular neuroscience : MN&lt;/_tertiary_title&gt;&lt;_type_work&gt;Journal Article&lt;/_type_work&gt;&lt;_url&gt;http://www.ncbi.nlm.nih.gov/entrez/query.fcgi?cmd=Retrieve&amp;amp;db=pubmed&amp;amp;dopt=Abstract&amp;amp;list_uids=31342266&amp;amp;query_hl=1&lt;/_url&gt;&lt;_volume&gt;69&lt;/_volume&gt;&lt;_created&gt;64828284&lt;/_created&gt;&lt;_modified&gt;64828284&lt;/_modified&gt;&lt;_db_updated&gt;PubMed&lt;/_db_updated&gt;&lt;_impact_factor&gt;   3.444&lt;/_impact_factor&gt;&lt;_collection_scope&gt;SCI;SCIE&lt;/_collection_scope&gt;&lt;/Details&gt;&lt;Extra&gt;&lt;DBUID&gt;{F96A950B-833F-4880-A151-76DA2D6A2879}&lt;/DBUID&gt;&lt;/Extra&gt;&lt;/Item&gt;&lt;/References&gt;&lt;/Group&gt;&lt;/Citation&gt;_x000a_"/>
    <w:docVar w:name="NE.Ref{7A8C183D-DD86-4BE1-84CD-6A317CC71069}" w:val=" ADDIN NE.Ref.{7A8C183D-DD86-4BE1-84CD-6A317CC71069}&lt;Citation&gt;&lt;Group&gt;&lt;References&gt;&lt;Item&gt;&lt;ID&gt;660&lt;/ID&gt;&lt;UID&gt;{22DA5A5F-940D-4B43-9245-AD0EB63E66C6}&lt;/UID&gt;&lt;Title&gt;LncRNA CASC15 Promotes Cerebral Ischemia/Reperfusion Injury via miR-338-3p/ETS1 Axis in Acute Ischemic Stroke&lt;/Title&gt;&lt;Template&gt;Journal Article&lt;/Template&gt;&lt;Star&gt;0&lt;/Star&gt;&lt;Tag&gt;0&lt;/Tag&gt;&lt;Author&gt;Chen, C; Wang, L; Wang, L; Liu, Q; Wang, C&lt;/Author&gt;&lt;Year&gt;2021&lt;/Year&gt;&lt;Details&gt;&lt;_accession_num&gt;34629895&lt;/_accession_num&gt;&lt;_author_adr&gt;Institute of Chinese Medicine, Heilongjiang University of Chinese Medicine, Harbin, 150040, People&amp;apos;s Republic of China.; Institute of Chinese Medicine, Heilongjiang University of Chinese Medicine, Harbin, 150040, People&amp;apos;s Republic of China.; Harbin Traditional Chinese Medicine Hospital, Harbin, 150076, People&amp;apos;s Republic of China.; Institute of Chinese Medicine, Heilongjiang University of Chinese Medicine, Harbin, 150040, People&amp;apos;s Republic of China.; Institute of Chinese Medicine, Heilongjiang University of Chinese Medicine, Harbin, 150040, People&amp;apos;s Republic of China.&lt;/_author_adr&gt;&lt;_created&gt;64495656&lt;/_created&gt;&lt;_date&gt;2021-01-20&lt;/_date&gt;&lt;_date_display&gt;2021&lt;/_date_display&gt;&lt;_db_updated&gt;PubMed&lt;/_db_updated&gt;&lt;_doi&gt;10.2147/IJGM.S323237&lt;/_doi&gt;&lt;_impact_factor&gt;   2.466&lt;/_impact_factor&gt;&lt;_isbn&gt;1178-7074 (Print); 1178-7074 (Linking)&lt;/_isbn&gt;&lt;_journal&gt;Int J Gen Med&lt;/_journal&gt;&lt;_keywords&gt;CASC15/miR-338-3p/ETS1; acute ischemic stroke; biomarker; inflammation&lt;/_keywords&gt;&lt;_language&gt;eng&lt;/_language&gt;&lt;_modified&gt;64495656&lt;/_modified&gt;&lt;_ori_publication&gt;(c) 2021 Chen et al.&lt;/_ori_publication&gt;&lt;_pages&gt;6305-6313&lt;/_pages&gt;&lt;_tertiary_title&gt;International journal of general medicine&lt;/_tertiary_title&gt;&lt;_type_work&gt;Journal Article&lt;/_type_work&gt;&lt;_url&gt;http://www.ncbi.nlm.nih.gov/entrez/query.fcgi?cmd=Retrieve&amp;amp;db=pubmed&amp;amp;dopt=Abstract&amp;amp;list_uids=34629895&amp;amp;query_hl=1&lt;/_url&gt;&lt;_volume&gt;14&lt;/_volume&gt;&lt;/Details&gt;&lt;Extra&gt;&lt;DBUID&gt;{F96A950B-833F-4880-A151-76DA2D6A2879}&lt;/DBUID&gt;&lt;/Extra&gt;&lt;/Item&gt;&lt;/References&gt;&lt;/Group&gt;&lt;/Citation&gt;_x000a_"/>
    <w:docVar w:name="NE.Ref{88FD58F2-D803-460D-9E69-E40F63D9F22F}" w:val=" ADDIN NE.Ref.{88FD58F2-D803-460D-9E69-E40F63D9F22F}&lt;Citation&gt;&lt;Group&gt;&lt;References&gt;&lt;Item&gt;&lt;ID&gt;669&lt;/ID&gt;&lt;UID&gt;{72E17CDB-1C1E-4EA7-9A97-B8D0AE751480}&lt;/UID&gt;&lt;Title&gt;Identification of microRNAs and their target genes in the placenta as biomarkers  of inflammation&lt;/Title&gt;&lt;Template&gt;Journal Article&lt;/Template&gt;&lt;Star&gt;0&lt;/Star&gt;&lt;Tag&gt;0&lt;/Tag&gt;&lt;Author&gt;Jang, H Y; Lim, S M; Lee, H J; Hong, J S; Kim, G J&lt;/Author&gt;&lt;Year&gt;2020&lt;/Year&gt;&lt;Details&gt;&lt;_accession_num&gt;32146774&lt;/_accession_num&gt;&lt;_author_adr&gt;Department of Biomedical Science, CHA University, Seongnam, Korea.; Department of Biomedical Science, CHA University, Seongnam, Korea.; Non-Clinical Evaluation Center, CHA Advanced Research Institute, Seongnam, Korea.; Department of Obstetrics and Gynecology, Seoul National University Bundang Hospital, Seongnam, Korea.; Department of Biomedical Science, CHA University, Seongnam, Korea.&lt;/_author_adr&gt;&lt;_date_display&gt;2020 Mar&lt;/_date_display&gt;&lt;_date&gt;2020-03-01&lt;/_date&gt;&lt;_doi&gt;10.5653/cerm.2019.03013&lt;/_doi&gt;&lt;_isbn&gt;2233-8233 (Print); 2093-8896 (Linking)&lt;/_isbn&gt;&lt;_issue&gt;1&lt;/_issue&gt;&lt;_journal&gt;Clin Exp Reprod Med&lt;/_journal&gt;&lt;_keywords&gt;CD44; Microarray; Preterm labor; miR-373-3p&lt;/_keywords&gt;&lt;_language&gt;eng&lt;/_language&gt;&lt;_pages&gt;42-53&lt;/_pages&gt;&lt;_tertiary_title&gt;Clinical and experimental reproductive medicine&lt;/_tertiary_title&gt;&lt;_type_work&gt;Journal Article&lt;/_type_work&gt;&lt;_url&gt;http://www.ncbi.nlm.nih.gov/entrez/query.fcgi?cmd=Retrieve&amp;amp;db=pubmed&amp;amp;dopt=Abstract&amp;amp;list_uids=32146774&amp;amp;query_hl=1&lt;/_url&gt;&lt;_volume&gt;47&lt;/_volume&gt;&lt;_created&gt;64495776&lt;/_created&gt;&lt;_modified&gt;64495776&lt;/_modified&gt;&lt;_db_updated&gt;PubMed&lt;/_db_updated&gt;&lt;/Details&gt;&lt;Extra&gt;&lt;DBUID&gt;{F96A950B-833F-4880-A151-76DA2D6A2879}&lt;/DBUID&gt;&lt;/Extra&gt;&lt;/Item&gt;&lt;/References&gt;&lt;/Group&gt;&lt;/Citation&gt;_x000a_"/>
    <w:docVar w:name="NE.Ref{89D345D9-8AC7-476E-87C0-6B3E4ABF7F5B}" w:val=" ADDIN NE.Ref.{89D345D9-8AC7-476E-87C0-6B3E4ABF7F5B}&lt;Citation&gt;&lt;Group&gt;&lt;References&gt;&lt;Item&gt;&lt;ID&gt;756&lt;/ID&gt;&lt;UID&gt;{064EE409-1D20-4E38-8CCC-5983B4F9700D}&lt;/UID&gt;&lt;Title&gt;MicroRNA let-7e Is a Potential Circulating Biomarker of Acute Stage Ischemic  Stroke&lt;/Title&gt;&lt;Template&gt;Journal Article&lt;/Template&gt;&lt;Star&gt;0&lt;/Star&gt;&lt;Tag&gt;0&lt;/Tag&gt;&lt;Author&gt;Peng, G; Yuan, Y; Wu, S; He, F; Hu, Y; Luo, B&lt;/Author&gt;&lt;Year&gt;2015&lt;/Year&gt;&lt;Details&gt;&lt;_accession_num&gt;26415639&lt;/_accession_num&gt;&lt;_author_adr&gt;Department of Neurology, First Affiliated Hospital, Zhejiang University, 79  Qingchun Road, Hangzhou, 310003, People&amp;apos;s Republic of China.; Laboratory of Brain Medical Center, First Affiliated Hospital, Zhejiang  University, 79 Qingchun Road, Hangzhou, 310003, China.; Department of Neurology, First Affiliated Hospital, Zhejiang University, 79  Qingchun Road, Hangzhou, 310003, People&amp;apos;s Republic of China.; National Key Laboratory of Diagnosis and Treatment for Infectious Diseases, First  Affiliated Hospital, Zhejiang University, 79 Qingchun Road, Hangzhou, 310003,  China.; Laboratory of Brain Medical Center, First Affiliated Hospital, Zhejiang  University, 79 Qingchun Road, Hangzhou, 310003, China.; Department of Neurology, First Affiliated Hospital, Zhejiang University, 79  Qingchun Road, Hangzhou, 310003, People&amp;apos;s Republic of China.; Department of Neurology, First Affiliated Hospital, Zhejiang University, 79  Qingchun Road, Hangzhou, 310003, People&amp;apos;s Republic of China.  luobenyan@zju.edu.cn.; Laboratory of Brain Medical Center, First Affiliated Hospital, Zhejiang  University, 79 Qingchun Road, Hangzhou, 310003, China. luobenyan@zju.edu.cn.&lt;/_author_adr&gt;&lt;_date_display&gt;2015 Dec&lt;/_date_display&gt;&lt;_date&gt;2015-12-01&lt;/_date&gt;&lt;_doi&gt;10.1007/s12975-015-0422-x&lt;/_doi&gt;&lt;_isbn&gt;1868-601X (Electronic); 1868-4483 (Linking)&lt;/_isbn&gt;&lt;_issue&gt;6&lt;/_issue&gt;&lt;_journal&gt;Transl Stroke Res&lt;/_journal&gt;&lt;_keywords&gt;Acute stage; Circulating biomarker; Ischemic stroke; Let-7e; MicroRNA-338&lt;/_keywords&gt;&lt;_language&gt;eng&lt;/_language&gt;&lt;_pages&gt;437-45&lt;/_pages&gt;&lt;_subject_headings&gt;Aged; Biomarkers/blood/cerebrospinal fluid; Brain Ischemia/blood/cerebrospinal fluid/*metabolism; Female; Humans; Male; MicroRNAs/blood/cerebrospinal fluid/*metabolism; Middle Aged; Stroke/blood/cerebrospinal fluid/*metabolism&lt;/_subject_headings&gt;&lt;_tertiary_title&gt;Translational stroke research&lt;/_tertiary_title&gt;&lt;_type_work&gt;Journal Article; Research Support, Non-U.S. Gov&amp;apos;t&lt;/_type_work&gt;&lt;_url&gt;http://www.ncbi.nlm.nih.gov/entrez/query.fcgi?cmd=Retrieve&amp;amp;db=pubmed&amp;amp;dopt=Abstract&amp;amp;list_uids=26415639&amp;amp;query_hl=1&lt;/_url&gt;&lt;_volume&gt;6&lt;/_volume&gt;&lt;_created&gt;64826694&lt;/_created&gt;&lt;_modified&gt;64826694&lt;/_modified&gt;&lt;_db_updated&gt;PubMed&lt;/_db_updated&gt;&lt;_impact_factor&gt;   6.829&lt;/_impact_factor&gt;&lt;_collection_scope&gt;SCIE&lt;/_collection_scope&gt;&lt;/Details&gt;&lt;Extra&gt;&lt;DBUID&gt;{F96A950B-833F-4880-A151-76DA2D6A2879}&lt;/DBUID&gt;&lt;/Extra&gt;&lt;/Item&gt;&lt;/References&gt;&lt;/Group&gt;&lt;/Citation&gt;_x000a_"/>
    <w:docVar w:name="NE.Ref{8A970038-1625-4542-84DA-F59323A2B14E}" w:val=" ADDIN NE.Ref.{8A970038-1625-4542-84DA-F59323A2B14E}&lt;Citation&gt;&lt;Group&gt;&lt;References&gt;&lt;Item&gt;&lt;ID&gt;757&lt;/ID&gt;&lt;UID&gt;{CEBD262D-AF48-4FED-993E-C3F143A6579B}&lt;/UID&gt;&lt;Title&gt;MicroRNA let-7e Is a Potential Circulating Biomarker of Acute Stage Ischemic  Stroke&lt;/Title&gt;&lt;Template&gt;Journal Article&lt;/Template&gt;&lt;Star&gt;0&lt;/Star&gt;&lt;Tag&gt;0&lt;/Tag&gt;&lt;Author&gt;Peng, G; Yuan, Y; Wu, S; He, F; Hu, Y; Luo, B&lt;/Author&gt;&lt;Year&gt;2015&lt;/Year&gt;&lt;Details&gt;&lt;_accession_num&gt;26415639&lt;/_accession_num&gt;&lt;_author_adr&gt;Department of Neurology, First Affiliated Hospital, Zhejiang University, 79  Qingchun Road, Hangzhou, 310003, People&amp;apos;s Republic of China.; Laboratory of Brain Medical Center, First Affiliated Hospital, Zhejiang  University, 79 Qingchun Road, Hangzhou, 310003, China.; Department of Neurology, First Affiliated Hospital, Zhejiang University, 79  Qingchun Road, Hangzhou, 310003, People&amp;apos;s Republic of China.; National Key Laboratory of Diagnosis and Treatment for Infectious Diseases, First  Affiliated Hospital, Zhejiang University, 79 Qingchun Road, Hangzhou, 310003,  China.; Laboratory of Brain Medical Center, First Affiliated Hospital, Zhejiang  University, 79 Qingchun Road, Hangzhou, 310003, China.; Department of Neurology, First Affiliated Hospital, Zhejiang University, 79  Qingchun Road, Hangzhou, 310003, People&amp;apos;s Republic of China.; Department of Neurology, First Affiliated Hospital, Zhejiang University, 79  Qingchun Road, Hangzhou, 310003, People&amp;apos;s Republic of China.  luobenyan@zju.edu.cn.; Laboratory of Brain Medical Center, First Affiliated Hospital, Zhejiang  University, 79 Qingchun Road, Hangzhou, 310003, China. luobenyan@zju.edu.cn.&lt;/_author_adr&gt;&lt;_date_display&gt;2015 Dec&lt;/_date_display&gt;&lt;_date&gt;2015-12-01&lt;/_date&gt;&lt;_doi&gt;10.1007/s12975-015-0422-x&lt;/_doi&gt;&lt;_isbn&gt;1868-601X (Electronic); 1868-4483 (Linking)&lt;/_isbn&gt;&lt;_issue&gt;6&lt;/_issue&gt;&lt;_journal&gt;Transl Stroke Res&lt;/_journal&gt;&lt;_keywords&gt;Acute stage; Circulating biomarker; Ischemic stroke; Let-7e; MicroRNA-338&lt;/_keywords&gt;&lt;_language&gt;eng&lt;/_language&gt;&lt;_pages&gt;437-45&lt;/_pages&gt;&lt;_subject_headings&gt;Aged; Biomarkers/blood/cerebrospinal fluid; Brain Ischemia/blood/cerebrospinal fluid/*metabolism; Female; Humans; Male; MicroRNAs/blood/cerebrospinal fluid/*metabolism; Middle Aged; Stroke/blood/cerebrospinal fluid/*metabolism&lt;/_subject_headings&gt;&lt;_tertiary_title&gt;Translational stroke research&lt;/_tertiary_title&gt;&lt;_type_work&gt;Journal Article; Research Support, Non-U.S. Gov&amp;apos;t&lt;/_type_work&gt;&lt;_url&gt;http://www.ncbi.nlm.nih.gov/entrez/query.fcgi?cmd=Retrieve&amp;amp;db=pubmed&amp;amp;dopt=Abstract&amp;amp;list_uids=26415639&amp;amp;query_hl=1&lt;/_url&gt;&lt;_volume&gt;6&lt;/_volume&gt;&lt;_created&gt;64828074&lt;/_created&gt;&lt;_modified&gt;64828074&lt;/_modified&gt;&lt;_db_updated&gt;PubMed&lt;/_db_updated&gt;&lt;_impact_factor&gt;   6.829&lt;/_impact_factor&gt;&lt;_collection_scope&gt;SCIE&lt;/_collection_scope&gt;&lt;/Details&gt;&lt;Extra&gt;&lt;DBUID&gt;{F96A950B-833F-4880-A151-76DA2D6A2879}&lt;/DBUID&gt;&lt;/Extra&gt;&lt;/Item&gt;&lt;/References&gt;&lt;/Group&gt;&lt;/Citation&gt;_x000a_"/>
    <w:docVar w:name="NE.Ref{8CD679F4-BFDF-42EA-BC5B-78A06326A4A4}" w:val=" ADDIN NE.Ref.{8CD679F4-BFDF-42EA-BC5B-78A06326A4A4}&lt;Citation&gt;&lt;Group&gt;&lt;References&gt;&lt;Item&gt;&lt;ID&gt;760&lt;/ID&gt;&lt;UID&gt;{F06CA0AB-84A3-45CF-B4DE-771524D69772}&lt;/UID&gt;&lt;Title&gt;Axonal localization and mitochondrial association of precursor microRNA 338&lt;/Title&gt;&lt;Template&gt;Journal Article&lt;/Template&gt;&lt;Star&gt;0&lt;/Star&gt;&lt;Tag&gt;0&lt;/Tag&gt;&lt;Author&gt;Vargas, J N; Kar, A N; Kowalak, J A; Gale, J R; Aschrafi, A; Chen, C Y; Gioio, A E; Kaplan, B B&lt;/Author&gt;&lt;Year&gt;2016&lt;/Year&gt;&lt;Details&gt;&lt;_accession_num&gt;27229124&lt;/_accession_num&gt;&lt;_author_adr&gt;Section on Neurobiology, Laboratory of Molecular Biology, Division of Intramural  Research Programs, National Institute of Mental Health, National Institutes of  Health, Bethesda, MD, 20892-4411, USA.; Section on Neurobiology, Laboratory of Molecular Biology, Division of Intramural  Research Programs, National Institute of Mental Health, National Institutes of  Health, Bethesda, MD, 20892-4411, USA.; NINDS/NIMH Clinical Proteomics Unit, Division of Intramural Research Programs,  National Institutes of Health, Bethesda, MD, USA.; Section on Neurobiology, Laboratory of Molecular Biology, Division of Intramural  Research Programs, National Institute of Mental Health, National Institutes of  Health, Bethesda, MD, 20892-4411, USA.; Section on Neurobiology, Laboratory of Molecular Biology, Division of Intramural  Research Programs, National Institute of Mental Health, National Institutes of  Health, Bethesda, MD, 20892-4411, USA.; Section on Neurobiology, Laboratory of Molecular Biology, Division of Intramural  Research Programs, National Institute of Mental Health, National Institutes of  Health, Bethesda, MD, 20892-4411, USA.; Section on Neurobiology, Laboratory of Molecular Biology, Division of Intramural  Research Programs, National Institute of Mental Health, National Institutes of  Health, Bethesda, MD, 20892-4411, USA.; Section on Neurobiology, Laboratory of Molecular Biology, Division of Intramural  Research Programs, National Institute of Mental Health, National Institutes of  Health, Bethesda, MD, 20892-4411, USA. kaplanb@mail.nih.gov.&lt;/_author_adr&gt;&lt;_date_display&gt;2016 Nov&lt;/_date_display&gt;&lt;_date&gt;2016-11-01&lt;/_date&gt;&lt;_doi&gt;10.1007/s00018-016-2270-6&lt;/_doi&gt;&lt;_isbn&gt;1420-9071 (Electronic); 1420-682X (Print); 1420-682X (Linking)&lt;/_isbn&gt;&lt;_issue&gt;22&lt;/_issue&gt;&lt;_journal&gt;Cell Mol Life Sci&lt;/_journal&gt;&lt;_keywords&gt;Local translation; Mitochondrial translation; Post-transcriptional regulation; Proteomics; RNP granule; Subcellular localization; Superior cervical ganglion; Sympathetic neuron&lt;/_keywords&gt;&lt;_language&gt;eng&lt;/_language&gt;&lt;_pages&gt;4327-4340&lt;/_pages&gt;&lt;_subject_headings&gt;Animals; Axons/*metabolism; Cytoskeletal Proteins/metabolism; Gene Regulatory Networks; MicroRNAs/genetics/*metabolism; Mitochondria/*metabolism; Protein Binding; RNA Precursors/*metabolism; *RNA Transport; Rats, Sprague-Dawley; Ribonuclease III/metabolism; Superior Cervical Ganglion/metabolism&lt;/_subject_headings&gt;&lt;_tertiary_title&gt;Cellular and molecular life sciences : CMLS&lt;/_tertiary_title&gt;&lt;_type_work&gt;Journal Article; Research Support, N.I.H., Intramural&lt;/_type_work&gt;&lt;_url&gt;http://www.ncbi.nlm.nih.gov/entrez/query.fcgi?cmd=Retrieve&amp;amp;db=pubmed&amp;amp;dopt=Abstract&amp;amp;list_uids=27229124&amp;amp;query_hl=1&lt;/_url&gt;&lt;_volume&gt;73&lt;/_volume&gt;&lt;_created&gt;64828319&lt;/_created&gt;&lt;_modified&gt;64828319&lt;/_modified&gt;&lt;_db_updated&gt;PubMed&lt;/_db_updated&gt;&lt;_impact_factor&gt;   9.261&lt;/_impact_factor&gt;&lt;_collection_scope&gt;SCI;SCIE&lt;/_collection_scope&gt;&lt;/Details&gt;&lt;Extra&gt;&lt;DBUID&gt;{F96A950B-833F-4880-A151-76DA2D6A2879}&lt;/DBUID&gt;&lt;/Extra&gt;&lt;/Item&gt;&lt;/References&gt;&lt;/Group&gt;&lt;/Citation&gt;_x000a_"/>
    <w:docVar w:name="NE.Ref{90B29786-50F2-405E-9449-8F08EC249DC4}" w:val=" ADDIN NE.Ref.{90B29786-50F2-405E-9449-8F08EC249DC4}&lt;Citation&gt;&lt;Group&gt;&lt;References&gt;&lt;Item&gt;&lt;ID&gt;678&lt;/ID&gt;&lt;UID&gt;{D8E5724D-69D8-4771-BF86-935100939D1F}&lt;/UID&gt;&lt;Title&gt;Amino Acid Solute Carrier Transporters in Inflammation and Autoimmunity&lt;/Title&gt;&lt;Template&gt;Journal Article&lt;/Template&gt;&lt;Star&gt;0&lt;/Star&gt;&lt;Tag&gt;0&lt;/Tag&gt;&lt;Author&gt;Sheng, L; Luo, Q; Chen, L&lt;/Author&gt;&lt;Year&gt;2022&lt;/Year&gt;&lt;Details&gt;&lt;_accession_num&gt;35152203&lt;/_accession_num&gt;&lt;_author_adr&gt;Tsinghua University, China.; Tsinghua University, China.; Tsinghua University, China ligongchen@tsinghua.edu.cn.&lt;/_author_adr&gt;&lt;_date_display&gt;2022 Feb 12&lt;/_date_display&gt;&lt;_date&gt;2022-02-12&lt;/_date&gt;&lt;_doi&gt;10.1124/dmd.121.000705&lt;/_doi&gt;&lt;_isbn&gt;1521-009X (Electronic); 0090-9556 (Linking)&lt;/_isbn&gt;&lt;_journal&gt;Drug Metab Dispos&lt;/_journal&gt;&lt;_keywords&gt;L-arginine; glutamate; inflammation; lymphocytes; multiple sclerosis; transporters&lt;/_keywords&gt;&lt;_language&gt;eng&lt;/_language&gt;&lt;_ori_publication&gt;(c) 2020 The Authors. This is an open access article under the terms of the_x000d__x000a_      Creative Commons Attribution CC BY License, which permits use, distribution, and _x000d__x000a_      reproduction in any medium, provided that the original work is properly cited.&lt;/_ori_publication&gt;&lt;_tertiary_title&gt;Drug metabolism and disposition: the biological fate of chemicals&lt;/_tertiary_title&gt;&lt;_type_work&gt;Journal Article&lt;/_type_work&gt;&lt;_url&gt;http://www.ncbi.nlm.nih.gov/entrez/query.fcgi?cmd=Retrieve&amp;amp;db=pubmed&amp;amp;dopt=Abstract&amp;amp;list_uids=35152203&amp;amp;query_hl=1&lt;/_url&gt;&lt;_created&gt;64495812&lt;/_created&gt;&lt;_modified&gt;64495812&lt;/_modified&gt;&lt;_db_updated&gt;PubMed&lt;/_db_updated&gt;&lt;_impact_factor&gt;   3.922&lt;/_impact_factor&gt;&lt;_collection_scope&gt;SCI;SCIE&lt;/_collection_scope&gt;&lt;/Details&gt;&lt;Extra&gt;&lt;DBUID&gt;{F96A950B-833F-4880-A151-76DA2D6A2879}&lt;/DBUID&gt;&lt;/Extra&gt;&lt;/Item&gt;&lt;/References&gt;&lt;/Group&gt;&lt;/Citation&gt;_x000a_"/>
    <w:docVar w:name="NE.Ref{92A783F1-0042-45DE-89AA-A11A53A09688}" w:val=" ADDIN NE.Ref.{92A783F1-0042-45DE-89AA-A11A53A09688}&lt;Citation&gt;&lt;Group&gt;&lt;References&gt;&lt;Item&gt;&lt;ID&gt;754&lt;/ID&gt;&lt;UID&gt;{8506727E-B1A6-4AB6-A94A-5C9CF18ED3CC}&lt;/UID&gt;&lt;Title&gt;Hyperactive and impulsive behaviors of LMTK1 knockout mice&lt;/Title&gt;&lt;Template&gt;Journal Article&lt;/Template&gt;&lt;Star&gt;0&lt;/Star&gt;&lt;Tag&gt;0&lt;/Tag&gt;&lt;Author&gt;Takahashi, M; Sugiyama, A; Wei, R; Kobayashi, S; Fukuda, K; Nishino, H; Takahashi, R; Tsutsumi, K; Kita, I; Ando, K; Manabe, T; Kamiguchi, H; Tomomura, M; Hisanaga, S I&lt;/Author&gt;&lt;Year&gt;2020&lt;/Year&gt;&lt;Details&gt;&lt;_accession_num&gt;32963255&lt;/_accession_num&gt;&lt;_author_adr&gt;Laboratory of Molecular Neuroscience, Department of Biological Sciences, Graduate  School of Science, Tokyo Metropolitan University, Minami-osawa, Hachioji, Tokyo,  192-0397, Japan.; Department of Life Science and Medical Bio-Science, Waseda University,  Shinjuku-ku, Tokyo, 162-8480, Japan.; Laboratory of Molecular Neuroscience, Department of Biological Sciences, Graduate  School of Science, Tokyo Metropolitan University, Minami-osawa, Hachioji, Tokyo,  192-0397, Japan.; Laboratory of Molecular Neuroscience, Department of Biological Sciences, Graduate  School of Science, Tokyo Metropolitan University, Minami-osawa, Hachioji, Tokyo,  192-0397, Japan.; Division of Neuronal Network, Department of Basic Medical Sciences, Institute of  Medical Science, The University of Tokyo, Tokyo, 108-8639, Japan.; Developmental Biology, Department of Biological Sciences, Tokyo Metropolitan  University, Minami-osawa, Hachioji, Tokyo, 192-0397, Japan.; Laboratory of Molecular Neuroscience, Department of Biological Sciences, Graduate  School of Science, Tokyo Metropolitan University, Minami-osawa, Hachioji, Tokyo,  192-0397, Japan.; Laboratory of Molecular Neuroscience, Department of Biological Sciences, Graduate  School of Science, Tokyo Metropolitan University, Minami-osawa, Hachioji, Tokyo,  192-0397, Japan.; Laboratory of Molecular Neuroscience, Department of Biological Sciences, Graduate  School of Science, Tokyo Metropolitan University, Minami-osawa, Hachioji, Tokyo,  192-0397, Japan.; Division of Cell Biology, Department of Biosciences, School of Science, Kitasato  University, Kanagawa, 252-0373, Japan.; Laboratory of Behavioral Neuroscience, Department of Human Health Sciences, Tokyo  Metropolitan University, Minami-osawa, Hachioji, Tokyo, 192-0397, Japan.; Laboratory of Molecular Neuroscience, Department of Biological Sciences, Graduate  School of Science, Tokyo Metropolitan University, Minami-osawa, Hachioji, Tokyo,  192-0397, Japan.; Division of Neuronal Network, Department of Basic Medical Sciences, Institute of  Medical Science, The University of Tokyo, Tokyo, 108-8639, Japan.; Laboratory for Neural Cell Dynamics, RIKEN Center for Brain Science, Wako,  Saitama, 351-0198, Japan.; Department of Oral Health Sciences, Meikai University School of Health Sciences,  Urayasu, Chiba, 279-9950, Japan.; Laboratory of Molecular Neuroscience, Department of Biological Sciences, Graduate  School of Science, Tokyo Metropolitan University, Minami-osawa, Hachioji, Tokyo,  192-0397, Japan. hisanaga-shinichi@tmu.ac.jp.&lt;/_author_adr&gt;&lt;_date_display&gt;2020 Sep 22&lt;/_date_display&gt;&lt;_date&gt;2020-09-22&lt;/_date&gt;&lt;_doi&gt;10.1038/s41598-020-72304-z&lt;/_doi&gt;&lt;_isbn&gt;2045-2322 (Electronic); 2045-2322 (Linking)&lt;/_isbn&gt;&lt;_issue&gt;1&lt;/_issue&gt;&lt;_journal&gt;Sci Rep&lt;/_journal&gt;&lt;_language&gt;eng&lt;/_language&gt;&lt;_pages&gt;15461&lt;/_pages&gt;&lt;_subject_headings&gt;Animals; Apoptosis Regulatory Proteins/*physiology; Attention Deficit Disorder with Hyperactivity/etiology/*pathology/psychology; *Behavior, Animal; Brain/*physiopathology; Female; *Impulsive Behavior; Mice; Mice, Inbred C57BL; Mice, Inbred ICR; Mice, Knockout; Neurons/metabolism/*pathology; Protein-Tyrosine Kinases/*physiology&lt;/_subject_headings&gt;&lt;_tertiary_title&gt;Scientific reports&lt;/_tertiary_title&gt;&lt;_type_work&gt;Journal Article; Research Support, Non-U.S. Gov&amp;apos;t&lt;/_type_work&gt;&lt;_url&gt;http://www.ncbi.nlm.nih.gov/entrez/query.fcgi?cmd=Retrieve&amp;amp;db=pubmed&amp;amp;dopt=Abstract&amp;amp;list_uids=32963255&amp;amp;query_hl=1&lt;/_url&gt;&lt;_volume&gt;10&lt;/_volume&gt;&lt;_created&gt;64825551&lt;/_created&gt;&lt;_modified&gt;64825551&lt;/_modified&gt;&lt;_db_updated&gt;PubMed&lt;/_db_updated&gt;&lt;_impact_factor&gt;   4.380&lt;/_impact_factor&gt;&lt;/Details&gt;&lt;Extra&gt;&lt;DBUID&gt;{F96A950B-833F-4880-A151-76DA2D6A2879}&lt;/DBUID&gt;&lt;/Extra&gt;&lt;/Item&gt;&lt;/References&gt;&lt;/Group&gt;&lt;/Citation&gt;_x000a_"/>
    <w:docVar w:name="NE.Ref{954D1D74-B967-437E-B1F4-6B40EBE21038}" w:val=" ADDIN NE.Ref.{954D1D74-B967-437E-B1F4-6B40EBE21038}&lt;Citation&gt;&lt;Group&gt;&lt;References&gt;&lt;Item&gt;&lt;ID&gt;672&lt;/ID&gt;&lt;UID&gt;{BECF5623-C129-449C-80C9-C6896FFD0A20}&lt;/UID&gt;&lt;Title&gt;Kruppel-like factor 2 protects against ischemic stroke by regulating endothelial  blood brain barrier function&lt;/Title&gt;&lt;Template&gt;Journal Article&lt;/Template&gt;&lt;Star&gt;0&lt;/Star&gt;&lt;Tag&gt;0&lt;/Tag&gt;&lt;Author&gt;Shi, H; Sheng, B; Zhang, F; Wu, C; Zhang, R; Zhu, J; Xu, K; Kuang, Y; Jameson, S C; Lin, Z; Wang, Y; Chen, J; Jain, M K; Atkins, G B&lt;/Author&gt;&lt;Year&gt;2013&lt;/Year&gt;&lt;Details&gt;&lt;_accession_num&gt;23335794&lt;/_accession_num&gt;&lt;_author_adr&gt;Harrington Heart and Vascular Institute, Case Cardiovascular Research Institute,  Department of Medicine, University Hospitals Case Medical Center, Case Western Reserve University School of Medicine, Cleveland, OH 44106, USA.&lt;/_author_adr&gt;&lt;_date_display&gt;2013 Mar 15&lt;/_date_display&gt;&lt;_date&gt;2013-03-15&lt;/_date&gt;&lt;_doi&gt;10.1152/ajpheart.00712.2012&lt;/_doi&gt;&lt;_isbn&gt;1522-1539 (Electronic); 0363-6135 (Linking)&lt;/_isbn&gt;&lt;_issue&gt;6&lt;/_issue&gt;&lt;_journal&gt;Am J Physiol Heart Circ Physiol&lt;/_journal&gt;&lt;_language&gt;eng&lt;/_language&gt;&lt;_pages&gt;H796-805&lt;/_pages&gt;&lt;_subject_headings&gt;Animals; Blood-Brain Barrier/*metabolism/physiology; Cell Line; Endothelial Cells/metabolism; Gene Expression Regulation; Humans; Infarction, Middle Cerebral Artery/diagnostic imaging/*metabolism; Kruppel-Like Transcription Factors/genetics/*metabolism; Mice; Multimodal Imaging; Occludin/genetics/metabolism; Positron-Emission Tomography; Tomography, X-Ray Computed&lt;/_subject_headings&gt;&lt;_tertiary_title&gt;American journal of physiology. Heart and circulatory physiology&lt;/_tertiary_title&gt;&lt;_type_work&gt;Journal Article; Research Support, N.I.H., Extramural; Research Support, Non-U.S. Gov&amp;apos;t; Research Support, U.S. Gov&amp;apos;t, Non-P.H.S.&lt;/_type_work&gt;&lt;_url&gt;http://www.ncbi.nlm.nih.gov/entrez/query.fcgi?cmd=Retrieve&amp;amp;db=pubmed&amp;amp;dopt=Abstract&amp;amp;list_uids=23335794&amp;amp;query_hl=1&lt;/_url&gt;&lt;_volume&gt;304&lt;/_volume&gt;&lt;_created&gt;64495786&lt;/_created&gt;&lt;_modified&gt;64495786&lt;/_modified&gt;&lt;_db_updated&gt;PubMed&lt;/_db_updated&gt;&lt;_impact_factor&gt;   4.733&lt;/_impact_factor&gt;&lt;/Details&gt;&lt;Extra&gt;&lt;DBUID&gt;{F96A950B-833F-4880-A151-76DA2D6A2879}&lt;/DBUID&gt;&lt;/Extra&gt;&lt;/Item&gt;&lt;/References&gt;&lt;/Group&gt;&lt;Group&gt;&lt;References&gt;&lt;Item&gt;&lt;ID&gt;673&lt;/ID&gt;&lt;UID&gt;{483F8E2F-91BE-4843-8072-EE5B1FD1747D}&lt;/UID&gt;&lt;Title&gt;Kruppel-like factor-11, a transcription factor involved in diabetes mellitus, suppresses endothelial cell activation via the nuclear factor-kappaB signaling pathway&lt;/Title&gt;&lt;Template&gt;Journal Article&lt;/Template&gt;&lt;Star&gt;0&lt;/Star&gt;&lt;Tag&gt;0&lt;/Tag&gt;&lt;Author&gt;Fan, Y; Guo, Y; Zhang, J; Subramaniam, M; Song, C Z; Urrutia, R; Chen, Y E&lt;/Author&gt;&lt;Year&gt;2012&lt;/Year&gt;&lt;Details&gt;&lt;_accession_num&gt;23042817&lt;/_accession_num&gt;&lt;_author_adr&gt;Cardiovascular Center, Department of Internal Medicine, University of Michigan Medical Center, Ann Arbor, MI 48109, USA.&lt;/_author_adr&gt;&lt;_date_display&gt;2012 Dec&lt;/_date_display&gt;&lt;_date&gt;2012-12-01&lt;/_date&gt;&lt;_doi&gt;10.1161/ATVBAHA.112.300349&lt;/_doi&gt;&lt;_isbn&gt;1524-4636 (Electronic); 1079-5642 (Linking)&lt;/_isbn&gt;&lt;_issue&gt;12&lt;/_issue&gt;&lt;_journal&gt;Arterioscler Thromb Vasc Biol&lt;/_journal&gt;&lt;_language&gt;eng&lt;/_language&gt;&lt;_pages&gt;2981-8&lt;/_pages&gt;&lt;_subject_headings&gt;Animals; Apoptosis Regulatory Proteins; Cell Cycle Proteins/*physiology; Cell Line; DNA-Binding Proteins/deficiency/genetics/*physiology; Diabetes Mellitus/*physiopathology; E-Selectin/metabolism; Endothelium, Vascular/cytology/*physiology; Humans; Leukocytes/drug effects; Lipopolysaccharides/pharmacology; Mice; Mice, Knockout; NF-kappa B/*physiology; Protein Binding; RNA, Small Interfering/genetics; Repressor Proteins/*physiology; Signal Transduction/*physiology; Transcription Factors/deficiency/genetics/*physiology; Vascular Cell Adhesion Molecule-1/metabolism; eIF-2 Kinase/metabolism&lt;/_subject_headings&gt;&lt;_tertiary_title&gt;Arteriosclerosis, thrombosis, and vascular biology&lt;/_tertiary_title&gt;&lt;_type_work&gt;Journal Article; Research Support, N.I.H., Extramural; Research Support, Non-U.S. Gov&amp;apos;t&lt;/_type_work&gt;&lt;_url&gt;http://www.ncbi.nlm.nih.gov/entrez/query.fcgi?cmd=Retrieve&amp;amp;db=pubmed&amp;amp;dopt=Abstract&amp;amp;list_uids=23042817&amp;amp;query_hl=1&lt;/_url&gt;&lt;_volume&gt;32&lt;/_volume&gt;&lt;_created&gt;64495798&lt;/_created&gt;&lt;_modified&gt;64495798&lt;/_modified&gt;&lt;_db_updated&gt;PubMed&lt;/_db_updated&gt;&lt;_impact_factor&gt;   8.313&lt;/_impact_factor&gt;&lt;/Details&gt;&lt;Extra&gt;&lt;DBUID&gt;{F96A950B-833F-4880-A151-76DA2D6A2879}&lt;/DBUID&gt;&lt;/Extra&gt;&lt;/Item&gt;&lt;/References&gt;&lt;/Group&gt;&lt;/Citation&gt;_x000a_"/>
    <w:docVar w:name="NE.Ref{99F0C28B-D46A-4B50-BEA1-ADEF95CBE5FA}" w:val=" ADDIN NE.Ref.{99F0C28B-D46A-4B50-BEA1-ADEF95CBE5FA}&lt;Citation&gt;&lt;Group&gt;&lt;References&gt;&lt;Item&gt;&lt;ID&gt;665&lt;/ID&gt;&lt;UID&gt;{65E06F41-E4EF-4F4F-BA32-3C06DC1A55E4}&lt;/UID&gt;&lt;Title&gt;A long non-coding RNA, ELFN1-AS1, sponges miR-1250 to upregulate MTA1 to promote  cell proliferation, migration and invasion, and induce apoptosis in colorectal cancer&lt;/Title&gt;&lt;Template&gt;Journal Article&lt;/Template&gt;&lt;Star&gt;0&lt;/Star&gt;&lt;Tag&gt;0&lt;/Tag&gt;&lt;Author&gt;Zhai, L Q; Wang, X X; Qu, C X; Yang, L Z; Jia, C M; Shi, X C&lt;/Author&gt;&lt;Year&gt;2021&lt;/Year&gt;&lt;Details&gt;&lt;_accession_num&gt;34337713&lt;/_accession_num&gt;&lt;_author_adr&gt;Department of Pathology, Shanxi Provincial People&amp;apos;s Hospital, Taiyuan, Shanxi Province, China. LiqinZhai8080@163.com.&lt;/_author_adr&gt;&lt;_date_display&gt;2021 Jul&lt;/_date_display&gt;&lt;_date&gt;2021-07-01&lt;/_date&gt;&lt;_doi&gt;10.26355/eurrev_202107_26376&lt;/_doi&gt;&lt;_isbn&gt;2284-0729 (Electronic); 1128-3602 (Linking)&lt;/_isbn&gt;&lt;_issue&gt;14&lt;/_issue&gt;&lt;_journal&gt;Eur Rev Med Pharmacol Sci&lt;/_journal&gt;&lt;_language&gt;eng&lt;/_language&gt;&lt;_pages&gt;4655-4667&lt;/_pages&gt;&lt;_subject_headings&gt;*Apoptosis; Cell Movement; Cell Proliferation; Colorectal Neoplasms/*metabolism/pathology; Female; Humans; Male; MicroRNAs/genetics/*metabolism; Middle Aged; RNA, Long Noncoding/genetics/*metabolism; Repressor Proteins/genetics/*metabolism; Trans-Activators/genetics/*metabolism; Tumor Cells, Cultured; *Up-Regulation&lt;/_subject_headings&gt;&lt;_tertiary_title&gt;European review for medical and pharmacological sciences&lt;/_tertiary_title&gt;&lt;_type_work&gt;Journal Article&lt;/_type_work&gt;&lt;_url&gt;http://www.ncbi.nlm.nih.gov/entrez/query.fcgi?cmd=Retrieve&amp;amp;db=pubmed&amp;amp;dopt=Abstract&amp;amp;list_uids=34337713&amp;amp;query_hl=1&lt;/_url&gt;&lt;_volume&gt;25&lt;/_volume&gt;&lt;_created&gt;64495741&lt;/_created&gt;&lt;_modified&gt;64495741&lt;/_modified&gt;&lt;_db_updated&gt;PubMed&lt;/_db_updated&gt;&lt;_impact_factor&gt;   3.507&lt;/_impact_factor&gt;&lt;/Details&gt;&lt;Extra&gt;&lt;DBUID&gt;{F96A950B-833F-4880-A151-76DA2D6A2879}&lt;/DBUID&gt;&lt;/Extra&gt;&lt;/Item&gt;&lt;/References&gt;&lt;/Group&gt;&lt;/Citation&gt;_x000a_"/>
    <w:docVar w:name="NE.Ref{9FCE44BB-4DAB-48C0-A0ED-E0B2EE7DEFA5}" w:val=" ADDIN NE.Ref.{9FCE44BB-4DAB-48C0-A0ED-E0B2EE7DEFA5}&lt;Citation&gt;&lt;Group&gt;&lt;References&gt;&lt;Item&gt;&lt;ID&gt;648&lt;/ID&gt;&lt;UID&gt;{50EFC2D8-5981-4F9C-92B0-789B431EB9FD}&lt;/UID&gt;&lt;Title&gt;Integrated evolutionary analysis of human miRNA gene clusters and families implicates evolutionary relationships&lt;/Title&gt;&lt;Template&gt;Journal Article&lt;/Template&gt;&lt;Star&gt;0&lt;/Star&gt;&lt;Tag&gt;0&lt;/Tag&gt;&lt;Author&gt;Guo, L; Zhao, Y; Zhang, H; Yang, S; Chen, F&lt;/Author&gt;&lt;Year&gt;2014&lt;/Year&gt;&lt;Details&gt;&lt;_accession_num&gt;24161882&lt;/_accession_num&gt;&lt;_author_adr&gt;Department of Epidemiology and Biostatistics, Ministry of Education Key Lab for Modern Toxicology, School of Public Health, Nanjing Medical University, 211166, China. Electronic address: gl8008@163.com.&lt;/_author_adr&gt;&lt;_date_display&gt;2014 Jan 15&lt;/_date_display&gt;&lt;_date&gt;2014-01-15&lt;/_date&gt;&lt;_doi&gt;10.1016/j.gene.2013.10.037&lt;/_doi&gt;&lt;_isbn&gt;1879-0038 (Electronic); 0378-1119 (Linking)&lt;/_isbn&gt;&lt;_issue&gt;1&lt;/_issue&gt;&lt;_journal&gt;Gene&lt;/_journal&gt;&lt;_keywords&gt;Evolution; GO; Integrated analysis; MJ; NJ; chr; chromosome; gene ontology; median-joining; miRNA; miRNA gene cluster/family; microRNA; microRNA (miRNA); ncRNA; neighbor-joining; non-coding RNA; pre-miRNA; precursors miRNA&lt;/_keywords&gt;&lt;_language&gt;eng&lt;/_language&gt;&lt;_ori_publication&gt;(c) 2013.&lt;/_ori_publication&gt;&lt;_pages&gt;24-32&lt;/_pages&gt;&lt;_subject_headings&gt;Base Sequence; *Evolution, Molecular; Gene Ontology; Humans; MicroRNAs/*genetics/metabolism; Molecular Sequence Data; *Multigene Family; Phylogeny&lt;/_subject_headings&gt;&lt;_tertiary_title&gt;Gene&lt;/_tertiary_title&gt;&lt;_type_work&gt;Journal Article; Research Support, Non-U.S. Gov&amp;apos;t&lt;/_type_work&gt;&lt;_url&gt;http://www.ncbi.nlm.nih.gov/entrez/query.fcgi?cmd=Retrieve&amp;amp;db=pubmed&amp;amp;dopt=Abstract&amp;amp;list_uids=24161882&amp;amp;query_hl=1&lt;/_url&gt;&lt;_volume&gt;534&lt;/_volume&gt;&lt;_created&gt;64494351&lt;/_created&gt;&lt;_modified&gt;64494351&lt;/_modified&gt;&lt;_db_updated&gt;PubMed&lt;/_db_updated&gt;&lt;_impact_factor&gt;   3.688&lt;/_impact_factor&gt;&lt;_collection_scope&gt;SCI;SCIE&lt;/_collection_scope&gt;&lt;/Details&gt;&lt;Extra&gt;&lt;DBUID&gt;{F96A950B-833F-4880-A151-76DA2D6A2879}&lt;/DBUID&gt;&lt;/Extra&gt;&lt;/Item&gt;&lt;/References&gt;&lt;/Group&gt;&lt;/Citation&gt;_x000a_"/>
    <w:docVar w:name="NE.Ref{ABBC1638-E13C-4821-9F15-068A46DAAFD9}" w:val=" ADDIN NE.Ref.{ABBC1638-E13C-4821-9F15-068A46DAAFD9}&lt;Citation&gt;&lt;Group&gt;&lt;References&gt;&lt;Item&gt;&lt;ID&gt;663&lt;/ID&gt;&lt;UID&gt;{99B4DAA5-F8F5-42DD-A43F-55C9FD048607}&lt;/UID&gt;&lt;Title&gt;MicroRNA let-7e Is a Potential Circulating Biomarker of Acute Stage Ischemic Stroke&lt;/Title&gt;&lt;Template&gt;Journal Article&lt;/Template&gt;&lt;Star&gt;0&lt;/Star&gt;&lt;Tag&gt;0&lt;/Tag&gt;&lt;Author&gt;Peng, G; Yuan, Y; Wu, S; He, F; Hu, Y; Luo, B&lt;/Author&gt;&lt;Year&gt;2015&lt;/Year&gt;&lt;Details&gt;&lt;_accession_num&gt;26415639&lt;/_accession_num&gt;&lt;_author_adr&gt;Department of Neurology, First Affiliated Hospital, Zhejiang University, 79 Qingchun Road, Hangzhou, 310003, People&amp;apos;s Republic of China.; Laboratory of Brain Medical Center, First Affiliated Hospital, Zhejiang University, 79 Qingchun Road, Hangzhou, 310003, China.; Department of Neurology, First Affiliated Hospital, Zhejiang University, 79 Qingchun Road, Hangzhou, 310003, People&amp;apos;s Republic of China.; National Key Laboratory of Diagnosis and Treatment for Infectious Diseases, First Affiliated Hospital, Zhejiang University, 79 Qingchun Road, Hangzhou, 310003, China.; Laboratory of Brain Medical Center, First Affiliated Hospital, Zhejiang University, 79 Qingchun Road, Hangzhou, 310003, China.; Department of Neurology, First Affiliated Hospital, Zhejiang University, 79 Qingchun Road, Hangzhou, 310003, People&amp;apos;s Republic of China.; Department of Neurology, First Affiliated Hospital, Zhejiang University, 79 Qingchun Road, Hangzhou, 310003, People&amp;apos;s Republic of China. luobenyan@zju.edu.cn.; Laboratory of Brain Medical Center, First Affiliated Hospital, Zhejiang University, 79 Qingchun Road, Hangzhou, 310003, China. luobenyan@zju.edu.cn.&lt;/_author_adr&gt;&lt;_date_display&gt;2015 Dec&lt;/_date_display&gt;&lt;_date&gt;2015-12-01&lt;/_date&gt;&lt;_doi&gt;10.1007/s12975-015-0422-x&lt;/_doi&gt;&lt;_isbn&gt;1868-601X (Electronic); 1868-4483 (Linking)&lt;/_isbn&gt;&lt;_issue&gt;6&lt;/_issue&gt;&lt;_journal&gt;Transl Stroke Res&lt;/_journal&gt;&lt;_keywords&gt;Acute stage; Circulating biomarker; Ischemic stroke; Let-7e; MicroRNA-338&lt;/_keywords&gt;&lt;_language&gt;eng&lt;/_language&gt;&lt;_pages&gt;437-45&lt;/_pages&gt;&lt;_subject_headings&gt;Aged; Biomarkers/blood/cerebrospinal fluid; Brain Ischemia/blood/cerebrospinal fluid/*metabolism; Female; Humans; Male; MicroRNAs/blood/cerebrospinal fluid/*metabolism; Middle Aged; Stroke/blood/cerebrospinal fluid/*metabolism&lt;/_subject_headings&gt;&lt;_tertiary_title&gt;Translational stroke research&lt;/_tertiary_title&gt;&lt;_type_work&gt;Journal Article; Research Support, Non-U.S. Gov&amp;apos;t&lt;/_type_work&gt;&lt;_url&gt;http://www.ncbi.nlm.nih.gov/entrez/query.fcgi?cmd=Retrieve&amp;amp;db=pubmed&amp;amp;dopt=Abstract&amp;amp;list_uids=26415639&amp;amp;query_hl=1&lt;/_url&gt;&lt;_volume&gt;6&lt;/_volume&gt;&lt;_created&gt;64495735&lt;/_created&gt;&lt;_modified&gt;64495735&lt;/_modified&gt;&lt;_db_updated&gt;PubMed&lt;/_db_updated&gt;&lt;_impact_factor&gt;   6.829&lt;/_impact_factor&gt;&lt;_collection_scope&gt;SCIE&lt;/_collection_scope&gt;&lt;/Details&gt;&lt;Extra&gt;&lt;DBUID&gt;{F96A950B-833F-4880-A151-76DA2D6A2879}&lt;/DBUID&gt;&lt;/Extra&gt;&lt;/Item&gt;&lt;/References&gt;&lt;/Group&gt;&lt;Group&gt;&lt;References&gt;&lt;Item&gt;&lt;ID&gt;664&lt;/ID&gt;&lt;UID&gt;{96DD281A-300B-4007-A919-E11444E02D36}&lt;/UID&gt;&lt;Title&gt;Downregulation of miR-338-3p alleviates neuronal ischemic injury by decreasing cPKCgamma-Mediated autophagy through the Akt/mTOR pathway&lt;/Title&gt;&lt;Template&gt;Journal Article&lt;/Template&gt;&lt;Star&gt;0&lt;/Star&gt;&lt;Tag&gt;0&lt;/Tag&gt;&lt;Author&gt;Wei, H; Peng, Z; Guo, J; Chen, L; Shao, K&lt;/Author&gt;&lt;Year&gt;2022&lt;/Year&gt;&lt;Details&gt;&lt;_accession_num&gt;35021067&lt;/_accession_num&gt;&lt;_author_adr&gt;Department of Neurology, Lanzhou University Second Hospital, Lanzhou, 730030, PR  China. Electronic address: haipingwei11@sina.com.; Department of Physiology, Medical School, Shanxi Datong University, Datong, 037009, PR China.; Department of Neurology, Lanzhou University Second Hospital, Lanzhou, 730030, PR  China.; Department of Neurology, Lanzhou University Second Hospital, Lanzhou, 730030, PR  China.; Department of Neurology, Lanzhou University Second Hospital, Lanzhou, 730030, PR  China.&lt;/_author_adr&gt;&lt;_date_display&gt;2022 Mar&lt;/_date_display&gt;&lt;_date&gt;2022-03-01&lt;/_date&gt;&lt;_doi&gt;10.1016/j.neuint.2022.105279&lt;/_doi&gt;&lt;_isbn&gt;1872-9754 (Electronic); 0197-0186 (Linking)&lt;/_isbn&gt;&lt;_journal&gt;Neurochem Int&lt;/_journal&gt;&lt;_keywords&gt;*Autophagy; *Conventional protein kinase cgamma; *Ischemic stroke; *Oxygen glucose deprivation /reoxgenation; *miR-338-3p&lt;/_keywords&gt;&lt;_language&gt;eng&lt;/_language&gt;&lt;_ori_publication&gt;Copyright (c) 2022. Published by Elsevier Ltd.&lt;/_ori_publication&gt;&lt;_pages&gt;105279&lt;/_pages&gt;&lt;_subject_headings&gt;Autophagy; Down-Regulation; Glucose/metabolism; Humans; Ischemia/metabolism; *MicroRNAs/genetics/metabolism; Neurons/metabolism; *Proto-Oncogene Proteins c-akt/metabolism; TOR Serine-Threonine Kinases/metabolism&lt;/_subject_headings&gt;&lt;_tertiary_title&gt;Neurochemistry international&lt;/_tertiary_title&gt;&lt;_type_work&gt;Journal Article; Research Support, Non-U.S. Gov&amp;apos;t&lt;/_type_work&gt;&lt;_url&gt;http://www.ncbi.nlm.nih.gov/entrez/query.fcgi?cmd=Retrieve&amp;amp;db=pubmed&amp;amp;dopt=Abstract&amp;amp;list_uids=35021067&amp;amp;query_hl=1&lt;/_url&gt;&lt;_volume&gt;154&lt;/_volume&gt;&lt;_created&gt;64495738&lt;/_created&gt;&lt;_modified&gt;64495738&lt;/_modified&gt;&lt;_db_updated&gt;PubMed&lt;/_db_updated&gt;&lt;_impact_factor&gt;   3.921&lt;/_impact_factor&gt;&lt;_collection_scope&gt;SCI;SCIE&lt;/_collection_scope&gt;&lt;/Details&gt;&lt;Extra&gt;&lt;DBUID&gt;{F96A950B-833F-4880-A151-76DA2D6A2879}&lt;/DBUID&gt;&lt;/Extra&gt;&lt;/Item&gt;&lt;/References&gt;&lt;/Group&gt;&lt;Group&gt;&lt;References&gt;&lt;Item&gt;&lt;ID&gt;660&lt;/ID&gt;&lt;UID&gt;{22DA5A5F-940D-4B43-9245-AD0EB63E66C6}&lt;/UID&gt;&lt;Title&gt;LncRNA CASC15 Promotes Cerebral Ischemia/Reperfusion Injury via miR-338-3p/ETS1 Axis in Acute Ischemic Stroke&lt;/Title&gt;&lt;Template&gt;Journal Article&lt;/Template&gt;&lt;Star&gt;0&lt;/Star&gt;&lt;Tag&gt;0&lt;/Tag&gt;&lt;Author&gt;Chen, C; Wang, L; Wang, L; Liu, Q; Wang, C&lt;/Author&gt;&lt;Year&gt;2021&lt;/Year&gt;&lt;Details&gt;&lt;_accession_num&gt;34629895&lt;/_accession_num&gt;&lt;_author_adr&gt;Institute of Chinese Medicine, Heilongjiang University of Chinese Medicine, Harbin, 150040, People&amp;apos;s Republic of China.; Institute of Chinese Medicine, Heilongjiang University of Chinese Medicine, Harbin, 150040, People&amp;apos;s Republic of China.; Harbin Traditional Chinese Medicine Hospital, Harbin, 150076, People&amp;apos;s Republic of China.; Institute of Chinese Medicine, Heilongjiang University of Chinese Medicine, Harbin, 150040, People&amp;apos;s Republic of China.; Institute of Chinese Medicine, Heilongjiang University of Chinese Medicine, Harbin, 150040, People&amp;apos;s Republic of China.&lt;/_author_adr&gt;&lt;_created&gt;64495656&lt;/_created&gt;&lt;_date&gt;2021-01-20&lt;/_date&gt;&lt;_date_display&gt;2021&lt;/_date_display&gt;&lt;_db_updated&gt;PubMed&lt;/_db_updated&gt;&lt;_doi&gt;10.2147/IJGM.S323237&lt;/_doi&gt;&lt;_impact_factor&gt;   2.466&lt;/_impact_factor&gt;&lt;_isbn&gt;1178-7074 (Print); 1178-7074 (Linking)&lt;/_isbn&gt;&lt;_journal&gt;Int J Gen Med&lt;/_journal&gt;&lt;_keywords&gt;CASC15/miR-338-3p/ETS1; acute ischemic stroke; biomarker; inflammation&lt;/_keywords&gt;&lt;_language&gt;eng&lt;/_language&gt;&lt;_modified&gt;64495656&lt;/_modified&gt;&lt;_ori_publication&gt;(c) 2021 Chen et al.&lt;/_ori_publication&gt;&lt;_pages&gt;6305-6313&lt;/_pages&gt;&lt;_tertiary_title&gt;International journal of general medicine&lt;/_tertiary_title&gt;&lt;_type_work&gt;Journal Article&lt;/_type_work&gt;&lt;_url&gt;http://www.ncbi.nlm.nih.gov/entrez/query.fcgi?cmd=Retrieve&amp;amp;db=pubmed&amp;amp;dopt=Abstract&amp;amp;list_uids=34629895&amp;amp;query_hl=1&lt;/_url&gt;&lt;_volume&gt;14&lt;/_volume&gt;&lt;/Details&gt;&lt;Extra&gt;&lt;DBUID&gt;{F96A950B-833F-4880-A151-76DA2D6A2879}&lt;/DBUID&gt;&lt;/Extra&gt;&lt;/Item&gt;&lt;/References&gt;&lt;/Group&gt;&lt;/Citation&gt;_x000a_"/>
    <w:docVar w:name="NE.Ref{AC4B730D-93FC-4E5A-ACA5-3BC2BD128568}" w:val=" ADDIN NE.Ref.{AC4B730D-93FC-4E5A-ACA5-3BC2BD128568}&lt;Citation&gt;&lt;Group&gt;&lt;References&gt;&lt;Item&gt;&lt;ID&gt;677&lt;/ID&gt;&lt;UID&gt;{8D857911-C560-4A85-905D-C7E459C1F601}&lt;/UID&gt;&lt;Title&gt;The choline transporter-like family SLC44: properties and roles in human diseases&lt;/Title&gt;&lt;Template&gt;Journal Article&lt;/Template&gt;&lt;Star&gt;0&lt;/Star&gt;&lt;Tag&gt;0&lt;/Tag&gt;&lt;Author&gt;Traiffort, E; O&amp;apos;Regan, S; Ruat, M&lt;/Author&gt;&lt;Year&gt;2013&lt;/Year&gt;&lt;Details&gt;&lt;_accession_num&gt;23506897&lt;/_accession_num&gt;&lt;_author_adr&gt;CNRS, UPR-3294, Laboratory of Neurobiology and Development, Institute of Neurobiology Alfred Fessard IFR2118, Signal Transduction and Developmental Neuropharmacology Team, 1 avenue de la Terrasse, F-91198 Gif-sur-Yvette, France.  Elisabeth.Traiffort@inaf.cnrs-gif.fr&lt;/_author_adr&gt;&lt;_date_display&gt;2013 Apr-Jun&lt;/_date_display&gt;&lt;_date&gt;2013-04-01&lt;/_date&gt;&lt;_doi&gt;10.1016/j.mam.2012.10.011&lt;/_doi&gt;&lt;_isbn&gt;1872-9452 (Electronic); 0098-2997 (Linking)&lt;/_isbn&gt;&lt;_issue&gt;2-3&lt;/_issue&gt;&lt;_journal&gt;Mol Aspects Med&lt;/_journal&gt;&lt;_language&gt;eng&lt;/_language&gt;&lt;_ori_publication&gt;Copyright (c) 2012 Elsevier Ltd. All rights reserved.&lt;/_ori_publication&gt;&lt;_pages&gt;646-54&lt;/_pages&gt;&lt;_subject_headings&gt;Antigens, CD/*genetics/metabolism/*physiology; Blotting, Northern; Cell Membrane/physiology; Choline/*metabolism; Gene Expression Regulation/*physiology; Humans; Models, Biological; *Models, Molecular; Multigene Family/*genetics; Organic Cation Transport Proteins/*genetics/metabolism/*physiology; Phylogeny; Species Specificity&lt;/_subject_headings&gt;&lt;_tertiary_title&gt;Molecular aspects of medicine&lt;/_tertiary_title&gt;&lt;_type_work&gt;Journal Article; Review&lt;/_type_work&gt;&lt;_url&gt;http://www.ncbi.nlm.nih.gov/entrez/query.fcgi?cmd=Retrieve&amp;amp;db=pubmed&amp;amp;dopt=Abstract&amp;amp;list_uids=23506897&amp;amp;query_hl=1&lt;/_url&gt;&lt;_volume&gt;34&lt;/_volume&gt;&lt;_created&gt;64495805&lt;/_created&gt;&lt;_modified&gt;64495806&lt;/_modified&gt;&lt;_db_updated&gt;PubMed&lt;/_db_updated&gt;&lt;_impact_factor&gt;  14.235&lt;/_impact_factor&gt;&lt;_collection_scope&gt;SCIE&lt;/_collection_scope&gt;&lt;/Details&gt;&lt;Extra&gt;&lt;DBUID&gt;{F96A950B-833F-4880-A151-76DA2D6A2879}&lt;/DBUID&gt;&lt;/Extra&gt;&lt;/Item&gt;&lt;/References&gt;&lt;/Group&gt;&lt;/Citation&gt;_x000a_"/>
    <w:docVar w:name="NE.Ref{AED04762-9350-43B0-8B71-83EBB3F9A8F3}" w:val=" ADDIN NE.Ref.{AED04762-9350-43B0-8B71-83EBB3F9A8F3}&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bstract&gt;MicroRNAs (miRs) regulate diverse molecular and cellular processes including oligodendrocyte (OL) precursor cell (OPC) proliferation and differentiation in rodents. However, the role of miRs in human OPCs is poorly understood. To identify miRs that may regulate these processes in humans, we isolated OL lineage cells from human white matter and analyzed their miR profile. Using endpoint RT-PCR assays and quantitative real-time PCR, we demonstrate that miR-219, miR-338, and miR-17-92 are enriched in human white matter and expressed in acutely isolated human OLs. In addition, we report the expression of closely related miRs (miR-219-1-3p, miR-219-2-3p, miR-1250, miR-657, miR-3065-5p, miR-3065-3p) in both rodent and human OLs. Our findings demonstrate that miRs implicated in rodent OPC proliferation and differentiation are regulated in human OLs and may regulate myelination program in humans. Thus, these miRs should be recognized as potential therapeutic targets in demyelinating disorders.&lt;/_abstract&gt;&lt;_accession_num&gt;22470405&lt;/_accession_num&gt;&lt;_author_adr&gt;Department of Neurology and Neurosurgery, Montreal Neurological Institute and Hospital, McGill University Health Centre, McGill University Montreal, QC, Canada.&lt;/_author_adr&gt;&lt;_collection_scope&gt;SCIE&lt;/_collection_scope&gt;&lt;_created&gt;64495644&lt;/_created&gt;&lt;_date&gt;2012-01-20&lt;/_date&gt;&lt;_date_display&gt;2012&lt;/_date_display&gt;&lt;_db_updated&gt;PubMed&lt;/_db_updated&gt;&lt;_doi&gt;10.3389/fgene.2012.00046&lt;/_doi&gt;&lt;_impact_factor&gt;   4.599&lt;/_impact_factor&gt;&lt;_isbn&gt;1664-8021 (Electronic); 1664-8021 (Linking)&lt;/_isbn&gt;&lt;_journal&gt;Front Genet&lt;/_journal&gt;&lt;_keywords&gt;differentiation; microRNA; myelination; oligodendrocyte precursor cell&lt;/_keywords&gt;&lt;_language&gt;eng&lt;/_language&gt;&lt;_modified&gt;64495644&lt;/_modified&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Details&gt;&lt;Extra&gt;&lt;DBUID&gt;{F96A950B-833F-4880-A151-76DA2D6A2879}&lt;/DBUID&gt;&lt;/Extra&gt;&lt;/Item&gt;&lt;/References&gt;&lt;/Group&gt;&lt;/Citation&gt;_x000a_"/>
    <w:docVar w:name="NE.Ref{B8AA9967-6558-468E-B7A8-1EDF9529CDC5}" w:val=" ADDIN NE.Ref.{B8AA9967-6558-468E-B7A8-1EDF9529CDC5}&lt;Citation&gt;&lt;Group&gt;&lt;References&gt;&lt;Item&gt;&lt;ID&gt;663&lt;/ID&gt;&lt;UID&gt;{99B4DAA5-F8F5-42DD-A43F-55C9FD048607}&lt;/UID&gt;&lt;Title&gt;MicroRNA let-7e Is a Potential Circulating Biomarker of Acute Stage Ischemic Stroke&lt;/Title&gt;&lt;Template&gt;Journal Article&lt;/Template&gt;&lt;Star&gt;0&lt;/Star&gt;&lt;Tag&gt;0&lt;/Tag&gt;&lt;Author&gt;Peng, G; Yuan, Y; Wu, S; He, F; Hu, Y; Luo, B&lt;/Author&gt;&lt;Year&gt;2015&lt;/Year&gt;&lt;Details&gt;&lt;_accession_num&gt;26415639&lt;/_accession_num&gt;&lt;_author_adr&gt;Department of Neurology, First Affiliated Hospital, Zhejiang University, 79 Qingchun Road, Hangzhou, 310003, People&amp;apos;s Republic of China.; Laboratory of Brain Medical Center, First Affiliated Hospital, Zhejiang University, 79 Qingchun Road, Hangzhou, 310003, China.; Department of Neurology, First Affiliated Hospital, Zhejiang University, 79 Qingchun Road, Hangzhou, 310003, People&amp;apos;s Republic of China.; National Key Laboratory of Diagnosis and Treatment for Infectious Diseases, First Affiliated Hospital, Zhejiang University, 79 Qingchun Road, Hangzhou, 310003, China.; Laboratory of Brain Medical Center, First Affiliated Hospital, Zhejiang University, 79 Qingchun Road, Hangzhou, 310003, China.; Department of Neurology, First Affiliated Hospital, Zhejiang University, 79 Qingchun Road, Hangzhou, 310003, People&amp;apos;s Republic of China.; Department of Neurology, First Affiliated Hospital, Zhejiang University, 79 Qingchun Road, Hangzhou, 310003, People&amp;apos;s Republic of China. luobenyan@zju.edu.cn.; Laboratory of Brain Medical Center, First Affiliated Hospital, Zhejiang University, 79 Qingchun Road, Hangzhou, 310003, China. luobenyan@zju.edu.cn.&lt;/_author_adr&gt;&lt;_date_display&gt;2015 Dec&lt;/_date_display&gt;&lt;_date&gt;2015-12-01&lt;/_date&gt;&lt;_doi&gt;10.1007/s12975-015-0422-x&lt;/_doi&gt;&lt;_isbn&gt;1868-601X (Electronic); 1868-4483 (Linking)&lt;/_isbn&gt;&lt;_issue&gt;6&lt;/_issue&gt;&lt;_journal&gt;Transl Stroke Res&lt;/_journal&gt;&lt;_keywords&gt;Acute stage; Circulating biomarker; Ischemic stroke; Let-7e; MicroRNA-338&lt;/_keywords&gt;&lt;_language&gt;eng&lt;/_language&gt;&lt;_pages&gt;437-45&lt;/_pages&gt;&lt;_subject_headings&gt;Aged; Biomarkers/blood/cerebrospinal fluid; Brain Ischemia/blood/cerebrospinal fluid/*metabolism; Female; Humans; Male; MicroRNAs/blood/cerebrospinal fluid/*metabolism; Middle Aged; Stroke/blood/cerebrospinal fluid/*metabolism&lt;/_subject_headings&gt;&lt;_tertiary_title&gt;Translational stroke research&lt;/_tertiary_title&gt;&lt;_type_work&gt;Journal Article; Research Support, Non-U.S. Gov&amp;apos;t&lt;/_type_work&gt;&lt;_url&gt;http://www.ncbi.nlm.nih.gov/entrez/query.fcgi?cmd=Retrieve&amp;amp;db=pubmed&amp;amp;dopt=Abstract&amp;amp;list_uids=26415639&amp;amp;query_hl=1&lt;/_url&gt;&lt;_volume&gt;6&lt;/_volume&gt;&lt;_created&gt;64495735&lt;/_created&gt;&lt;_modified&gt;64495735&lt;/_modified&gt;&lt;_db_updated&gt;PubMed&lt;/_db_updated&gt;&lt;_impact_factor&gt;   6.829&lt;/_impact_factor&gt;&lt;_collection_scope&gt;SCIE&lt;/_collection_scope&gt;&lt;/Details&gt;&lt;Extra&gt;&lt;DBUID&gt;{F96A950B-833F-4880-A151-76DA2D6A2879}&lt;/DBUID&gt;&lt;/Extra&gt;&lt;/Item&gt;&lt;/References&gt;&lt;/Group&gt;&lt;/Citation&gt;_x000a_"/>
    <w:docVar w:name="NE.Ref{B96FED2A-CEF4-47CA-8FFB-1658F9E0EECF}" w:val=" ADDIN NE.Ref.{B96FED2A-CEF4-47CA-8FFB-1658F9E0EECF}&lt;Citation&gt;&lt;Group&gt;&lt;References&gt;&lt;Item&gt;&lt;ID&gt;651&lt;/ID&gt;&lt;UID&gt;{B968A217-B813-4F0F-A6BF-161D71236258}&lt;/UID&gt;&lt;Title&gt;A novel miR-338-3p/SLC1A5 axis reprograms retinal pigment epithelium to increases its resistance to high glucose-induced cell ferroptosis&lt;/Title&gt;&lt;Template&gt;Journal Article&lt;/Template&gt;&lt;Star&gt;0&lt;/Star&gt;&lt;Tag&gt;0&lt;/Tag&gt;&lt;Author&gt;Zhou, J; Sun, C; Dong, X; Wang, H&lt;/Author&gt;&lt;Year&gt;2022&lt;/Year&gt;&lt;Details&gt;&lt;_accession_num&gt;35320491&lt;/_accession_num&gt;&lt;_author_adr&gt;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huiwanghomewh@163.com.&lt;/_author_adr&gt;&lt;_date_display&gt;2022 Jun&lt;/_date_display&gt;&lt;_date&gt;2022-06-01&lt;/_date&gt;&lt;_doi&gt;10.1007/s10735-022-10070-0&lt;/_doi&gt;&lt;_isbn&gt;1567-2387 (Electronic); 1567-2379 (Linking)&lt;/_isbn&gt;&lt;_issue&gt;3&lt;/_issue&gt;&lt;_journal&gt;J Mol Histol&lt;/_journal&gt;&lt;_keywords&gt;Cell ferroptosis; Diabetic retinopathy; ROS; SLC1A5; miR-338-3p&lt;/_keywords&gt;&lt;_language&gt;eng&lt;/_language&gt;&lt;_ori_publication&gt;(c) 2022. The Author(s), under exclusive licence to Springer Nature B.V.&lt;/_ori_publication&gt;&lt;_pages&gt;561-571&lt;/_pages&gt;&lt;_subject_headings&gt;*Amino Acid Transport System ASC/genetics/metabolism; Apoptosis; Cell Proliferation/genetics; *Diabetic Retinopathy/genetics/pathology; *Ferroptosis; Glucose/pharmacology; Humans; *MicroRNAs/genetics; *Minor Histocompatibility Antigens/genetics/metabolism; Reactive Oxygen Species/metabolism; Retinal Pigment Epithelium/metabolism/pathology&lt;/_subject_headings&gt;&lt;_tertiary_title&gt;Journal of molecular histology&lt;/_tertiary_title&gt;&lt;_type_work&gt;Journal Article&lt;/_type_work&gt;&lt;_url&gt;http://www.ncbi.nlm.nih.gov/entrez/query.fcgi?cmd=Retrieve&amp;amp;db=pubmed&amp;amp;dopt=Abstract&amp;amp;list_uids=35320491&amp;amp;query_hl=1&lt;/_url&gt;&lt;_volume&gt;53&lt;/_volume&gt;&lt;_created&gt;64495579&lt;/_created&gt;&lt;_modified&gt;64495579&lt;/_modified&gt;&lt;_db_updated&gt;PubMed&lt;/_db_updated&gt;&lt;_impact_factor&gt;   2.611&lt;/_impact_factor&gt;&lt;_collection_scope&gt;SCI;SCIE&lt;/_collection_scope&gt;&lt;/Details&gt;&lt;Extra&gt;&lt;DBUID&gt;{F96A950B-833F-4880-A151-76DA2D6A2879}&lt;/DBUID&gt;&lt;/Extra&gt;&lt;/Item&gt;&lt;/References&gt;&lt;/Group&gt;&lt;/Citation&gt;_x000a_"/>
    <w:docVar w:name="NE.Ref{BAF87309-0871-43ED-979A-C3C7620F65F5}" w:val=" ADDIN NE.Ref.{BAF87309-0871-43ED-979A-C3C7620F65F5}&lt;Citation&gt;&lt;Group&gt;&lt;References&gt;&lt;Item&gt;&lt;ID&gt;661&lt;/ID&gt;&lt;UID&gt;{C427F71E-3579-454F-A0E0-2FE217DC0A2F}&lt;/UID&gt;&lt;Title&gt;A long non-coding RNA, ELFN1-AS1, sponges miR-1250 to upregulate MTA1 to promote  cell proliferation, migration and invasion, and induce apoptosis in colorectal cancer&lt;/Title&gt;&lt;Template&gt;Journal Article&lt;/Template&gt;&lt;Star&gt;0&lt;/Star&gt;&lt;Tag&gt;0&lt;/Tag&gt;&lt;Author&gt;Zhai, L Q; Wang, X X; Qu, C X; Yang, L Z; Jia, C M; Shi, X C&lt;/Author&gt;&lt;Year&gt;2021&lt;/Year&gt;&lt;Details&gt;&lt;_accession_num&gt;34337713&lt;/_accession_num&gt;&lt;_author_adr&gt;Department of Pathology, Shanxi Provincial People&amp;apos;s Hospital, Taiyuan, Shanxi Province, China. LiqinZhai8080@163.com.&lt;/_author_adr&gt;&lt;_date_display&gt;2021 Jul&lt;/_date_display&gt;&lt;_date&gt;2021-07-01&lt;/_date&gt;&lt;_doi&gt;10.26355/eurrev_202107_26376&lt;/_doi&gt;&lt;_isbn&gt;2284-0729 (Electronic); 1128-3602 (Linking)&lt;/_isbn&gt;&lt;_issue&gt;14&lt;/_issue&gt;&lt;_journal&gt;Eur Rev Med Pharmacol Sci&lt;/_journal&gt;&lt;_language&gt;eng&lt;/_language&gt;&lt;_pages&gt;4655-4667&lt;/_pages&gt;&lt;_subject_headings&gt;*Apoptosis; Cell Movement; Cell Proliferation; Colorectal Neoplasms/*metabolism/pathology; Female; Humans; Male; MicroRNAs/genetics/*metabolism; Middle Aged; RNA, Long Noncoding/genetics/*metabolism; Repressor Proteins/genetics/*metabolism; Trans-Activators/genetics/*metabolism; Tumor Cells, Cultured; *Up-Regulation&lt;/_subject_headings&gt;&lt;_tertiary_title&gt;European review for medical and pharmacological sciences&lt;/_tertiary_title&gt;&lt;_type_work&gt;Journal Article&lt;/_type_work&gt;&lt;_url&gt;http://www.ncbi.nlm.nih.gov/entrez/query.fcgi?cmd=Retrieve&amp;amp;db=pubmed&amp;amp;dopt=Abstract&amp;amp;list_uids=34337713&amp;amp;query_hl=1&lt;/_url&gt;&lt;_volume&gt;25&lt;/_volume&gt;&lt;_created&gt;64495733&lt;/_created&gt;&lt;_modified&gt;64495733&lt;/_modified&gt;&lt;_db_updated&gt;PubMed&lt;/_db_updated&gt;&lt;_impact_factor&gt;   3.507&lt;/_impact_factor&gt;&lt;/Details&gt;&lt;Extra&gt;&lt;DBUID&gt;{F96A950B-833F-4880-A151-76DA2D6A2879}&lt;/DBUID&gt;&lt;/Extra&gt;&lt;/Item&gt;&lt;/References&gt;&lt;/Group&gt;&lt;/Citation&gt;_x000a_"/>
    <w:docVar w:name="NE.Ref{C1870037-1987-4013-B07A-AD7E1D004EDC}" w:val=" ADDIN NE.Ref.{C1870037-1987-4013-B07A-AD7E1D004EDC}&lt;Citation&gt;&lt;Group&gt;&lt;References&gt;&lt;Item&gt;&lt;ID&gt;758&lt;/ID&gt;&lt;UID&gt;{B278336F-8C6A-419C-925F-6EB1723A3E67}&lt;/UID&gt;&lt;Title&gt;MicroRNA-338 inhibition protects against focal cerebral ischemia and preserves  mitochondrial function in vitro in astrocytes and neurons via COX4I1&lt;/Title&gt;&lt;Template&gt;Journal Article&lt;/Template&gt;&lt;Star&gt;0&lt;/Star&gt;&lt;Tag&gt;0&lt;/Tag&gt;&lt;Author&gt;Li, L; Voloboueva, L; Griffiths, B B; Xu, L; Giffard, R G; Stary, C M&lt;/Author&gt;&lt;Year&gt;2021&lt;/Year&gt;&lt;Details&gt;&lt;_accession_num&gt;33933660&lt;/_accession_num&gt;&lt;_author_adr&gt;Dept of Anesthesiology, Perioperative &amp;amp; Pain Medicine, Stanford University School  of Medicine, Stanford, CA, USA; Dept of Anesthesiology, Southern Medical  University, Guangzhou, China.; Dept of Anesthesiology, Perioperative &amp;amp; Pain Medicine, Stanford University School  of Medicine, Stanford, CA, USA.; Dept of Anesthesiology, Perioperative &amp;amp; Pain Medicine, Stanford University School  of Medicine, Stanford, CA, USA.; Dept of Anesthesiology, Perioperative &amp;amp; Pain Medicine, Stanford University School  of Medicine, Stanford, CA, USA.; Dept of Anesthesiology, Perioperative &amp;amp; Pain Medicine, Stanford University School  of Medicine, Stanford, CA, USA.; Dept of Anesthesiology, Perioperative &amp;amp; Pain Medicine, Stanford University School  of Medicine, Stanford, CA, USA. Electronic address: cstary@stanford.edu.&lt;/_author_adr&gt;&lt;_date_display&gt;2021 Jul&lt;/_date_display&gt;&lt;_date&gt;2021-07-01&lt;/_date&gt;&lt;_doi&gt;10.1016/j.mito.2021.04.013&lt;/_doi&gt;&lt;_isbn&gt;1872-8278 (Electronic); 1567-7249 (Print); 1567-7249 (Linking)&lt;/_isbn&gt;&lt;_journal&gt;Mitochondrion&lt;/_journal&gt;&lt;_keywords&gt;ATP; Glia; Oxidative phosphorylation; ROS; Stroke; TMRE; miRNA&lt;/_keywords&gt;&lt;_language&gt;eng&lt;/_language&gt;&lt;_ori_publication&gt;Copyright (c) 2021 Elsevier B.V. and Mitochondria Research Society. All rights _x000d__x000a_      reserved.&lt;/_ori_publication&gt;&lt;_pages&gt;105-112&lt;/_pages&gt;&lt;_subject_headings&gt;Animals; Astrocytes/chemistry/*cytology; Brain Ischemia/etiology/*genetics/metabolism; Cell Survival; Cells, Cultured; Disease Models, Animal; Electron Transport Complex IV/*genetics; Gene Expression Regulation; Male; Mice; Mice, Inbred C57BL; MicroRNAs/*genetics; Mitochondria/*metabolism; Neurons/chemistry/*cytology; Primary Cell Culture&lt;/_subject_headings&gt;&lt;_tertiary_title&gt;Mitochondrion&lt;/_tertiary_title&gt;&lt;_type_work&gt;Journal Article; Research Support, N.I.H., Extramural; Research Support, Non-U.S. Gov&amp;apos;t&lt;/_type_work&gt;&lt;_url&gt;http://www.ncbi.nlm.nih.gov/entrez/query.fcgi?cmd=Retrieve&amp;amp;db=pubmed&amp;amp;dopt=Abstract&amp;amp;list_uids=33933660&amp;amp;query_hl=1&lt;/_url&gt;&lt;_volume&gt;59&lt;/_volume&gt;&lt;_created&gt;64828101&lt;/_created&gt;&lt;_modified&gt;64828101&lt;/_modified&gt;&lt;_db_updated&gt;PubMed&lt;/_db_updated&gt;&lt;_impact_factor&gt;   4.160&lt;/_impact_factor&gt;&lt;_collection_scope&gt;SCIE&lt;/_collection_scope&gt;&lt;/Details&gt;&lt;Extra&gt;&lt;DBUID&gt;{F96A950B-833F-4880-A151-76DA2D6A2879}&lt;/DBUID&gt;&lt;/Extra&gt;&lt;/Item&gt;&lt;/References&gt;&lt;/Group&gt;&lt;/Citation&gt;_x000a_"/>
    <w:docVar w:name="NE.Ref{C46D8015-E90C-44A8-9D74-499F5AB11618}" w:val=" ADDIN NE.Ref.{C46D8015-E90C-44A8-9D74-499F5AB11618}&lt;Citation&gt;&lt;Group&gt;&lt;References&gt;&lt;Item&gt;&lt;ID&gt;679&lt;/ID&gt;&lt;UID&gt;{5083C370-D3F0-4982-BFB1-5C1784D65BE0}&lt;/UID&gt;&lt;Title&gt;SLC gene mutations and pediatric neurological disorders: diverse clinical phenotypes in a Saudi Arabian population&lt;/Title&gt;&lt;Template&gt;Journal Article&lt;/Template&gt;&lt;Star&gt;0&lt;/Star&gt;&lt;Tag&gt;0&lt;/Tag&gt;&lt;Author&gt;Mir, A; Almudhry, M; Alghamdi, F; Albaradie, R; Ibrahim, M; Aldurayhim, F; Alhedaithy, A; Alamr, M; Bawazir, M; Mohammad, S; Abdelhay, S; Bashir, S; Housawi, Y&lt;/Author&gt;&lt;Year&gt;2022&lt;/Year&gt;&lt;Details&gt;&lt;_accession_num&gt;34797406&lt;/_accession_num&gt;&lt;_author_adr&gt;Department of Pediatric Neurology, Neuroscience Center, King Fahad Specialist Hospital, Ammar Bin Thabit Street, Dammam, 31444, Kingdom of Saudi Arabia. ali.mir@kfsh.med.s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Department of Pediatric Neurology, Neuroscience Center, King Fahad Specialist Hospital, Ammar Bin Thabit Street, Dammam, 31444, Kingdom of Saudi Arabia.; Genetic and Metabolic Department, King Fahad Specialist Hospital, Dammam, Kingdom of Saudi Arabia.; Genetic and Metabolic Department, King Fahad Specialist Hospital, Dammam, Kingdom of Saudi Arabia.; Department of Pediatric, King Fahad Specialist Hospital, Dammam, Kingdom of Saudi Arabia.; Department of Pediatric, King Fahad Specialist Hospital, Dammam, Kingdom of Saudi Arabia.; Department of Pediatric Neurology, Neuroscience Center, King Fahad Specialist Hospital, Ammar Bin Thabit Street, Dammam, 31444, Kingdom of Saudi Arabia.; Genetic and Metabolic Department, King Fahad Specialist Hospital, Dammam, Kingdom of Saudi Arabia.&lt;/_author_adr&gt;&lt;_date_display&gt;2022 Jan&lt;/_date_display&gt;&lt;_date&gt;2022-01-01&lt;/_date&gt;&lt;_doi&gt;10.1007/s00439-021-02404-x&lt;/_doi&gt;&lt;_isbn&gt;1432-1203 (Electronic); 0340-6717 (Linking)&lt;/_isbn&gt;&lt;_issue&gt;1&lt;/_issue&gt;&lt;_journal&gt;Hum Genet&lt;/_journal&gt;&lt;_language&gt;eng&lt;/_language&gt;&lt;_ori_publication&gt;(c) 2021. The Author(s), under exclusive licence to Springer-Verlag GmbH Germany,_x000d__x000a_      part of Springer Nature.&lt;/_ori_publication&gt;&lt;_pages&gt;81-99&lt;/_pages&gt;&lt;_subject_headings&gt;Adolescent; Asians/genetics; Autism Spectrum Disorder/*genetics; Brain/metabolism; Bulbar Palsy, Progressive/genetics; Child; Child, Preschool; Epilepsy/*genetics; Female; *Genetic Predisposition to Disease; Hearing Loss, Sensorineural/genetics; Humans; Infant; Intellectual Disability/*genetics; Male; Membrane Transport Proteins/genetics; Mutation; Phenotype; Saudi Arabia; Solute Carrier Proteins/*genetics&lt;/_subject_headings&gt;&lt;_tertiary_title&gt;Human genetics&lt;/_tertiary_title&gt;&lt;_type_work&gt;Journal Article&lt;/_type_work&gt;&lt;_url&gt;http://www.ncbi.nlm.nih.gov/entrez/query.fcgi?cmd=Retrieve&amp;amp;db=pubmed&amp;amp;dopt=Abstract&amp;amp;list_uids=34797406&amp;amp;query_hl=1&lt;/_url&gt;&lt;_volume&gt;141&lt;/_volume&gt;&lt;_created&gt;64495814&lt;/_created&gt;&lt;_modified&gt;64495814&lt;/_modified&gt;&lt;_db_updated&gt;PubMed&lt;/_db_updated&gt;&lt;_impact_factor&gt;   4.132&lt;/_impact_factor&gt;&lt;_collection_scope&gt;SCI;SCIE&lt;/_collection_scope&gt;&lt;/Details&gt;&lt;Extra&gt;&lt;DBUID&gt;{F96A950B-833F-4880-A151-76DA2D6A2879}&lt;/DBUID&gt;&lt;/Extra&gt;&lt;/Item&gt;&lt;/References&gt;&lt;/Group&gt;&lt;/Citation&gt;_x000a_"/>
    <w:docVar w:name="NE.Ref{C6FA79C2-7E7C-4855-9794-B634FDFA73D9}" w:val=" ADDIN NE.Ref.{C6FA79C2-7E7C-4855-9794-B634FDFA73D9}&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CD718358-804B-4589-B702-5CF09C3FD1F8}" w:val=" ADDIN NE.Ref.{CD718358-804B-4589-B702-5CF09C3FD1F8}&lt;Citation&gt;&lt;Group&gt;&lt;References&gt;&lt;Item&gt;&lt;ID&gt;656&lt;/ID&gt;&lt;UID&gt;{C59B861C-62FB-44A2-A89A-A9D66F448283}&lt;/UID&gt;&lt;Title&gt;miR-338-3p suppresses neuroblastoma proliferation, invasion and migration through targeting PREX2a&lt;/Title&gt;&lt;Template&gt;Journal Article&lt;/Template&gt;&lt;Star&gt;0&lt;/Star&gt;&lt;Tag&gt;0&lt;/Tag&gt;&lt;Author&gt;Chen, X; Pan, M; Han, L; Lu, H; Hao, X; Dong, Q&lt;/Author&gt;&lt;Year&gt;2013&lt;/Year&gt;&lt;Details&gt;&lt;_accession_num&gt;24140344&lt;/_accession_num&gt;&lt;_author_adr&gt;Department of Pediatric Surgery, The Affiliated Hospital of Medical College, Qingdao University, Qingdao, Shandong, China. Electronic address: brabus-cx@163.com.&lt;/_author_adr&gt;&lt;_date_display&gt;2013 Nov 15&lt;/_date_display&gt;&lt;_date&gt;2013-11-15&lt;/_date&gt;&lt;_doi&gt;10.1016/j.febslet.2013.09.044&lt;/_doi&gt;&lt;_isbn&gt;1873-3468 (Electronic); 0014-5793 (Linking)&lt;/_isbn&gt;&lt;_issue&gt;22&lt;/_issue&gt;&lt;_journal&gt;FEBS Lett&lt;/_journal&gt;&lt;_keywords&gt;AKT; Metastasis; Microarray; Neuroblastoma; PREX2a; PTEN; miR-338-3p&lt;/_keywords&gt;&lt;_language&gt;eng&lt;/_language&gt;&lt;_ori_publication&gt;Copyright (c) 2013 Federation of European Biochemical Societies. Published by_x000d__x000a_      Elsevier B.V. All rights reserved.&lt;/_ori_publication&gt;&lt;_pages&gt;3729-37&lt;/_pages&gt;&lt;_subject_headings&gt;3&amp;apos; Untranslated Regions; Base Sequence; Binding Sites; Cell Line, Tumor; *Cell Movement; *Cell Proliferation; Down-Regulation; Gene Expression Regulation, Neoplastic; Guanine Nucleotide Exchange Factors/*genetics/metabolism; Humans; MicroRNAs/*genetics/metabolism; Neoplasm Invasiveness; Neuroblastoma/genetics/*metabolism/secondary; PTEN Phosphohydrolase/metabolism; Proto-Oncogene Proteins c-akt/metabolism; RNA Interference; RNA, Messenger/genetics/metabolism; Signal Transduction&lt;/_subject_headings&gt;&lt;_tertiary_title&gt;FEBS letters&lt;/_tertiary_title&gt;&lt;_type_work&gt;Journal Article; Research Support, Non-U.S. Gov&amp;apos;t&lt;/_type_work&gt;&lt;_url&gt;http://www.ncbi.nlm.nih.gov/entrez/query.fcgi?cmd=Retrieve&amp;amp;db=pubmed&amp;amp;dopt=Abstract&amp;amp;list_uids=24140344&amp;amp;query_hl=1&lt;/_url&gt;&lt;_volume&gt;587&lt;/_volume&gt;&lt;_created&gt;64495643&lt;/_created&gt;&lt;_modified&gt;64495643&lt;/_modified&gt;&lt;_db_updated&gt;PubMed&lt;/_db_updated&gt;&lt;_impact_factor&gt;   4.124&lt;/_impact_factor&gt;&lt;_collection_scope&gt;SCI;SCIE&lt;/_collection_scope&gt;&lt;/Details&gt;&lt;Extra&gt;&lt;DBUID&gt;{F96A950B-833F-4880-A151-76DA2D6A2879}&lt;/DBUID&gt;&lt;/Extra&gt;&lt;/Item&gt;&lt;/References&gt;&lt;/Group&gt;&lt;/Citation&gt;_x000a_"/>
    <w:docVar w:name="NE.Ref{D00FB231-DB22-4EED-8E60-A66375507986}" w:val=" ADDIN NE.Ref.{D00FB231-DB22-4EED-8E60-A66375507986}&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D02F3071-96B5-4ADE-8865-AB83D5E42CF0}" w:val=" ADDIN NE.Ref.{D02F3071-96B5-4ADE-8865-AB83D5E42CF0}&lt;Citation&gt;&lt;Group&gt;&lt;References&gt;&lt;Item&gt;&lt;ID&gt;652&lt;/ID&gt;&lt;UID&gt;{29C8E6D2-E674-4999-9AE8-68CEBF5709BC}&lt;/UID&gt;&lt;Title&gt;Long Non-Coding RNA MALAT1 Promotes Acute Cerebral Infarction Through miRNAs-Mediated hs-CRP Regulation&lt;/Title&gt;&lt;Template&gt;Journal Article&lt;/Template&gt;&lt;Star&gt;0&lt;/Star&gt;&lt;Tag&gt;0&lt;/Tag&gt;&lt;Author&gt;Teng, L; Meng, R&lt;/Author&gt;&lt;Year&gt;2019&lt;/Year&gt;&lt;Details&gt;&lt;_accession_num&gt;31342266&lt;/_accession_num&gt;&lt;_author_adr&gt;Department of Geriatric Medicine, Shanghai East Hospital, Tongji University School of Medicine, No. 150 Jimo Road, Pudong New Area, Shanghai, 200120, China.  tengli0812@126.com.; Central Laboratory, Shanghai Oriental Hospital, Tongji University School of Medicine, Shanghai, 200120, China.&lt;/_author_adr&gt;&lt;_date_display&gt;2019 Nov&lt;/_date_display&gt;&lt;_date&gt;2019-11-01&lt;/_date&gt;&lt;_doi&gt;10.1007/s12031-019-01384-y&lt;/_doi&gt;&lt;_isbn&gt;1559-1166 (Electronic); 0895-8696 (Linking)&lt;/_isbn&gt;&lt;_issue&gt;3&lt;/_issue&gt;&lt;_journal&gt;J Mol Neurosci&lt;/_journal&gt;&lt;_keywords&gt;Acute cerebral infarction; High-sensitivity C-reactive protein; Long-chain non-coding RNA; microRNAs&lt;/_keywords&gt;&lt;_language&gt;eng&lt;/_language&gt;&lt;_pages&gt;494-504&lt;/_pages&gt;&lt;_subject_headings&gt;3&amp;apos; Untranslated Regions; Acute Disease; Aged; Asians/genetics; Binding Sites; C-Reactive Protein/*biosynthesis/genetics; Cerebral Infarction/blood/*genetics; Comorbidity; Female; Gene Expression Regulation; Human Umbilical Vein Endothelial Cells; Humans; Male; MicroRNAs/biosynthesis/blood/*genetics; Middle Aged; Nerve Tissue Proteins/*biosynthesis/genetics; RNA Interference; RNA, Long Noncoding/blood/*genetics; RNA, Small Interfering/genetics; Risk Factors; Transfection; Up-Regulation&lt;/_subject_headings&gt;&lt;_tertiary_title&gt;Journal of molecular neuroscience : MN&lt;/_tertiary_title&gt;&lt;_type_work&gt;Journal Article&lt;/_type_work&gt;&lt;_url&gt;http://www.ncbi.nlm.nih.gov/entrez/query.fcgi?cmd=Retrieve&amp;amp;db=pubmed&amp;amp;dopt=Abstract&amp;amp;list_uids=31342266&amp;amp;query_hl=1&lt;/_url&gt;&lt;_volume&gt;69&lt;/_volume&gt;&lt;_created&gt;64495583&lt;/_created&gt;&lt;_modified&gt;64495583&lt;/_modified&gt;&lt;_db_updated&gt;PubMed&lt;/_db_updated&gt;&lt;_impact_factor&gt;   3.444&lt;/_impact_factor&gt;&lt;_collection_scope&gt;SCI;SCIE&lt;/_collection_scope&gt;&lt;/Details&gt;&lt;Extra&gt;&lt;DBUID&gt;{F96A950B-833F-4880-A151-76DA2D6A2879}&lt;/DBUID&gt;&lt;/Extra&gt;&lt;/Item&gt;&lt;/References&gt;&lt;/Group&gt;&lt;Group&gt;&lt;References&gt;&lt;Item&gt;&lt;ID&gt;655&lt;/ID&gt;&lt;UID&gt;{246E8DE0-5777-4B47-AA78-354B3A92A8DE}&lt;/UID&gt;&lt;Title&gt;A microRNA panel that regulates proinflammatory cytokines as diagnostic and prognosis biomarkers in colon cancer&lt;/Title&gt;&lt;Template&gt;Journal Article&lt;/Template&gt;&lt;Star&gt;0&lt;/Star&gt;&lt;Tag&gt;0&lt;/Tag&gt;&lt;Author&gt;Martinez-Gutierrez, A; Carbajal-Lopez, B; Bui, T M; Mendoza-Rodriguez, M; Campos-Parra, A D; Calderillo-Ruiz, G; Cantu-De, Leon D; Madrigal-Santillan, E O; Sumagin, R; Perez-Plasencia, C; Perez-Yepez, E A&lt;/Author&gt;&lt;Year&gt;2022&lt;/Year&gt;&lt;Details&gt;&lt;_accession_num&gt;35313644&lt;/_accession_num&gt;&lt;_author_adr&gt;Laboratorio de Genomica, Instituto Nacional de Cancerologia, Tlalpan, Mexico.; Laboratorio de Genomica, Instituto Nacional de Cancerologia, Tlalpan, Mexico.; Programa de Doctorado en Investigacion en Medicina, Escuela Superior de Medicina, Instituto Politecnico Nacional, Mexico.; Department of Pathology, Northwestern University Feinberg School of Medicine, 300 East Superior St., Chicago, IL, 60611, USA.; Unidad de Biomedicina, FES-Iztacala, Universidad Nacional Autonoma de Mexico, Tlalnepantla, Estado de Mexico, 54090, Mexico.; Laboratorio de Genomica, Instituto Nacional de Cancerologia, Tlalpan, Mexico.; Subdireccion de Medicina Interna, Instituto Nacional de Cancerologia, Tlalpan, Mexico.; Unidad de Investigacion en Cancer, Instituto Nacional de Cancerologia, Tlalpan, Mexico.; Laboratorio de Medicina de la Conservacion, Escuela Superior de Medicina, Instituto Politecnico Nacional, Ciudad de Mexico, 11340, Mexico.; Department of Pathology, Northwestern University Feinberg School of Medicine, 300 East Superior St., Chicago, IL, 60611, USA.; Laboratorio de Genomica, Instituto Nacional de Cancerologia, Tlalpan, Mexico.; Laboratorio de Genomica Funcional. Unidad de Biomedicina, FES-IZTACALA, UNAM, Tlalnepantla, Mexico.; Laboratorio de Genomica, Instituto Nacional de Cancerologia, Tlalpan, Mexico.; Catedra-CONACYT, Direccion de Catedras, Consejo Nacional de Ciencia y Tecnologia  (CONACYT), Mexico.&lt;/_author_adr&gt;&lt;_date_display&gt;2022 Jul&lt;/_date_display&gt;&lt;_date&gt;2022-07-01&lt;/_date&gt;&lt;_doi&gt;10.1016/j.bbrep.2022.101252&lt;/_doi&gt;&lt;_isbn&gt;2405-5808 (Electronic); 2405-5808 (Linking)&lt;/_isbn&gt;&lt;_journal&gt;Biochem Biophys Rep&lt;/_journal&gt;&lt;_keywords&gt;Biomarkers; Colon cancer; Computational assay; Proinflammatory cytokines&lt;/_keywords&gt;&lt;_language&gt;eng&lt;/_language&gt;&lt;_ori_publication&gt;(c) 2022 The Authors.&lt;/_ori_publication&gt;&lt;_pages&gt;101252&lt;/_pages&gt;&lt;_tertiary_title&gt;Biochemistry and biophysics reports&lt;/_tertiary_title&gt;&lt;_type_work&gt;Journal Article&lt;/_type_work&gt;&lt;_url&gt;http://www.ncbi.nlm.nih.gov/entrez/query.fcgi?cmd=Retrieve&amp;amp;db=pubmed&amp;amp;dopt=Abstract&amp;amp;list_uids=35313644&amp;amp;query_hl=1&lt;/_url&gt;&lt;_volume&gt;30&lt;/_volume&gt;&lt;_created&gt;64495590&lt;/_created&gt;&lt;_modified&gt;64495590&lt;/_modified&gt;&lt;_db_updated&gt;PubMed&lt;/_db_updated&gt;&lt;/Details&gt;&lt;Extra&gt;&lt;DBUID&gt;{F96A950B-833F-4880-A151-76DA2D6A2879}&lt;/DBUID&gt;&lt;/Extra&gt;&lt;/Item&gt;&lt;/References&gt;&lt;/Group&gt;&lt;Group&gt;&lt;References&gt;&lt;Item&gt;&lt;ID&gt;660&lt;/ID&gt;&lt;UID&gt;{22DA5A5F-940D-4B43-9245-AD0EB63E66C6}&lt;/UID&gt;&lt;Title&gt;LncRNA CASC15 Promotes Cerebral Ischemia/Reperfusion Injury via miR-338-3p/ETS1 Axis in Acute Ischemic Stroke&lt;/Title&gt;&lt;Template&gt;Journal Article&lt;/Template&gt;&lt;Star&gt;0&lt;/Star&gt;&lt;Tag&gt;0&lt;/Tag&gt;&lt;Author&gt;Chen, C; Wang, L; Wang, L; Liu, Q; Wang, C&lt;/Author&gt;&lt;Year&gt;2021&lt;/Year&gt;&lt;Details&gt;&lt;_accession_num&gt;34629895&lt;/_accession_num&gt;&lt;_author_adr&gt;Institute of Chinese Medicine, Heilongjiang University of Chinese Medicine, Harbin, 150040, People&amp;apos;s Republic of China.; Institute of Chinese Medicine, Heilongjiang University of Chinese Medicine, Harbin, 150040, People&amp;apos;s Republic of China.; Harbin Traditional Chinese Medicine Hospital, Harbin, 150076, People&amp;apos;s Republic of China.; Institute of Chinese Medicine, Heilongjiang University of Chinese Medicine, Harbin, 150040, People&amp;apos;s Republic of China.; Institute of Chinese Medicine, Heilongjiang University of Chinese Medicine, Harbin, 150040, People&amp;apos;s Republic of China.&lt;/_author_adr&gt;&lt;_created&gt;64495656&lt;/_created&gt;&lt;_date&gt;2021-01-20&lt;/_date&gt;&lt;_date_display&gt;2021&lt;/_date_display&gt;&lt;_db_updated&gt;PubMed&lt;/_db_updated&gt;&lt;_doi&gt;10.2147/IJGM.S323237&lt;/_doi&gt;&lt;_impact_factor&gt;   2.466&lt;/_impact_factor&gt;&lt;_isbn&gt;1178-7074 (Print); 1178-7074 (Linking)&lt;/_isbn&gt;&lt;_journal&gt;Int J Gen Med&lt;/_journal&gt;&lt;_keywords&gt;CASC15/miR-338-3p/ETS1; acute ischemic stroke; biomarker; inflammation&lt;/_keywords&gt;&lt;_language&gt;eng&lt;/_language&gt;&lt;_modified&gt;64495656&lt;/_modified&gt;&lt;_ori_publication&gt;(c) 2021 Chen et al.&lt;/_ori_publication&gt;&lt;_pages&gt;6305-6313&lt;/_pages&gt;&lt;_tertiary_title&gt;International journal of general medicine&lt;/_tertiary_title&gt;&lt;_type_work&gt;Journal Article&lt;/_type_work&gt;&lt;_url&gt;http://www.ncbi.nlm.nih.gov/entrez/query.fcgi?cmd=Retrieve&amp;amp;db=pubmed&amp;amp;dopt=Abstract&amp;amp;list_uids=34629895&amp;amp;query_hl=1&lt;/_url&gt;&lt;_volume&gt;14&lt;/_volume&gt;&lt;/Details&gt;&lt;Extra&gt;&lt;DBUID&gt;{F96A950B-833F-4880-A151-76DA2D6A2879}&lt;/DBUID&gt;&lt;/Extra&gt;&lt;/Item&gt;&lt;/References&gt;&lt;/Group&gt;&lt;/Citation&gt;_x000a_"/>
    <w:docVar w:name="NE.Ref{D0377D97-0264-4277-AD2C-635129DA8E43}" w:val=" ADDIN NE.Ref.{D0377D97-0264-4277-AD2C-635129DA8E43}&lt;Citation&gt;&lt;Group&gt;&lt;References&gt;&lt;Item&gt;&lt;ID&gt;644&lt;/ID&gt;&lt;UID&gt;{564EA06E-2E5C-4360-98A0-3A16B48B3A97}&lt;/UID&gt;&lt;Title&gt;Sensational MicroRNAs: Neurosensory Roles of the MicroRNA-183 Family&lt;/Title&gt;&lt;Template&gt;Journal Article&lt;/Template&gt;&lt;Star&gt;0&lt;/Star&gt;&lt;Tag&gt;0&lt;/Tag&gt;&lt;Author&gt;Banks, S A; Pierce, M L; Soukup, G A&lt;/Author&gt;&lt;Year&gt;2020&lt;/Year&gt;&lt;Details&gt;&lt;_accession_num&gt;31359323&lt;/_accession_num&gt;&lt;_author_adr&gt;Department of Biomedical Sciences, Creighton University School of Medicine, 2500  California Plaza, Omaha, NE, 68178, USA.; Department of Pharmacology, Creighton University School of Medicine, 2500 California Plaza, Omaha, NE, 68178, USA.; Department of Biomedical Sciences, Creighton University School of Medicine, 2500  California Plaza, Omaha, NE, 68178, USA. gasoukup@creighton.edu.&lt;/_author_adr&gt;&lt;_date_display&gt;2020 Jan&lt;/_date_display&gt;&lt;_date&gt;2020-01-01&lt;/_date&gt;&lt;_doi&gt;10.1007/s12035-019-01717-3&lt;/_doi&gt;&lt;_isbn&gt;1559-1182 (Electronic); 0893-7648 (Linking)&lt;/_isbn&gt;&lt;_issue&gt;1&lt;/_issue&gt;&lt;_journal&gt;Mol Neurobiol&lt;/_journal&gt;&lt;_keywords&gt;Chemoreception; Circadian rhythm; Mechanoreception; Memory; MicroRNA-183 family; Photoreception&lt;/_keywords&gt;&lt;_language&gt;eng&lt;/_language&gt;&lt;_pages&gt;358-371&lt;/_pages&gt;&lt;_subject_headings&gt;Animals; Base Sequence; Circadian Rhythm/genetics; Humans; MicroRNAs/genetics/*metabolism; Pain/genetics; Sensation/*genetics; Sensory Receptor Cells/*metabolism&lt;/_subject_headings&gt;&lt;_tertiary_title&gt;Molecular neurobiology&lt;/_tertiary_title&gt;&lt;_type_work&gt;Journal Article; Review&lt;/_type_work&gt;&lt;_url&gt;http://www.ncbi.nlm.nih.gov/entrez/query.fcgi?cmd=Retrieve&amp;amp;db=pubmed&amp;amp;dopt=Abstract&amp;amp;list_uids=31359323&amp;amp;query_hl=1&lt;/_url&gt;&lt;_volume&gt;57&lt;/_volume&gt;&lt;_created&gt;64494267&lt;/_created&gt;&lt;_modified&gt;64494268&lt;/_modified&gt;&lt;_db_updated&gt;PubMed&lt;/_db_updated&gt;&lt;_impact_factor&gt;   5.590&lt;/_impact_factor&gt;&lt;_collection_scope&gt;SCI;SCIE&lt;/_collection_scope&gt;&lt;/Details&gt;&lt;Extra&gt;&lt;DBUID&gt;{F96A950B-833F-4880-A151-76DA2D6A2879}&lt;/DBUID&gt;&lt;/Extra&gt;&lt;/Item&gt;&lt;/References&gt;&lt;/Group&gt;&lt;/Citation&gt;_x000a_"/>
    <w:docVar w:name="NE.Ref{D398AA35-65F7-49BC-BF33-9BA2DFA092EC}" w:val=" ADDIN NE.Ref.{D398AA35-65F7-49BC-BF33-9BA2DFA092EC}&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DA74FC5C-B6B4-49F4-83DB-73B7161068DF}" w:val=" ADDIN NE.Ref.{DA74FC5C-B6B4-49F4-83DB-73B7161068DF}&lt;Citation&gt;&lt;Group&gt;&lt;References&gt;&lt;Item&gt;&lt;ID&gt;657&lt;/ID&gt;&lt;UID&gt;{D2224D36-D79A-455B-861D-16055E4A9739}&lt;/UID&gt;&lt;Title&gt;Regulation of miRNA 219 and miRNA Clusters 338 and 17-92 in Oligodendrocytes&lt;/Title&gt;&lt;Template&gt;Journal Article&lt;/Template&gt;&lt;Star&gt;0&lt;/Star&gt;&lt;Tag&gt;0&lt;/Tag&gt;&lt;Author&gt;de Faria, O Jr; Cui, Q L; Bin, J M; Bull, S J; Kennedy, T E; Bar-Or, A; Antel, J P; Colman, D R; Dhaunchak, A S&lt;/Author&gt;&lt;Year&gt;2012&lt;/Year&gt;&lt;Details&gt;&lt;_accession_num&gt;22470405&lt;/_accession_num&gt;&lt;_author_adr&gt;Department of Neurology and Neurosurgery, Montreal Neurological Institute and Hospital, McGill University Health Centre, McGill University Montreal, QC, Canada.&lt;/_author_adr&gt;&lt;_date_display&gt;2012&lt;/_date_display&gt;&lt;_date&gt;2012-01-20&lt;/_date&gt;&lt;_doi&gt;10.3389/fgene.2012.00046&lt;/_doi&gt;&lt;_isbn&gt;1664-8021 (Electronic); 1664-8021 (Linking)&lt;/_isbn&gt;&lt;_journal&gt;Front Genet&lt;/_journal&gt;&lt;_keywords&gt;differentiation; microRNA; myelination; oligodendrocyte precursor cell&lt;/_keywords&gt;&lt;_language&gt;eng&lt;/_language&gt;&lt;_pages&gt;46&lt;/_pages&gt;&lt;_tertiary_title&gt;Frontiers in genetics&lt;/_tertiary_title&gt;&lt;_type_work&gt;Journal Article&lt;/_type_work&gt;&lt;_url&gt;http://www.ncbi.nlm.nih.gov/entrez/query.fcgi?cmd=Retrieve&amp;amp;db=pubmed&amp;amp;dopt=Abstract&amp;amp;list_uids=22470405&amp;amp;query_hl=1&lt;/_url&gt;&lt;_volume&gt;3&lt;/_volume&gt;&lt;_created&gt;64495644&lt;/_created&gt;&lt;_modified&gt;64495644&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DE82E0AC-A3C0-45FA-B574-B8365309B432}" w:val=" ADDIN NE.Ref.{DE82E0AC-A3C0-45FA-B574-B8365309B432}&lt;Citation&gt;&lt;Group&gt;&lt;References&gt;&lt;Item&gt;&lt;ID&gt;663&lt;/ID&gt;&lt;UID&gt;{99B4DAA5-F8F5-42DD-A43F-55C9FD048607}&lt;/UID&gt;&lt;Title&gt;MicroRNA let-7e Is a Potential Circulating Biomarker of Acute Stage Ischemic Stroke&lt;/Title&gt;&lt;Template&gt;Journal Article&lt;/Template&gt;&lt;Star&gt;0&lt;/Star&gt;&lt;Tag&gt;0&lt;/Tag&gt;&lt;Author&gt;Peng, G; Yuan, Y; Wu, S; He, F; Hu, Y; Luo, B&lt;/Author&gt;&lt;Year&gt;2015&lt;/Year&gt;&lt;Details&gt;&lt;_accession_num&gt;26415639&lt;/_accession_num&gt;&lt;_author_adr&gt;Department of Neurology, First Affiliated Hospital, Zhejiang University, 79 Qingchun Road, Hangzhou, 310003, People&amp;apos;s Republic of China.; Laboratory of Brain Medical Center, First Affiliated Hospital, Zhejiang University, 79 Qingchun Road, Hangzhou, 310003, China.; Department of Neurology, First Affiliated Hospital, Zhejiang University, 79 Qingchun Road, Hangzhou, 310003, People&amp;apos;s Republic of China.; National Key Laboratory of Diagnosis and Treatment for Infectious Diseases, First Affiliated Hospital, Zhejiang University, 79 Qingchun Road, Hangzhou, 310003, China.; Laboratory of Brain Medical Center, First Affiliated Hospital, Zhejiang University, 79 Qingchun Road, Hangzhou, 310003, China.; Department of Neurology, First Affiliated Hospital, Zhejiang University, 79 Qingchun Road, Hangzhou, 310003, People&amp;apos;s Republic of China.; Department of Neurology, First Affiliated Hospital, Zhejiang University, 79 Qingchun Road, Hangzhou, 310003, People&amp;apos;s Republic of China. luobenyan@zju.edu.cn.; Laboratory of Brain Medical Center, First Affiliated Hospital, Zhejiang University, 79 Qingchun Road, Hangzhou, 310003, China. luobenyan@zju.edu.cn.&lt;/_author_adr&gt;&lt;_date_display&gt;2015 Dec&lt;/_date_display&gt;&lt;_date&gt;2015-12-01&lt;/_date&gt;&lt;_doi&gt;10.1007/s12975-015-0422-x&lt;/_doi&gt;&lt;_isbn&gt;1868-601X (Electronic); 1868-4483 (Linking)&lt;/_isbn&gt;&lt;_issue&gt;6&lt;/_issue&gt;&lt;_journal&gt;Transl Stroke Res&lt;/_journal&gt;&lt;_keywords&gt;Acute stage; Circulating biomarker; Ischemic stroke; Let-7e; MicroRNA-338&lt;/_keywords&gt;&lt;_language&gt;eng&lt;/_language&gt;&lt;_pages&gt;437-45&lt;/_pages&gt;&lt;_subject_headings&gt;Aged; Biomarkers/blood/cerebrospinal fluid; Brain Ischemia/blood/cerebrospinal fluid/*metabolism; Female; Humans; Male; MicroRNAs/blood/cerebrospinal fluid/*metabolism; Middle Aged; Stroke/blood/cerebrospinal fluid/*metabolism&lt;/_subject_headings&gt;&lt;_tertiary_title&gt;Translational stroke research&lt;/_tertiary_title&gt;&lt;_type_work&gt;Journal Article; Research Support, Non-U.S. Gov&amp;apos;t&lt;/_type_work&gt;&lt;_url&gt;http://www.ncbi.nlm.nih.gov/entrez/query.fcgi?cmd=Retrieve&amp;amp;db=pubmed&amp;amp;dopt=Abstract&amp;amp;list_uids=26415639&amp;amp;query_hl=1&lt;/_url&gt;&lt;_volume&gt;6&lt;/_volume&gt;&lt;_created&gt;64495735&lt;/_created&gt;&lt;_modified&gt;64495735&lt;/_modified&gt;&lt;_db_updated&gt;PubMed&lt;/_db_updated&gt;&lt;_impact_factor&gt;   6.829&lt;/_impact_factor&gt;&lt;_collection_scope&gt;SCIE&lt;/_collection_scope&gt;&lt;/Details&gt;&lt;Extra&gt;&lt;DBUID&gt;{F96A950B-833F-4880-A151-76DA2D6A2879}&lt;/DBUID&gt;&lt;/Extra&gt;&lt;/Item&gt;&lt;/References&gt;&lt;/Group&gt;&lt;/Citation&gt;_x000a_"/>
    <w:docVar w:name="NE.Ref{E2BABCAE-2B3B-4FE9-BAAF-F90DC23C9BE1}" w:val=" ADDIN NE.Ref.{E2BABCAE-2B3B-4FE9-BAAF-F90DC23C9BE1}&lt;Citation&gt;&lt;Group&gt;&lt;References&gt;&lt;Item&gt;&lt;ID&gt;650&lt;/ID&gt;&lt;UID&gt;{25CFCB06-AC80-4A48-AE57-47ECA4D37060}&lt;/UID&gt;&lt;Title&gt;A novel miR-338-3p/SLC1A5 axis reprograms retinal pigment epithelium to increases its resistance to high glucose-induced cell ferroptosis&lt;/Title&gt;&lt;Template&gt;Journal Article&lt;/Template&gt;&lt;Star&gt;0&lt;/Star&gt;&lt;Tag&gt;0&lt;/Tag&gt;&lt;Author&gt;Zhou, J; Sun, C; Dong, X; Wang, H&lt;/Author&gt;&lt;Year&gt;2022&lt;/Year&gt;&lt;Details&gt;&lt;_abstract&gt;BACKGROUND: Oxidative stress-induced cell ferroptosis occurs during the pathogenesis of diabetic retinopathy (DR), but the detailed molecular mechanisms  are still unclear. The present study aimed to investigate this issue. MATERIALS AND METHODS: The retinal pigment epithelium (RPE) was treated with high glucose (30 mM) in vitro to mimic the realistic conditions of DR progression in vivo. Cell viability was determined by MTT assay and trypan blue staining assay. Gene expressions were examined by Real-Time qPCR and Western Blot analysis. FCM was used to detect cell apoptosis and ROS generation. Dual-luciferase reporter gene system assay was used to verify the targeting sites. RESULTS: High glucose increased reactive oxygen species (ROS) levels, promoted cell ferroptosis, and suppressed cell proliferation and viability in RPE, which were reversed by co-treating cells with both a ferroptosis inhibitor ferrostatin-1 and an ROS scavenger, N-acetyl-L-Cysteine (NAC). In addition, we screened out a miR-338-3p/ASCT2 (SLC1A5) axis that played an important role in this process. Mechanistically, miR-338-3p targeted the 3&amp;apos; untranslated regions (3&amp;apos;UTR) of SLC1A5 for its inhibition and degradation, and high glucose downregulated SLC1A5  by upregulating miR-338-3p in RPE cells. Next, the miR-338-3p inhibitor and SLC1A5 overexpression vectors were delivered into the RPE cells, and the following gain- and loss-of-function experiments validated that both miR-338-3p ablation and SLC1A5 upregulation abrogated the regulating effects of high glucose on cell proliferation, viability, ferroptosis and ROS production in RPE cells. CONCLUSIONS: Collectively, data in the present study indicated that targeting the miR-338-3p/SLC1A5 axis could block high glucose-induced ferroptosis in RPE cells.&lt;/_abstract&gt;&lt;_accession_num&gt;35320491&lt;/_accession_num&gt;&lt;_author_adr&gt;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huiwanghomewh@163.com.&lt;/_author_adr&gt;&lt;_collection_scope&gt;SCI;SCIE&lt;/_collection_scope&gt;&lt;_created&gt;64494380&lt;/_created&gt;&lt;_date&gt;2022-06-01&lt;/_date&gt;&lt;_date_display&gt;2022 Jun&lt;/_date_display&gt;&lt;_db_updated&gt;PubMed&lt;/_db_updated&gt;&lt;_doi&gt;10.1007/s10735-022-10070-0&lt;/_doi&gt;&lt;_impact_factor&gt;   2.611&lt;/_impact_factor&gt;&lt;_isbn&gt;1567-2387 (Electronic); 1567-2379 (Linking)&lt;/_isbn&gt;&lt;_issue&gt;3&lt;/_issue&gt;&lt;_journal&gt;J Mol Histol&lt;/_journal&gt;&lt;_keywords&gt;Cell ferroptosis; Diabetic retinopathy; ROS; SLC1A5; miR-338-3p&lt;/_keywords&gt;&lt;_language&gt;eng&lt;/_language&gt;&lt;_modified&gt;64494380&lt;/_modified&gt;&lt;_ori_publication&gt;(c) 2022. The Author(s), under exclusive licence to Springer Nature B.V.&lt;/_ori_publication&gt;&lt;_pages&gt;561-571&lt;/_pages&gt;&lt;_subject_headings&gt;*Amino Acid Transport System ASC/genetics/metabolism; Apoptosis; Cell Proliferation/genetics; *Diabetic Retinopathy/genetics/pathology; *Ferroptosis; Glucose/pharmacology; Humans; *MicroRNAs/genetics; *Minor Histocompatibility Antigens/genetics/metabolism; Reactive Oxygen Species/metabolism; Retinal Pigment Epithelium/metabolism/pathology&lt;/_subject_headings&gt;&lt;_tertiary_title&gt;Journal of molecular histology&lt;/_tertiary_title&gt;&lt;_type_work&gt;Journal Article&lt;/_type_work&gt;&lt;_url&gt;http://www.ncbi.nlm.nih.gov/entrez/query.fcgi?cmd=Retrieve&amp;amp;db=pubmed&amp;amp;dopt=Abstract&amp;amp;list_uids=35320491&amp;amp;query_hl=1&lt;/_url&gt;&lt;_volume&gt;53&lt;/_volume&gt;&lt;/Details&gt;&lt;Extra&gt;&lt;DBUID&gt;{F96A950B-833F-4880-A151-76DA2D6A2879}&lt;/DBUID&gt;&lt;/Extra&gt;&lt;/Item&gt;&lt;/References&gt;&lt;/Group&gt;&lt;/Citation&gt;_x000a_"/>
    <w:docVar w:name="NE.Ref{EA617785-678E-41B3-9CA1-7248C15FA1BF}" w:val=" ADDIN NE.Ref.{EA617785-678E-41B3-9CA1-7248C15FA1BF}&lt;Citation&gt;&lt;Group&gt;&lt;References&gt;&lt;Item&gt;&lt;ID&gt;658&lt;/ID&gt;&lt;UID&gt;{4A87F1F1-B53E-44B6-B0EC-BCF5C92CBD10}&lt;/UID&gt;&lt;Title&gt;Circular RNA circ_0010729 Knockdown Attenuates Oxygen-Glucose Deprivation-Induced Human Cardiac Myocytes Injury by miR-338-3p/CALM2 Axis&lt;/Title&gt;&lt;Template&gt;Journal Article&lt;/Template&gt;&lt;Star&gt;0&lt;/Star&gt;&lt;Tag&gt;0&lt;/Tag&gt;&lt;Author&gt;Ma, B; Zhao, M; Guo, Z&lt;/Author&gt;&lt;Year&gt;2021&lt;/Year&gt;&lt;Details&gt;&lt;_accession_num&gt;33951696&lt;/_accession_num&gt;&lt;_author_adr&gt;Department of Cardiovascular III, Cangzhou Central Hospital, Cangzhou, Hebei, China.&lt;/_author_adr&gt;&lt;_date_display&gt;2021 May 1&lt;/_date_display&gt;&lt;_date&gt;2021-05-01&lt;/_date&gt;&lt;_doi&gt;10.1097/FJC.0000000000000988&lt;/_doi&gt;&lt;_isbn&gt;1533-4023 (Electronic); 0160-2446 (Linking)&lt;/_isbn&gt;&lt;_issue&gt;5&lt;/_issue&gt;&lt;_journal&gt;J Cardiovasc Pharmacol&lt;/_journal&gt;&lt;_language&gt;eng&lt;/_language&gt;&lt;_ori_publication&gt;Copyright (c) 2021 Wolters Kluwer Health, Inc. All rights reserved.&lt;/_ori_publication&gt;&lt;_pages&gt;594-602&lt;/_pages&gt;&lt;_subject_headings&gt;Animals; Apoptosis; Autophagy; Calmodulin/genetics/*metabolism; Cell Hypoxia; Cell Line; Down-Regulation; Glucose/deficiency; Humans; Mice; MicroRNAs/genetics/*metabolism; Myocardial Reperfusion Injury/genetics/*metabolism/pathology; Myocytes, Cardiac/*metabolism/pathology; RNA, Circular/genetics/*metabolism; Signal Transduction&lt;/_subject_headings&gt;&lt;_tertiary_title&gt;Journal of cardiovascular pharmacology&lt;/_tertiary_title&gt;&lt;_type_work&gt;Journal Article&lt;/_type_work&gt;&lt;_url&gt;http://www.ncbi.nlm.nih.gov/entrez/query.fcgi?cmd=Retrieve&amp;amp;db=pubmed&amp;amp;dopt=Abstract&amp;amp;list_uids=33951696&amp;amp;query_hl=1&lt;/_url&gt;&lt;_volume&gt;77&lt;/_volume&gt;&lt;_created&gt;64495648&lt;/_created&gt;&lt;_modified&gt;64495648&lt;/_modified&gt;&lt;_db_updated&gt;PubMed&lt;/_db_updated&gt;&lt;_impact_factor&gt;   3.105&lt;/_impact_factor&gt;&lt;/Details&gt;&lt;Extra&gt;&lt;DBUID&gt;{F96A950B-833F-4880-A151-76DA2D6A2879}&lt;/DBUID&gt;&lt;/Extra&gt;&lt;/Item&gt;&lt;/References&gt;&lt;/Group&gt;&lt;/Citation&gt;_x000a_"/>
    <w:docVar w:name="NE.Ref{EF1A0692-48C5-4278-BEFA-7320FDB90ADE}" w:val=" ADDIN NE.Ref.{EF1A0692-48C5-4278-BEFA-7320FDB90ADE}&lt;Citation&gt;&lt;Group&gt;&lt;References&gt;&lt;Item&gt;&lt;ID&gt;649&lt;/ID&gt;&lt;UID&gt;{8437EC83-2394-409F-9401-F22566B44214}&lt;/UID&gt;&lt;Title&gt;A minor review of microRNA-338 exploring the insights of its function in tumorigenesis&lt;/Title&gt;&lt;Template&gt;Journal Article&lt;/Template&gt;&lt;Star&gt;0&lt;/Star&gt;&lt;Tag&gt;0&lt;/Tag&gt;&lt;Author&gt;Yi, Q; Cui, H; Liao, Y; Xiong, J; Ye, X; Sun, W&lt;/Author&gt;&lt;Year&gt;2021&lt;/Year&gt;&lt;Details&gt;&lt;_accession_num&gt;34243620&lt;/_accession_num&gt;&lt;_author_adr&gt;Shenzhen Key Laboratory of Tissue Engineering, Department of Orthopedics, Shenzhen Second People&amp;apos;s Hospital (The First Affiliated Hospital of Shenzhen University), Shenzhen 518035, Guangdong, China; Department of Physiology, School  of Basic Medical Sciences, Southwest Medical University, Luzhou 646000, Sichuan,  China.; The Central Laboratory and Medical Genetics &amp;amp; Molecular Diagnostic Center, Shenzhen Second People&amp;apos;s Hospital (The First Affiliated Hospital of Shenzhen University), Shenzhen 518035, Guangdong, China.; The Central Laboratory and Medical Genetics &amp;amp; Molecular Diagnostic Center, Shenzhen Second People&amp;apos;s Hospital (The First Affiliated Hospital of Shenzhen University), Shenzhen 518035, Guangdong, China.; Shenzhen Key Laboratory of Tissue Engineering, Department of Orthopedics, Shenzhen Second People&amp;apos;s Hospital (The First Affiliated Hospital of Shenzhen University), Shenzhen 518035, Guangdong, China. Electronic address: jianyixiong@126.com.; The Central Laboratory and Medical Genetics &amp;amp; Molecular Diagnostic Center, Shenzhen Second People&amp;apos;s Hospital (The First Affiliated Hospital of Shenzhen University), Shenzhen 518035, Guangdong, China. Electronic address: szrosexiu@126.com.; Shenzhen Key Laboratory of Tissue Engineering, Department of Orthopedics, Shenzhen Second People&amp;apos;s Hospital (The First Affiliated Hospital of Shenzhen University), Shenzhen 518035, Guangdong, China. Electronic address: weichaosunshine@163.com.&lt;/_author_adr&gt;&lt;_date_display&gt;2021 Jul&lt;/_date_display&gt;&lt;_date&gt;2021-07-01&lt;/_date&gt;&lt;_doi&gt;10.1016/j.biopha.2021.111720&lt;/_doi&gt;&lt;_isbn&gt;1950-6007 (Electronic); 0753-3322 (Linking)&lt;/_isbn&gt;&lt;_journal&gt;Biomed Pharmacother&lt;/_journal&gt;&lt;_keywords&gt;Apoptosis; MicroRNA-338; Migration; Proliferation; Tumor suppressor&lt;/_keywords&gt;&lt;_language&gt;eng&lt;/_language&gt;&lt;_ori_publication&gt;Copyright (c) 2021 The Authors. Published by Elsevier Masson SAS.. All rights_x000d__x000a_      reserved.&lt;/_ori_publication&gt;&lt;_pages&gt;111720&lt;/_pages&gt;&lt;_subject_headings&gt;Animals; Carcinogenesis/*genetics/pathology; Gene Expression Regulation, Neoplastic/genetics; Humans; MicroRNAs/*genetics; Neoplasms/*genetics/*pathology; Signal Transduction/genetics&lt;/_subject_headings&gt;&lt;_tertiary_title&gt;Biomedicine &amp;amp; pharmacotherapy = Biomedecine &amp;amp; pharmacotherapie&lt;/_tertiary_title&gt;&lt;_type_work&gt;Journal Article; Review&lt;/_type_work&gt;&lt;_url&gt;http://www.ncbi.nlm.nih.gov/entrez/query.fcgi?cmd=Retrieve&amp;amp;db=pubmed&amp;amp;dopt=Abstract&amp;amp;list_uids=34243620&amp;amp;query_hl=1&lt;/_url&gt;&lt;_volume&gt;139&lt;/_volume&gt;&lt;_created&gt;64494355&lt;/_created&gt;&lt;_modified&gt;64494355&lt;/_modified&gt;&lt;_db_updated&gt;PubMed&lt;/_db_updated&gt;&lt;_impact_factor&gt;   6.530&lt;/_impact_factor&gt;&lt;_collection_scope&gt;SCI;SCIE&lt;/_collection_scope&gt;&lt;/Details&gt;&lt;Extra&gt;&lt;DBUID&gt;{F96A950B-833F-4880-A151-76DA2D6A2879}&lt;/DBUID&gt;&lt;/Extra&gt;&lt;/Item&gt;&lt;/References&gt;&lt;/Group&gt;&lt;/Citation&gt;_x000a_"/>
    <w:docVar w:name="NE.Ref{EF9DBF27-1896-419A-AA02-0E7875F11905}" w:val=" ADDIN NE.Ref.{EF9DBF27-1896-419A-AA02-0E7875F11905}&lt;Citation&gt;&lt;Group&gt;&lt;References&gt;&lt;Item&gt;&lt;ID&gt;644&lt;/ID&gt;&lt;UID&gt;{564EA06E-2E5C-4360-98A0-3A16B48B3A97}&lt;/UID&gt;&lt;Title&gt;Sensational MicroRNAs: Neurosensory Roles of the MicroRNA-183 Family&lt;/Title&gt;&lt;Template&gt;Journal Article&lt;/Template&gt;&lt;Star&gt;0&lt;/Star&gt;&lt;Tag&gt;0&lt;/Tag&gt;&lt;Author&gt;Banks, S A; Pierce, M L; Soukup, G A&lt;/Author&gt;&lt;Year&gt;2020&lt;/Year&gt;&lt;Details&gt;&lt;_accession_num&gt;31359323&lt;/_accession_num&gt;&lt;_author_adr&gt;Department of Biomedical Sciences, Creighton University School of Medicine, 2500  California Plaza, Omaha, NE, 68178, USA.; Department of Pharmacology, Creighton University School of Medicine, 2500 California Plaza, Omaha, NE, 68178, USA.; Department of Biomedical Sciences, Creighton University School of Medicine, 2500  California Plaza, Omaha, NE, 68178, USA. gasoukup@creighton.edu.&lt;/_author_adr&gt;&lt;_date_display&gt;2020 Jan&lt;/_date_display&gt;&lt;_date&gt;2020-01-01&lt;/_date&gt;&lt;_doi&gt;10.1007/s12035-019-01717-3&lt;/_doi&gt;&lt;_isbn&gt;1559-1182 (Electronic); 0893-7648 (Linking)&lt;/_isbn&gt;&lt;_issue&gt;1&lt;/_issue&gt;&lt;_journal&gt;Mol Neurobiol&lt;/_journal&gt;&lt;_keywords&gt;Chemoreception; Circadian rhythm; Mechanoreception; Memory; MicroRNA-183 family; Photoreception&lt;/_keywords&gt;&lt;_language&gt;eng&lt;/_language&gt;&lt;_pages&gt;358-371&lt;/_pages&gt;&lt;_subject_headings&gt;Animals; Base Sequence; Circadian Rhythm/genetics; Humans; MicroRNAs/genetics/*metabolism; Pain/genetics; Sensation/*genetics; Sensory Receptor Cells/*metabolism&lt;/_subject_headings&gt;&lt;_tertiary_title&gt;Molecular neurobiology&lt;/_tertiary_title&gt;&lt;_type_work&gt;Journal Article; Review&lt;/_type_work&gt;&lt;_url&gt;http://www.ncbi.nlm.nih.gov/entrez/query.fcgi?cmd=Retrieve&amp;amp;db=pubmed&amp;amp;dopt=Abstract&amp;amp;list_uids=31359323&amp;amp;query_hl=1&lt;/_url&gt;&lt;_volume&gt;57&lt;/_volume&gt;&lt;_created&gt;64494267&lt;/_created&gt;&lt;_modified&gt;64494268&lt;/_modified&gt;&lt;_db_updated&gt;PubMed&lt;/_db_updated&gt;&lt;_impact_factor&gt;   5.590&lt;/_impact_factor&gt;&lt;_collection_scope&gt;SCI;SCIE&lt;/_collection_scope&gt;&lt;/Details&gt;&lt;Extra&gt;&lt;DBUID&gt;{F96A950B-833F-4880-A151-76DA2D6A2879}&lt;/DBUID&gt;&lt;/Extra&gt;&lt;/Item&gt;&lt;/References&gt;&lt;/Group&gt;&lt;/Citation&gt;_x000a_"/>
    <w:docVar w:name="NE.Ref{F758C677-460A-4C95-A3FA-A32C5C1DCFA9}" w:val=" ADDIN NE.Ref.{F758C677-460A-4C95-A3FA-A32C5C1DCFA9}&lt;Citation&gt;&lt;Group&gt;&lt;References&gt;&lt;Item&gt;&lt;ID&gt;675&lt;/ID&gt;&lt;UID&gt;{B6C5511D-84E6-4B96-95D8-9F77CBD126AD}&lt;/UID&gt;&lt;Title&gt;MCP-induced protein 1 deubiquitinates TRAF proteins and negatively regulates JNK  and NF-kappaB signaling&lt;/Title&gt;&lt;Template&gt;Journal Article&lt;/Template&gt;&lt;Star&gt;0&lt;/Star&gt;&lt;Tag&gt;0&lt;/Tag&gt;&lt;Author&gt;Liang, J; Saad, Y; Lei, T; Wang, J; Qi, D; Yang, Q; Kolattukudy, P E; Fu, M&lt;/Author&gt;&lt;Year&gt;2010&lt;/Year&gt;&lt;Details&gt;&lt;_accession_num&gt;21115689&lt;/_accession_num&gt;&lt;_author_adr&gt;Burnett School of Biomedical Sciences, College of Medicine, University of Central Florida, Orlando, FL 32816, USA.&lt;/_author_adr&gt;&lt;_date_display&gt;2010 Dec 20&lt;/_date_display&gt;&lt;_date&gt;2010-12-20&lt;/_date&gt;&lt;_doi&gt;10.1084/jem.20092641&lt;/_doi&gt;&lt;_isbn&gt;1540-9538 (Electronic); 0022-1007 (Linking)&lt;/_isbn&gt;&lt;_issue&gt;13&lt;/_issue&gt;&lt;_journal&gt;J Exp Med&lt;/_journal&gt;&lt;_language&gt;eng&lt;/_language&gt;&lt;_pages&gt;2959-73&lt;/_pages&gt;&lt;_subject_headings&gt;Animals; Cell Line; Cells, Cultured; Embryo, Mammalian/cytology; Female; Fibroblasts/cytology/drug effects/metabolism; Gene Expression Profiling; HEK293 Cells; Humans; Immunoblotting; Interleukin-1beta/pharmacology; JNK Mitogen-Activated Protein Kinases/*metabolism; Lipopolysaccharides/pharmacology; Macrophages/cytology/drug effects/metabolism; Male; Mice; Mice, Inbred C57BL; Mice, Knockout; NF-kappa B/*metabolism; Protein Binding; Ribonucleases/genetics/*metabolism; Signal Transduction/drug effects; Tumor Necrosis Factor Receptor-Associated Peptides and Proteins/*metabolism; Ubiquitin/metabolism; Ubiquitination&lt;/_subject_headings&gt;&lt;_tertiary_title&gt;The Journal of experimental medicine&lt;/_tertiary_title&gt;&lt;_type_work&gt;Journal Article; Research Support, N.I.H., Extramural; Research Support, Non-U.S. Gov&amp;apos;t&lt;/_type_work&gt;&lt;_url&gt;http://www.ncbi.nlm.nih.gov/entrez/query.fcgi?cmd=Retrieve&amp;amp;db=pubmed&amp;amp;dopt=Abstract&amp;amp;list_uids=21115689&amp;amp;query_hl=1&lt;/_url&gt;&lt;_volume&gt;207&lt;/_volume&gt;&lt;_created&gt;64495802&lt;/_created&gt;&lt;_modified&gt;64495802&lt;/_modified&gt;&lt;_db_updated&gt;PubMed&lt;/_db_updated&gt;&lt;_impact_factor&gt;  14.307&lt;/_impact_factor&gt;&lt;_collection_scope&gt;SCI;SCIE&lt;/_collection_scope&gt;&lt;/Details&gt;&lt;Extra&gt;&lt;DBUID&gt;{F96A950B-833F-4880-A151-76DA2D6A2879}&lt;/DBUID&gt;&lt;/Extra&gt;&lt;/Item&gt;&lt;/References&gt;&lt;/Group&gt;&lt;Group&gt;&lt;References&gt;&lt;Item&gt;&lt;ID&gt;674&lt;/ID&gt;&lt;UID&gt;{AEEB97A5-5CF1-44CA-A4B8-B94EF0944DEE}&lt;/UID&gt;&lt;Title&gt;Monocyte chemoattractant protein-1-deficiency impairs the expression of IL-6, IL-1beta and G-CSF after transient focal ischemia in mice&lt;/Title&gt;&lt;Template&gt;Journal Article&lt;/Template&gt;&lt;Star&gt;0&lt;/Star&gt;&lt;Tag&gt;0&lt;/Tag&gt;&lt;Author&gt;Strecker, J K; Minnerup, J; Gess, B; Ringelstein, E B; Schabitz, W R; Schilling, M&lt;/Author&gt;&lt;Year&gt;2011&lt;/Year&gt;&lt;Details&gt;&lt;_accession_num&gt;22031820&lt;/_accession_num&gt;&lt;_author_adr&gt;Department of Neurology, University of Munster, Munster, Germany. strecker.jan@gmx.de&lt;/_author_adr&gt;&lt;_date_display&gt;2011&lt;/_date_display&gt;&lt;_date&gt;2011-01-20&lt;/_date&gt;&lt;_doi&gt;10.1371/journal.pone.0025863&lt;/_doi&gt;&lt;_isbn&gt;1932-6203 (Electronic); 1932-6203 (Linking)&lt;/_isbn&gt;&lt;_issue&gt;10&lt;/_issue&gt;&lt;_journal&gt;PLoS One&lt;/_journal&gt;&lt;_language&gt;eng&lt;/_language&gt;&lt;_pages&gt;e25863&lt;/_pages&gt;&lt;_subject_headings&gt;Animals; Brain Ischemia/genetics/*metabolism; Chemokine CCL2/*deficiency/genetics/*metabolism; Granulocyte Colony-Stimulating Factor/genetics/*metabolism; Immunohistochemistry; Interleukin-1beta/genetics/*metabolism; Interleukin-6/genetics/*metabolism; Laser Capture Microdissection; Male; Mice; Mice, Inbred C57BL; Mice, Mutant Strains; Real-Time Polymerase Chain Reaction; Tumor Necrosis Factor-alpha/genetics/metabolism&lt;/_subject_headings&gt;&lt;_tertiary_title&gt;PloS one&lt;/_tertiary_title&gt;&lt;_type_work&gt;Journal Article; Research Support, Non-U.S. Gov&amp;apos;t&lt;/_type_work&gt;&lt;_url&gt;http://www.ncbi.nlm.nih.gov/entrez/query.fcgi?cmd=Retrieve&amp;amp;db=pubmed&amp;amp;dopt=Abstract&amp;amp;list_uids=22031820&amp;amp;query_hl=1&lt;/_url&gt;&lt;_volume&gt;6&lt;/_volume&gt;&lt;_created&gt;64495799&lt;/_created&gt;&lt;_modified&gt;64495799&lt;/_modified&gt;&lt;_db_updated&gt;PubMed&lt;/_db_updated&gt;&lt;_impact_factor&gt;   3.240&lt;/_impact_factor&gt;&lt;_collection_scope&gt;SCIE&lt;/_collection_scope&gt;&lt;/Details&gt;&lt;Extra&gt;&lt;DBUID&gt;{F96A950B-833F-4880-A151-76DA2D6A2879}&lt;/DBUID&gt;&lt;/Extra&gt;&lt;/Item&gt;&lt;/References&gt;&lt;/Group&gt;&lt;/Citation&gt;_x000a_"/>
    <w:docVar w:name="NE.Ref{F7A57D1D-3D80-4F2D-A348-A24A4DC5473D}" w:val=" ADDIN NE.Ref.{F7A57D1D-3D80-4F2D-A348-A24A4DC5473D}&lt;Citation&gt;&lt;Group&gt;&lt;References&gt;&lt;Item&gt;&lt;ID&gt;670&lt;/ID&gt;&lt;UID&gt;{CD3F23A2-7D05-496D-AC5F-28DF4EBA5055}&lt;/UID&gt;&lt;Title&gt;Circulating miR-338 Cluster activities on osteoblast differentiation: Potential Diagnostic and Therapeutic Targets for Postmenopausal Osteoporosis&lt;/Title&gt;&lt;Template&gt;Journal Article&lt;/Template&gt;&lt;Star&gt;0&lt;/Star&gt;&lt;Tag&gt;0&lt;/Tag&gt;&lt;Author&gt;Lin, C; Yu, S; Jin, R; Xiao, Y; Pan, M; Pei, F; Zhu, X; Huang, H; Zhang, Z; Chen, S; Liu, H; Chen, Z&lt;/Author&gt;&lt;Year&gt;2019&lt;/Year&gt;&lt;Details&gt;&lt;_accession_num&gt;31281513&lt;/_accession_num&gt;&lt;_author_adr&gt;State Key Laboratory Breeding Base of Basic Science of Stomatology (Hubei-MOST) and Key Laboratory for Oral Biomedicine of Ministry of Education (KLOBM),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 Department of Dentistry, The Central Hospital of Wuhan, Tongji Medical College Huazhong University of Science and Technology, Wuhan 430014, China.; State Key Laboratory Breeding Base of Basic Science of Stomatology (Hubei-MOST) and Key Laboratory for Oral Biomedicine of Ministry of Education (KLOBM), School  and Hospital of Stomatology, Wuhan University, Wuhan 430079, China.; Instititue of Life Sciences, Hangzhou Normal University, Hangzhou 310071.; Instititue of Life Sciences, Hangzhou Normal University, Hangzhou 310071.; Instititue of Life Sciences, Hangzhou Normal University, Hangzhou 310071.; Department of Developmental Dentistry, University of Texas Health Science Center, San Antonio, Texas, 78229-3700, United States.; State Key Laboratory Breeding Base of Basic Science of Stomatology (Hubei-MOST) and Key Laboratory for Oral Biomedicine of Ministry of Education (KLOBM), School  and Hospital of Stomatology, Wuhan University, Wuhan 430079, China.; Department of Periodontology, School and Hospital of Stomatology, Wuhan University, Wuhan 430079, China.; State Key Laboratory Breeding Base of Basic Science of Stomatology (Hubei-MOST) and Key Laboratory for Oral Biomedicine of Ministry of Education (KLOBM), School  and Hospital of Stomatology, Wuhan University, Wuhan 430079, China.&lt;/_author_adr&gt;&lt;_date_display&gt;2019&lt;/_date_display&gt;&lt;_date&gt;2019-01-20&lt;/_date&gt;&lt;_doi&gt;10.7150/thno.34493&lt;/_doi&gt;&lt;_isbn&gt;1838-7640 (Electronic); 1838-7640 (Linking)&lt;/_isbn&gt;&lt;_issue&gt;13&lt;/_issue&gt;&lt;_journal&gt;Theranostics&lt;/_journal&gt;&lt;_keywords&gt;*Runx2; *miR-338 cluster; *microRNA; *osteoporosis&lt;/_keywords&gt;&lt;_language&gt;eng&lt;/_language&gt;&lt;_pages&gt;3780-3797&lt;/_pages&gt;&lt;_subject_headings&gt;Aged; Animals; Cell Differentiation/*genetics; Cell Line; Core Binding Factor Alpha 1 Subunit/metabolism; Disease Progression; Down-Regulation/genetics; Estrogens/pharmacology; Feedback, Physiological; Female; Humans; Mice, Inbred C57BL; Mice, Knockout; MicroRNAs/*blood/genetics; Middle Aged; *Molecular Targeted Therapy; Osteoblasts/*pathology; Osteoporosis, Postmenopausal/*blood/diagnosis/*genetics/therapy; Ovariectomy; SOXC Transcription Factors/metabolism&lt;/_subject_headings&gt;&lt;_tertiary_title&gt;Theranostics&lt;/_tertiary_title&gt;&lt;_type_work&gt;Journal Article; Research Support, Non-U.S. Gov&amp;apos;t&lt;/_type_work&gt;&lt;_url&gt;http://www.ncbi.nlm.nih.gov/entrez/query.fcgi?cmd=Retrieve&amp;amp;db=pubmed&amp;amp;dopt=Abstract&amp;amp;list_uids=31281513&amp;amp;query_hl=1&lt;/_url&gt;&lt;_volume&gt;9&lt;/_volume&gt;&lt;_created&gt;64495779&lt;/_created&gt;&lt;_modified&gt;64495779&lt;/_modified&gt;&lt;_db_updated&gt;PubMed&lt;/_db_updated&gt;&lt;_impact_factor&gt;  11.556&lt;/_impact_factor&gt;&lt;_collection_scope&gt;SCIE&lt;/_collection_scope&gt;&lt;/Details&gt;&lt;Extra&gt;&lt;DBUID&gt;{F96A950B-833F-4880-A151-76DA2D6A2879}&lt;/DBUID&gt;&lt;/Extra&gt;&lt;/Item&gt;&lt;/References&gt;&lt;/Group&gt;&lt;/Citation&gt;_x000a_"/>
    <w:docVar w:name="NE.Ref{FBF235DE-00C8-40CA-9C1C-D7EAF630F970}" w:val=" ADDIN NE.Ref.{FBF235DE-00C8-40CA-9C1C-D7EAF630F970}&lt;Citation&gt;&lt;Group&gt;&lt;References&gt;&lt;Item&gt;&lt;ID&gt;651&lt;/ID&gt;&lt;UID&gt;{B968A217-B813-4F0F-A6BF-161D71236258}&lt;/UID&gt;&lt;Title&gt;A novel miR-338-3p/SLC1A5 axis reprograms retinal pigment epithelium to increases its resistance to high glucose-induced cell ferroptosis&lt;/Title&gt;&lt;Template&gt;Journal Article&lt;/Template&gt;&lt;Star&gt;0&lt;/Star&gt;&lt;Tag&gt;0&lt;/Tag&gt;&lt;Author&gt;Zhou, J; Sun, C; Dong, X; Wang, H&lt;/Author&gt;&lt;Year&gt;2022&lt;/Year&gt;&lt;Details&gt;&lt;_accession_num&gt;35320491&lt;/_accession_num&gt;&lt;_author_adr&gt;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The 4 th People&amp;apos;s Hospital of Shenyang, Huanghe South Street No. 20, Huanggu District, 110031, Shenyang, Liaoning Province, China. huiwanghomewh@163.com.&lt;/_author_adr&gt;&lt;_date_display&gt;2022 Jun&lt;/_date_display&gt;&lt;_date&gt;2022-06-01&lt;/_date&gt;&lt;_doi&gt;10.1007/s10735-022-10070-0&lt;/_doi&gt;&lt;_isbn&gt;1567-2387 (Electronic); 1567-2379 (Linking)&lt;/_isbn&gt;&lt;_issue&gt;3&lt;/_issue&gt;&lt;_journal&gt;J Mol Histol&lt;/_journal&gt;&lt;_keywords&gt;Cell ferroptosis; Diabetic retinopathy; ROS; SLC1A5; miR-338-3p&lt;/_keywords&gt;&lt;_language&gt;eng&lt;/_language&gt;&lt;_ori_publication&gt;(c) 2022. The Author(s), under exclusive licence to Springer Nature B.V.&lt;/_ori_publication&gt;&lt;_pages&gt;561-571&lt;/_pages&gt;&lt;_subject_headings&gt;*Amino Acid Transport System ASC/genetics/metabolism; Apoptosis; Cell Proliferation/genetics; *Diabetic Retinopathy/genetics/pathology; *Ferroptosis; Glucose/pharmacology; Humans; *MicroRNAs/genetics; *Minor Histocompatibility Antigens/genetics/metabolism; Reactive Oxygen Species/metabolism; Retinal Pigment Epithelium/metabolism/pathology&lt;/_subject_headings&gt;&lt;_tertiary_title&gt;Journal of molecular histology&lt;/_tertiary_title&gt;&lt;_type_work&gt;Journal Article&lt;/_type_work&gt;&lt;_url&gt;http://www.ncbi.nlm.nih.gov/entrez/query.fcgi?cmd=Retrieve&amp;amp;db=pubmed&amp;amp;dopt=Abstract&amp;amp;list_uids=35320491&amp;amp;query_hl=1&lt;/_url&gt;&lt;_volume&gt;53&lt;/_volume&gt;&lt;_created&gt;64495579&lt;/_created&gt;&lt;_modified&gt;64495579&lt;/_modified&gt;&lt;_db_updated&gt;PubMed&lt;/_db_updated&gt;&lt;_impact_factor&gt;   2.61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中华人民共和国国家标准_GBT_7714-2005 注释"/>
  </w:docVars>
  <w:rsids>
    <w:rsidRoot w:val="00637A3D"/>
    <w:rsid w:val="00005CCF"/>
    <w:rsid w:val="00006C19"/>
    <w:rsid w:val="0001125D"/>
    <w:rsid w:val="00011817"/>
    <w:rsid w:val="00016D3B"/>
    <w:rsid w:val="000174C3"/>
    <w:rsid w:val="00017BDE"/>
    <w:rsid w:val="000205F8"/>
    <w:rsid w:val="00024470"/>
    <w:rsid w:val="0002569D"/>
    <w:rsid w:val="0002732A"/>
    <w:rsid w:val="00030F8D"/>
    <w:rsid w:val="00031DEF"/>
    <w:rsid w:val="000322EC"/>
    <w:rsid w:val="000324FC"/>
    <w:rsid w:val="00033AD0"/>
    <w:rsid w:val="0003583C"/>
    <w:rsid w:val="000409A3"/>
    <w:rsid w:val="00040C68"/>
    <w:rsid w:val="00043CD7"/>
    <w:rsid w:val="000509F2"/>
    <w:rsid w:val="000530BE"/>
    <w:rsid w:val="0006004F"/>
    <w:rsid w:val="0006050E"/>
    <w:rsid w:val="00060C46"/>
    <w:rsid w:val="0006428B"/>
    <w:rsid w:val="00066FFF"/>
    <w:rsid w:val="00070366"/>
    <w:rsid w:val="0007445B"/>
    <w:rsid w:val="00075560"/>
    <w:rsid w:val="00077374"/>
    <w:rsid w:val="00077927"/>
    <w:rsid w:val="00080CF5"/>
    <w:rsid w:val="0008259C"/>
    <w:rsid w:val="00084C18"/>
    <w:rsid w:val="00085342"/>
    <w:rsid w:val="00086BFD"/>
    <w:rsid w:val="00091800"/>
    <w:rsid w:val="00093931"/>
    <w:rsid w:val="00093AE1"/>
    <w:rsid w:val="00095064"/>
    <w:rsid w:val="000A03AA"/>
    <w:rsid w:val="000A5E2A"/>
    <w:rsid w:val="000A6AA7"/>
    <w:rsid w:val="000B0F48"/>
    <w:rsid w:val="000B3D6B"/>
    <w:rsid w:val="000B3E41"/>
    <w:rsid w:val="000B540B"/>
    <w:rsid w:val="000B5951"/>
    <w:rsid w:val="000B5C04"/>
    <w:rsid w:val="000C03FF"/>
    <w:rsid w:val="000C199F"/>
    <w:rsid w:val="000C2109"/>
    <w:rsid w:val="000C478B"/>
    <w:rsid w:val="000C57C8"/>
    <w:rsid w:val="000E0213"/>
    <w:rsid w:val="000E0B12"/>
    <w:rsid w:val="000E265D"/>
    <w:rsid w:val="000E4D40"/>
    <w:rsid w:val="000E776F"/>
    <w:rsid w:val="000F2671"/>
    <w:rsid w:val="000F4A7D"/>
    <w:rsid w:val="000F504E"/>
    <w:rsid w:val="000F540A"/>
    <w:rsid w:val="000F7A70"/>
    <w:rsid w:val="00101C20"/>
    <w:rsid w:val="00106697"/>
    <w:rsid w:val="00111186"/>
    <w:rsid w:val="00113BA3"/>
    <w:rsid w:val="00113CF9"/>
    <w:rsid w:val="00125A07"/>
    <w:rsid w:val="00126B67"/>
    <w:rsid w:val="00127CDC"/>
    <w:rsid w:val="001344E9"/>
    <w:rsid w:val="001379CF"/>
    <w:rsid w:val="00141453"/>
    <w:rsid w:val="00142BB9"/>
    <w:rsid w:val="00143709"/>
    <w:rsid w:val="00145CE9"/>
    <w:rsid w:val="00155F47"/>
    <w:rsid w:val="00156D28"/>
    <w:rsid w:val="001577F8"/>
    <w:rsid w:val="00165A02"/>
    <w:rsid w:val="0016629B"/>
    <w:rsid w:val="00171385"/>
    <w:rsid w:val="00171C5D"/>
    <w:rsid w:val="00173D50"/>
    <w:rsid w:val="00177C19"/>
    <w:rsid w:val="00181D50"/>
    <w:rsid w:val="0018403E"/>
    <w:rsid w:val="00186099"/>
    <w:rsid w:val="00186EDD"/>
    <w:rsid w:val="001920A7"/>
    <w:rsid w:val="00192DB0"/>
    <w:rsid w:val="00196A8C"/>
    <w:rsid w:val="00196D40"/>
    <w:rsid w:val="001A2B90"/>
    <w:rsid w:val="001A35DE"/>
    <w:rsid w:val="001A54D6"/>
    <w:rsid w:val="001B16BC"/>
    <w:rsid w:val="001B36EC"/>
    <w:rsid w:val="001B4C93"/>
    <w:rsid w:val="001B6AEF"/>
    <w:rsid w:val="001B6D91"/>
    <w:rsid w:val="001B776D"/>
    <w:rsid w:val="001C2B77"/>
    <w:rsid w:val="001C4082"/>
    <w:rsid w:val="001D07A1"/>
    <w:rsid w:val="001D2D82"/>
    <w:rsid w:val="001D3050"/>
    <w:rsid w:val="001D56DF"/>
    <w:rsid w:val="001E1F23"/>
    <w:rsid w:val="001E3275"/>
    <w:rsid w:val="001E3DB4"/>
    <w:rsid w:val="001E4460"/>
    <w:rsid w:val="001E61D2"/>
    <w:rsid w:val="001E74D9"/>
    <w:rsid w:val="001F1908"/>
    <w:rsid w:val="001F3294"/>
    <w:rsid w:val="002015CE"/>
    <w:rsid w:val="00203A88"/>
    <w:rsid w:val="00203D4B"/>
    <w:rsid w:val="00210691"/>
    <w:rsid w:val="00212DCB"/>
    <w:rsid w:val="00217DEE"/>
    <w:rsid w:val="002201CA"/>
    <w:rsid w:val="00223784"/>
    <w:rsid w:val="0022391B"/>
    <w:rsid w:val="00224377"/>
    <w:rsid w:val="0022508E"/>
    <w:rsid w:val="00225260"/>
    <w:rsid w:val="00226ACA"/>
    <w:rsid w:val="002276BB"/>
    <w:rsid w:val="00227B82"/>
    <w:rsid w:val="002316D3"/>
    <w:rsid w:val="00231969"/>
    <w:rsid w:val="00232074"/>
    <w:rsid w:val="00232606"/>
    <w:rsid w:val="00232E8A"/>
    <w:rsid w:val="00233C4D"/>
    <w:rsid w:val="00235248"/>
    <w:rsid w:val="0023714E"/>
    <w:rsid w:val="002404C0"/>
    <w:rsid w:val="00241E92"/>
    <w:rsid w:val="00245951"/>
    <w:rsid w:val="00246B10"/>
    <w:rsid w:val="0025193A"/>
    <w:rsid w:val="00251AC4"/>
    <w:rsid w:val="00252F39"/>
    <w:rsid w:val="00257B59"/>
    <w:rsid w:val="0026027E"/>
    <w:rsid w:val="00261EAD"/>
    <w:rsid w:val="00263D96"/>
    <w:rsid w:val="00265D83"/>
    <w:rsid w:val="00265D95"/>
    <w:rsid w:val="00271885"/>
    <w:rsid w:val="00274CB9"/>
    <w:rsid w:val="002750AE"/>
    <w:rsid w:val="0027582E"/>
    <w:rsid w:val="00275871"/>
    <w:rsid w:val="00275B7F"/>
    <w:rsid w:val="0027693F"/>
    <w:rsid w:val="00277C9D"/>
    <w:rsid w:val="00280388"/>
    <w:rsid w:val="00281FB3"/>
    <w:rsid w:val="00285B7C"/>
    <w:rsid w:val="002876D6"/>
    <w:rsid w:val="00291E32"/>
    <w:rsid w:val="00294B34"/>
    <w:rsid w:val="002A1E68"/>
    <w:rsid w:val="002A3325"/>
    <w:rsid w:val="002A6644"/>
    <w:rsid w:val="002A7D1C"/>
    <w:rsid w:val="002B393C"/>
    <w:rsid w:val="002B5CF4"/>
    <w:rsid w:val="002B6F6B"/>
    <w:rsid w:val="002C40A9"/>
    <w:rsid w:val="002C484C"/>
    <w:rsid w:val="002C4960"/>
    <w:rsid w:val="002D54E3"/>
    <w:rsid w:val="002F3626"/>
    <w:rsid w:val="002F3CC6"/>
    <w:rsid w:val="002F492C"/>
    <w:rsid w:val="00311FC0"/>
    <w:rsid w:val="0031676B"/>
    <w:rsid w:val="003251BD"/>
    <w:rsid w:val="0032610A"/>
    <w:rsid w:val="003263B6"/>
    <w:rsid w:val="003329E5"/>
    <w:rsid w:val="00340669"/>
    <w:rsid w:val="0035300A"/>
    <w:rsid w:val="003531AA"/>
    <w:rsid w:val="0035369E"/>
    <w:rsid w:val="00354701"/>
    <w:rsid w:val="00355EBA"/>
    <w:rsid w:val="003564C8"/>
    <w:rsid w:val="00356DE5"/>
    <w:rsid w:val="00357643"/>
    <w:rsid w:val="00363BF4"/>
    <w:rsid w:val="00365462"/>
    <w:rsid w:val="00365D32"/>
    <w:rsid w:val="00366879"/>
    <w:rsid w:val="00366B6F"/>
    <w:rsid w:val="00366D2D"/>
    <w:rsid w:val="00372285"/>
    <w:rsid w:val="0037326E"/>
    <w:rsid w:val="003735C5"/>
    <w:rsid w:val="00374352"/>
    <w:rsid w:val="0037556A"/>
    <w:rsid w:val="00383F31"/>
    <w:rsid w:val="00384C58"/>
    <w:rsid w:val="00385EBB"/>
    <w:rsid w:val="00386758"/>
    <w:rsid w:val="00387B78"/>
    <w:rsid w:val="003906CE"/>
    <w:rsid w:val="0039106B"/>
    <w:rsid w:val="003979B8"/>
    <w:rsid w:val="003A5BB3"/>
    <w:rsid w:val="003B567D"/>
    <w:rsid w:val="003C0286"/>
    <w:rsid w:val="003C03BC"/>
    <w:rsid w:val="003C16B9"/>
    <w:rsid w:val="003C27CD"/>
    <w:rsid w:val="003C32B6"/>
    <w:rsid w:val="003C3BB5"/>
    <w:rsid w:val="003C49E8"/>
    <w:rsid w:val="003C552C"/>
    <w:rsid w:val="003C575B"/>
    <w:rsid w:val="003C698C"/>
    <w:rsid w:val="003C7634"/>
    <w:rsid w:val="003D0957"/>
    <w:rsid w:val="003D0BE3"/>
    <w:rsid w:val="003D4064"/>
    <w:rsid w:val="003D4573"/>
    <w:rsid w:val="003D67AB"/>
    <w:rsid w:val="003E0522"/>
    <w:rsid w:val="003E0B83"/>
    <w:rsid w:val="003E1B4A"/>
    <w:rsid w:val="003E4432"/>
    <w:rsid w:val="003E5725"/>
    <w:rsid w:val="003F2BFD"/>
    <w:rsid w:val="003F2D01"/>
    <w:rsid w:val="003F5A24"/>
    <w:rsid w:val="003F6191"/>
    <w:rsid w:val="003F6210"/>
    <w:rsid w:val="003F6257"/>
    <w:rsid w:val="003F6A6E"/>
    <w:rsid w:val="0040001C"/>
    <w:rsid w:val="00400A16"/>
    <w:rsid w:val="00402981"/>
    <w:rsid w:val="00405793"/>
    <w:rsid w:val="00406FA7"/>
    <w:rsid w:val="0041326C"/>
    <w:rsid w:val="004154EF"/>
    <w:rsid w:val="00416F37"/>
    <w:rsid w:val="004173B1"/>
    <w:rsid w:val="00417AEE"/>
    <w:rsid w:val="00420236"/>
    <w:rsid w:val="004216A4"/>
    <w:rsid w:val="00424311"/>
    <w:rsid w:val="00424905"/>
    <w:rsid w:val="004266AA"/>
    <w:rsid w:val="00427070"/>
    <w:rsid w:val="00431AE8"/>
    <w:rsid w:val="00437EEF"/>
    <w:rsid w:val="00443463"/>
    <w:rsid w:val="00446581"/>
    <w:rsid w:val="004479D8"/>
    <w:rsid w:val="00451043"/>
    <w:rsid w:val="00451245"/>
    <w:rsid w:val="00451EA2"/>
    <w:rsid w:val="00453589"/>
    <w:rsid w:val="00454C3F"/>
    <w:rsid w:val="00455BFA"/>
    <w:rsid w:val="00455D94"/>
    <w:rsid w:val="00467D59"/>
    <w:rsid w:val="0047096E"/>
    <w:rsid w:val="00475057"/>
    <w:rsid w:val="00475811"/>
    <w:rsid w:val="00481A7A"/>
    <w:rsid w:val="00481BEE"/>
    <w:rsid w:val="00486D86"/>
    <w:rsid w:val="00490BCE"/>
    <w:rsid w:val="00492210"/>
    <w:rsid w:val="00493E57"/>
    <w:rsid w:val="00494B3C"/>
    <w:rsid w:val="004A03FE"/>
    <w:rsid w:val="004A0ABD"/>
    <w:rsid w:val="004A2D19"/>
    <w:rsid w:val="004A3950"/>
    <w:rsid w:val="004A6CB3"/>
    <w:rsid w:val="004A7DAF"/>
    <w:rsid w:val="004B7300"/>
    <w:rsid w:val="004B7882"/>
    <w:rsid w:val="004C122B"/>
    <w:rsid w:val="004C255B"/>
    <w:rsid w:val="004C3E10"/>
    <w:rsid w:val="004C483F"/>
    <w:rsid w:val="004C4F3E"/>
    <w:rsid w:val="004C785C"/>
    <w:rsid w:val="004D4ABF"/>
    <w:rsid w:val="004D6717"/>
    <w:rsid w:val="004D7677"/>
    <w:rsid w:val="004E3521"/>
    <w:rsid w:val="004E35D6"/>
    <w:rsid w:val="004E3A74"/>
    <w:rsid w:val="004E7821"/>
    <w:rsid w:val="004F329E"/>
    <w:rsid w:val="004F5D07"/>
    <w:rsid w:val="0051064C"/>
    <w:rsid w:val="00512A32"/>
    <w:rsid w:val="005143D0"/>
    <w:rsid w:val="00521CAF"/>
    <w:rsid w:val="0052202A"/>
    <w:rsid w:val="0052522C"/>
    <w:rsid w:val="005269DC"/>
    <w:rsid w:val="005270AA"/>
    <w:rsid w:val="00531942"/>
    <w:rsid w:val="00532258"/>
    <w:rsid w:val="00532361"/>
    <w:rsid w:val="00532C64"/>
    <w:rsid w:val="00533E23"/>
    <w:rsid w:val="005349F7"/>
    <w:rsid w:val="005363A9"/>
    <w:rsid w:val="00537A5B"/>
    <w:rsid w:val="00537F56"/>
    <w:rsid w:val="005445D7"/>
    <w:rsid w:val="00545015"/>
    <w:rsid w:val="00551137"/>
    <w:rsid w:val="005528EF"/>
    <w:rsid w:val="00552DCE"/>
    <w:rsid w:val="00554080"/>
    <w:rsid w:val="00554941"/>
    <w:rsid w:val="00560C1C"/>
    <w:rsid w:val="00561317"/>
    <w:rsid w:val="00564334"/>
    <w:rsid w:val="0057065D"/>
    <w:rsid w:val="005716A9"/>
    <w:rsid w:val="0057279C"/>
    <w:rsid w:val="005753EB"/>
    <w:rsid w:val="005824CF"/>
    <w:rsid w:val="00585B34"/>
    <w:rsid w:val="00585E00"/>
    <w:rsid w:val="005914D3"/>
    <w:rsid w:val="00594343"/>
    <w:rsid w:val="00597308"/>
    <w:rsid w:val="005A0F6B"/>
    <w:rsid w:val="005A3701"/>
    <w:rsid w:val="005A4510"/>
    <w:rsid w:val="005A564B"/>
    <w:rsid w:val="005A6B99"/>
    <w:rsid w:val="005A6BBF"/>
    <w:rsid w:val="005A762E"/>
    <w:rsid w:val="005A7BEA"/>
    <w:rsid w:val="005A7E58"/>
    <w:rsid w:val="005B0E24"/>
    <w:rsid w:val="005B29B1"/>
    <w:rsid w:val="005B57F8"/>
    <w:rsid w:val="005C0C23"/>
    <w:rsid w:val="005C1313"/>
    <w:rsid w:val="005C331E"/>
    <w:rsid w:val="005C338F"/>
    <w:rsid w:val="005C46E9"/>
    <w:rsid w:val="005C59EB"/>
    <w:rsid w:val="005D0C96"/>
    <w:rsid w:val="005D4550"/>
    <w:rsid w:val="005D65F4"/>
    <w:rsid w:val="005E0AAE"/>
    <w:rsid w:val="005E65C2"/>
    <w:rsid w:val="005E7493"/>
    <w:rsid w:val="005E7B27"/>
    <w:rsid w:val="005F0ADB"/>
    <w:rsid w:val="005F1F25"/>
    <w:rsid w:val="005F22C8"/>
    <w:rsid w:val="006014C6"/>
    <w:rsid w:val="006040DC"/>
    <w:rsid w:val="006066ED"/>
    <w:rsid w:val="0061005B"/>
    <w:rsid w:val="006113D9"/>
    <w:rsid w:val="006116B7"/>
    <w:rsid w:val="006136A0"/>
    <w:rsid w:val="00615B60"/>
    <w:rsid w:val="00617A47"/>
    <w:rsid w:val="00622FCE"/>
    <w:rsid w:val="0062325D"/>
    <w:rsid w:val="00624C10"/>
    <w:rsid w:val="0062590C"/>
    <w:rsid w:val="00627CEA"/>
    <w:rsid w:val="00636A19"/>
    <w:rsid w:val="00637A3D"/>
    <w:rsid w:val="006410C2"/>
    <w:rsid w:val="006413B7"/>
    <w:rsid w:val="0064225A"/>
    <w:rsid w:val="00642FC9"/>
    <w:rsid w:val="00643367"/>
    <w:rsid w:val="0064452E"/>
    <w:rsid w:val="006458BC"/>
    <w:rsid w:val="0065182B"/>
    <w:rsid w:val="00653A8D"/>
    <w:rsid w:val="00654743"/>
    <w:rsid w:val="00656236"/>
    <w:rsid w:val="00660818"/>
    <w:rsid w:val="00665750"/>
    <w:rsid w:val="00666B8E"/>
    <w:rsid w:val="00671AA1"/>
    <w:rsid w:val="00671C94"/>
    <w:rsid w:val="00672E59"/>
    <w:rsid w:val="00674CB6"/>
    <w:rsid w:val="00675A41"/>
    <w:rsid w:val="006760D5"/>
    <w:rsid w:val="006778CC"/>
    <w:rsid w:val="0068062E"/>
    <w:rsid w:val="00681C4C"/>
    <w:rsid w:val="00685DC6"/>
    <w:rsid w:val="00686625"/>
    <w:rsid w:val="006866ED"/>
    <w:rsid w:val="0069075C"/>
    <w:rsid w:val="00692A61"/>
    <w:rsid w:val="00694AF5"/>
    <w:rsid w:val="006B1968"/>
    <w:rsid w:val="006B4195"/>
    <w:rsid w:val="006B4F1B"/>
    <w:rsid w:val="006B7075"/>
    <w:rsid w:val="006C2C62"/>
    <w:rsid w:val="006C3270"/>
    <w:rsid w:val="006C3D48"/>
    <w:rsid w:val="006C43A1"/>
    <w:rsid w:val="006C712C"/>
    <w:rsid w:val="006D3000"/>
    <w:rsid w:val="006D307E"/>
    <w:rsid w:val="006D41C2"/>
    <w:rsid w:val="006D4C79"/>
    <w:rsid w:val="006E3939"/>
    <w:rsid w:val="006E4CF9"/>
    <w:rsid w:val="006E707E"/>
    <w:rsid w:val="006E7B49"/>
    <w:rsid w:val="006F18FC"/>
    <w:rsid w:val="006F1E6C"/>
    <w:rsid w:val="006F2B55"/>
    <w:rsid w:val="006F2EC5"/>
    <w:rsid w:val="006F5C8B"/>
    <w:rsid w:val="006F62CA"/>
    <w:rsid w:val="00701B39"/>
    <w:rsid w:val="00701D04"/>
    <w:rsid w:val="007032FF"/>
    <w:rsid w:val="00706DED"/>
    <w:rsid w:val="0071739F"/>
    <w:rsid w:val="00721093"/>
    <w:rsid w:val="00724F91"/>
    <w:rsid w:val="0072539C"/>
    <w:rsid w:val="00731E96"/>
    <w:rsid w:val="0074620C"/>
    <w:rsid w:val="007471B7"/>
    <w:rsid w:val="00747960"/>
    <w:rsid w:val="00750F37"/>
    <w:rsid w:val="00751965"/>
    <w:rsid w:val="00752EF9"/>
    <w:rsid w:val="00753038"/>
    <w:rsid w:val="00753C2D"/>
    <w:rsid w:val="00754793"/>
    <w:rsid w:val="0075517F"/>
    <w:rsid w:val="00762296"/>
    <w:rsid w:val="007626D2"/>
    <w:rsid w:val="007634D1"/>
    <w:rsid w:val="007640FE"/>
    <w:rsid w:val="00764FFB"/>
    <w:rsid w:val="007668B4"/>
    <w:rsid w:val="00766DCC"/>
    <w:rsid w:val="007701C0"/>
    <w:rsid w:val="0077116C"/>
    <w:rsid w:val="00776F0C"/>
    <w:rsid w:val="00781006"/>
    <w:rsid w:val="0079000F"/>
    <w:rsid w:val="00790896"/>
    <w:rsid w:val="007908E8"/>
    <w:rsid w:val="00792DCE"/>
    <w:rsid w:val="007959A4"/>
    <w:rsid w:val="00796B50"/>
    <w:rsid w:val="00797115"/>
    <w:rsid w:val="00797EDC"/>
    <w:rsid w:val="007A07A5"/>
    <w:rsid w:val="007A1E7C"/>
    <w:rsid w:val="007A29E9"/>
    <w:rsid w:val="007A7A45"/>
    <w:rsid w:val="007A7D42"/>
    <w:rsid w:val="007B168D"/>
    <w:rsid w:val="007B3789"/>
    <w:rsid w:val="007B678F"/>
    <w:rsid w:val="007B7744"/>
    <w:rsid w:val="007C2A2E"/>
    <w:rsid w:val="007C2A52"/>
    <w:rsid w:val="007C2B94"/>
    <w:rsid w:val="007C600B"/>
    <w:rsid w:val="007C602E"/>
    <w:rsid w:val="007C7E54"/>
    <w:rsid w:val="007D104D"/>
    <w:rsid w:val="007D14BD"/>
    <w:rsid w:val="007D549D"/>
    <w:rsid w:val="007D5AA8"/>
    <w:rsid w:val="007E1DF5"/>
    <w:rsid w:val="007E2107"/>
    <w:rsid w:val="007E51A5"/>
    <w:rsid w:val="007E5407"/>
    <w:rsid w:val="007E5777"/>
    <w:rsid w:val="007E7491"/>
    <w:rsid w:val="007F3EEF"/>
    <w:rsid w:val="007F5181"/>
    <w:rsid w:val="007F6B3D"/>
    <w:rsid w:val="008015E2"/>
    <w:rsid w:val="00802479"/>
    <w:rsid w:val="00810E5E"/>
    <w:rsid w:val="00811306"/>
    <w:rsid w:val="00812549"/>
    <w:rsid w:val="00812E92"/>
    <w:rsid w:val="00813033"/>
    <w:rsid w:val="00813D7A"/>
    <w:rsid w:val="00815F6A"/>
    <w:rsid w:val="008161FD"/>
    <w:rsid w:val="0081789B"/>
    <w:rsid w:val="008219A8"/>
    <w:rsid w:val="00822534"/>
    <w:rsid w:val="00823F41"/>
    <w:rsid w:val="0082626D"/>
    <w:rsid w:val="00827373"/>
    <w:rsid w:val="00837BB9"/>
    <w:rsid w:val="0084557E"/>
    <w:rsid w:val="00845793"/>
    <w:rsid w:val="00846923"/>
    <w:rsid w:val="0084722A"/>
    <w:rsid w:val="008472CC"/>
    <w:rsid w:val="00847794"/>
    <w:rsid w:val="0085344C"/>
    <w:rsid w:val="0085556E"/>
    <w:rsid w:val="008555F3"/>
    <w:rsid w:val="00855BB6"/>
    <w:rsid w:val="00860702"/>
    <w:rsid w:val="008633D3"/>
    <w:rsid w:val="008637AC"/>
    <w:rsid w:val="008638AA"/>
    <w:rsid w:val="0086655F"/>
    <w:rsid w:val="00867912"/>
    <w:rsid w:val="00867D32"/>
    <w:rsid w:val="008737F8"/>
    <w:rsid w:val="00873D05"/>
    <w:rsid w:val="00874DBD"/>
    <w:rsid w:val="00876E15"/>
    <w:rsid w:val="00877079"/>
    <w:rsid w:val="00877D3F"/>
    <w:rsid w:val="00886C94"/>
    <w:rsid w:val="008921AE"/>
    <w:rsid w:val="008935C6"/>
    <w:rsid w:val="0089446C"/>
    <w:rsid w:val="0089489D"/>
    <w:rsid w:val="00897FA7"/>
    <w:rsid w:val="008A0FA6"/>
    <w:rsid w:val="008A38C2"/>
    <w:rsid w:val="008A3FEF"/>
    <w:rsid w:val="008A5745"/>
    <w:rsid w:val="008B399A"/>
    <w:rsid w:val="008B48B7"/>
    <w:rsid w:val="008B5DD7"/>
    <w:rsid w:val="008C0029"/>
    <w:rsid w:val="008C00C4"/>
    <w:rsid w:val="008C7EF1"/>
    <w:rsid w:val="008D20B1"/>
    <w:rsid w:val="008D2368"/>
    <w:rsid w:val="008D31B1"/>
    <w:rsid w:val="008D583B"/>
    <w:rsid w:val="008D6045"/>
    <w:rsid w:val="008D7662"/>
    <w:rsid w:val="008E0724"/>
    <w:rsid w:val="008E188C"/>
    <w:rsid w:val="008E24CF"/>
    <w:rsid w:val="008E65B7"/>
    <w:rsid w:val="008E7C74"/>
    <w:rsid w:val="008F01C0"/>
    <w:rsid w:val="008F6271"/>
    <w:rsid w:val="008F6933"/>
    <w:rsid w:val="00900AEB"/>
    <w:rsid w:val="00901805"/>
    <w:rsid w:val="009028F0"/>
    <w:rsid w:val="0090475A"/>
    <w:rsid w:val="00905463"/>
    <w:rsid w:val="00910109"/>
    <w:rsid w:val="009109F4"/>
    <w:rsid w:val="009117AA"/>
    <w:rsid w:val="00914DFC"/>
    <w:rsid w:val="00917859"/>
    <w:rsid w:val="00920E66"/>
    <w:rsid w:val="0092135A"/>
    <w:rsid w:val="00924829"/>
    <w:rsid w:val="009262DC"/>
    <w:rsid w:val="0092694C"/>
    <w:rsid w:val="009271B9"/>
    <w:rsid w:val="009321FF"/>
    <w:rsid w:val="00933FA1"/>
    <w:rsid w:val="0093515D"/>
    <w:rsid w:val="00935BFA"/>
    <w:rsid w:val="0093705A"/>
    <w:rsid w:val="009412CD"/>
    <w:rsid w:val="009413CC"/>
    <w:rsid w:val="00946E34"/>
    <w:rsid w:val="0094746B"/>
    <w:rsid w:val="00950123"/>
    <w:rsid w:val="00960394"/>
    <w:rsid w:val="00961434"/>
    <w:rsid w:val="00961620"/>
    <w:rsid w:val="00966E41"/>
    <w:rsid w:val="00967ED8"/>
    <w:rsid w:val="00971088"/>
    <w:rsid w:val="009740A1"/>
    <w:rsid w:val="009768B1"/>
    <w:rsid w:val="009773F3"/>
    <w:rsid w:val="009808D5"/>
    <w:rsid w:val="00980BC2"/>
    <w:rsid w:val="00981314"/>
    <w:rsid w:val="0098668F"/>
    <w:rsid w:val="00986C40"/>
    <w:rsid w:val="0099338A"/>
    <w:rsid w:val="00996159"/>
    <w:rsid w:val="0099627D"/>
    <w:rsid w:val="00996510"/>
    <w:rsid w:val="00996F95"/>
    <w:rsid w:val="009A0C51"/>
    <w:rsid w:val="009A14A0"/>
    <w:rsid w:val="009A202A"/>
    <w:rsid w:val="009A77E2"/>
    <w:rsid w:val="009B5A78"/>
    <w:rsid w:val="009C0BC9"/>
    <w:rsid w:val="009C36BF"/>
    <w:rsid w:val="009C6241"/>
    <w:rsid w:val="009C6B06"/>
    <w:rsid w:val="009C71B0"/>
    <w:rsid w:val="009D2CAC"/>
    <w:rsid w:val="009D53BE"/>
    <w:rsid w:val="009D54E4"/>
    <w:rsid w:val="009E47A4"/>
    <w:rsid w:val="009E4FE3"/>
    <w:rsid w:val="009F2429"/>
    <w:rsid w:val="009F46E2"/>
    <w:rsid w:val="009F59F3"/>
    <w:rsid w:val="009F5C00"/>
    <w:rsid w:val="009F6642"/>
    <w:rsid w:val="009F7C3D"/>
    <w:rsid w:val="00A00143"/>
    <w:rsid w:val="00A015FC"/>
    <w:rsid w:val="00A0372D"/>
    <w:rsid w:val="00A04055"/>
    <w:rsid w:val="00A0571E"/>
    <w:rsid w:val="00A07456"/>
    <w:rsid w:val="00A129FD"/>
    <w:rsid w:val="00A12E5B"/>
    <w:rsid w:val="00A13087"/>
    <w:rsid w:val="00A15285"/>
    <w:rsid w:val="00A16643"/>
    <w:rsid w:val="00A172DA"/>
    <w:rsid w:val="00A176AB"/>
    <w:rsid w:val="00A210D5"/>
    <w:rsid w:val="00A230FD"/>
    <w:rsid w:val="00A238D4"/>
    <w:rsid w:val="00A25BC4"/>
    <w:rsid w:val="00A26910"/>
    <w:rsid w:val="00A32433"/>
    <w:rsid w:val="00A363E4"/>
    <w:rsid w:val="00A37A49"/>
    <w:rsid w:val="00A40BC5"/>
    <w:rsid w:val="00A411E0"/>
    <w:rsid w:val="00A41544"/>
    <w:rsid w:val="00A460B8"/>
    <w:rsid w:val="00A50F57"/>
    <w:rsid w:val="00A51301"/>
    <w:rsid w:val="00A5175F"/>
    <w:rsid w:val="00A52D82"/>
    <w:rsid w:val="00A56F33"/>
    <w:rsid w:val="00A624C7"/>
    <w:rsid w:val="00A638E0"/>
    <w:rsid w:val="00A656D5"/>
    <w:rsid w:val="00A663B3"/>
    <w:rsid w:val="00A67A9F"/>
    <w:rsid w:val="00A7069C"/>
    <w:rsid w:val="00A72B57"/>
    <w:rsid w:val="00A76531"/>
    <w:rsid w:val="00A77361"/>
    <w:rsid w:val="00A8047B"/>
    <w:rsid w:val="00A82EE9"/>
    <w:rsid w:val="00A8306F"/>
    <w:rsid w:val="00A85AC0"/>
    <w:rsid w:val="00A902D9"/>
    <w:rsid w:val="00A91001"/>
    <w:rsid w:val="00A93BF1"/>
    <w:rsid w:val="00A94169"/>
    <w:rsid w:val="00A97453"/>
    <w:rsid w:val="00A97BA0"/>
    <w:rsid w:val="00AA064F"/>
    <w:rsid w:val="00AA4E9C"/>
    <w:rsid w:val="00AA60BB"/>
    <w:rsid w:val="00AB0731"/>
    <w:rsid w:val="00AB0FD5"/>
    <w:rsid w:val="00AB215B"/>
    <w:rsid w:val="00AB3FA6"/>
    <w:rsid w:val="00AB4E82"/>
    <w:rsid w:val="00AB5BBE"/>
    <w:rsid w:val="00AB5E9B"/>
    <w:rsid w:val="00AC153D"/>
    <w:rsid w:val="00AC4639"/>
    <w:rsid w:val="00AC7A17"/>
    <w:rsid w:val="00AC7E32"/>
    <w:rsid w:val="00AD2A26"/>
    <w:rsid w:val="00AD4135"/>
    <w:rsid w:val="00AD4B8B"/>
    <w:rsid w:val="00AD58C2"/>
    <w:rsid w:val="00AD7411"/>
    <w:rsid w:val="00AE0581"/>
    <w:rsid w:val="00AE425F"/>
    <w:rsid w:val="00AE6025"/>
    <w:rsid w:val="00AE7E3F"/>
    <w:rsid w:val="00AF0039"/>
    <w:rsid w:val="00AF023F"/>
    <w:rsid w:val="00AF1643"/>
    <w:rsid w:val="00AF67FD"/>
    <w:rsid w:val="00B02451"/>
    <w:rsid w:val="00B06630"/>
    <w:rsid w:val="00B074CE"/>
    <w:rsid w:val="00B07BCB"/>
    <w:rsid w:val="00B07F02"/>
    <w:rsid w:val="00B104E8"/>
    <w:rsid w:val="00B155BE"/>
    <w:rsid w:val="00B164A6"/>
    <w:rsid w:val="00B17FB8"/>
    <w:rsid w:val="00B22A28"/>
    <w:rsid w:val="00B24691"/>
    <w:rsid w:val="00B27562"/>
    <w:rsid w:val="00B27CDB"/>
    <w:rsid w:val="00B309A5"/>
    <w:rsid w:val="00B325D4"/>
    <w:rsid w:val="00B35230"/>
    <w:rsid w:val="00B364E1"/>
    <w:rsid w:val="00B37CEB"/>
    <w:rsid w:val="00B416A3"/>
    <w:rsid w:val="00B42AE1"/>
    <w:rsid w:val="00B533AF"/>
    <w:rsid w:val="00B556DA"/>
    <w:rsid w:val="00B55FA7"/>
    <w:rsid w:val="00B63600"/>
    <w:rsid w:val="00B64F1C"/>
    <w:rsid w:val="00B66673"/>
    <w:rsid w:val="00B743AA"/>
    <w:rsid w:val="00B759BE"/>
    <w:rsid w:val="00B7606B"/>
    <w:rsid w:val="00B76AFC"/>
    <w:rsid w:val="00B83839"/>
    <w:rsid w:val="00B87776"/>
    <w:rsid w:val="00B90446"/>
    <w:rsid w:val="00B93514"/>
    <w:rsid w:val="00B97686"/>
    <w:rsid w:val="00BB0B75"/>
    <w:rsid w:val="00BB2254"/>
    <w:rsid w:val="00BC0B50"/>
    <w:rsid w:val="00BC1C19"/>
    <w:rsid w:val="00BC2055"/>
    <w:rsid w:val="00BC42DE"/>
    <w:rsid w:val="00BC6802"/>
    <w:rsid w:val="00BC7872"/>
    <w:rsid w:val="00BD01FE"/>
    <w:rsid w:val="00BD1EAB"/>
    <w:rsid w:val="00BD7152"/>
    <w:rsid w:val="00BD7978"/>
    <w:rsid w:val="00BD7CF9"/>
    <w:rsid w:val="00BE0276"/>
    <w:rsid w:val="00BE0C41"/>
    <w:rsid w:val="00BE1E53"/>
    <w:rsid w:val="00BE211D"/>
    <w:rsid w:val="00BE3F9C"/>
    <w:rsid w:val="00BE4B6F"/>
    <w:rsid w:val="00BE6A72"/>
    <w:rsid w:val="00BE75A6"/>
    <w:rsid w:val="00BE7E2C"/>
    <w:rsid w:val="00BF5B4E"/>
    <w:rsid w:val="00BF7E14"/>
    <w:rsid w:val="00C03BFC"/>
    <w:rsid w:val="00C04ECC"/>
    <w:rsid w:val="00C10C7F"/>
    <w:rsid w:val="00C123FE"/>
    <w:rsid w:val="00C13184"/>
    <w:rsid w:val="00C14EBB"/>
    <w:rsid w:val="00C164C4"/>
    <w:rsid w:val="00C21951"/>
    <w:rsid w:val="00C24A0C"/>
    <w:rsid w:val="00C25A12"/>
    <w:rsid w:val="00C30A4F"/>
    <w:rsid w:val="00C30F50"/>
    <w:rsid w:val="00C34043"/>
    <w:rsid w:val="00C34343"/>
    <w:rsid w:val="00C35238"/>
    <w:rsid w:val="00C4452F"/>
    <w:rsid w:val="00C47220"/>
    <w:rsid w:val="00C501C0"/>
    <w:rsid w:val="00C52082"/>
    <w:rsid w:val="00C535A1"/>
    <w:rsid w:val="00C55956"/>
    <w:rsid w:val="00C609C7"/>
    <w:rsid w:val="00C62BB5"/>
    <w:rsid w:val="00C70995"/>
    <w:rsid w:val="00C7251B"/>
    <w:rsid w:val="00C72BD9"/>
    <w:rsid w:val="00C75FDD"/>
    <w:rsid w:val="00C762B0"/>
    <w:rsid w:val="00C85ACE"/>
    <w:rsid w:val="00C917C6"/>
    <w:rsid w:val="00C93D2B"/>
    <w:rsid w:val="00C94354"/>
    <w:rsid w:val="00C9730A"/>
    <w:rsid w:val="00C97334"/>
    <w:rsid w:val="00C97B45"/>
    <w:rsid w:val="00CA2CEF"/>
    <w:rsid w:val="00CA5769"/>
    <w:rsid w:val="00CA676E"/>
    <w:rsid w:val="00CB2D85"/>
    <w:rsid w:val="00CB3619"/>
    <w:rsid w:val="00CB53CF"/>
    <w:rsid w:val="00CB59A1"/>
    <w:rsid w:val="00CB7DE2"/>
    <w:rsid w:val="00CC5842"/>
    <w:rsid w:val="00CC616B"/>
    <w:rsid w:val="00CD14F8"/>
    <w:rsid w:val="00CD2F3D"/>
    <w:rsid w:val="00CD48F3"/>
    <w:rsid w:val="00CD7B17"/>
    <w:rsid w:val="00CE2F5F"/>
    <w:rsid w:val="00CE47C8"/>
    <w:rsid w:val="00CE5455"/>
    <w:rsid w:val="00CE734A"/>
    <w:rsid w:val="00CF24EA"/>
    <w:rsid w:val="00CF2F30"/>
    <w:rsid w:val="00CF7213"/>
    <w:rsid w:val="00D023F6"/>
    <w:rsid w:val="00D03ECF"/>
    <w:rsid w:val="00D07F6D"/>
    <w:rsid w:val="00D1281D"/>
    <w:rsid w:val="00D13419"/>
    <w:rsid w:val="00D15A90"/>
    <w:rsid w:val="00D171F2"/>
    <w:rsid w:val="00D21E50"/>
    <w:rsid w:val="00D24DA6"/>
    <w:rsid w:val="00D25D38"/>
    <w:rsid w:val="00D33473"/>
    <w:rsid w:val="00D35385"/>
    <w:rsid w:val="00D3654E"/>
    <w:rsid w:val="00D3794F"/>
    <w:rsid w:val="00D43628"/>
    <w:rsid w:val="00D44FD9"/>
    <w:rsid w:val="00D4525A"/>
    <w:rsid w:val="00D45387"/>
    <w:rsid w:val="00D47D09"/>
    <w:rsid w:val="00D54413"/>
    <w:rsid w:val="00D547DB"/>
    <w:rsid w:val="00D55497"/>
    <w:rsid w:val="00D63E85"/>
    <w:rsid w:val="00D65C4F"/>
    <w:rsid w:val="00D80CEA"/>
    <w:rsid w:val="00D81EA0"/>
    <w:rsid w:val="00D82EB6"/>
    <w:rsid w:val="00D833BA"/>
    <w:rsid w:val="00D8359A"/>
    <w:rsid w:val="00D8574B"/>
    <w:rsid w:val="00D9116A"/>
    <w:rsid w:val="00D93396"/>
    <w:rsid w:val="00D93E2A"/>
    <w:rsid w:val="00D96F61"/>
    <w:rsid w:val="00DA0A61"/>
    <w:rsid w:val="00DA1BD3"/>
    <w:rsid w:val="00DA2C72"/>
    <w:rsid w:val="00DA3925"/>
    <w:rsid w:val="00DA629B"/>
    <w:rsid w:val="00DA72EE"/>
    <w:rsid w:val="00DB1F6B"/>
    <w:rsid w:val="00DB3213"/>
    <w:rsid w:val="00DB5C10"/>
    <w:rsid w:val="00DB750E"/>
    <w:rsid w:val="00DB7641"/>
    <w:rsid w:val="00DB766C"/>
    <w:rsid w:val="00DC0079"/>
    <w:rsid w:val="00DC4D43"/>
    <w:rsid w:val="00DC5536"/>
    <w:rsid w:val="00DC5572"/>
    <w:rsid w:val="00DC7331"/>
    <w:rsid w:val="00DC7FC3"/>
    <w:rsid w:val="00DD05AF"/>
    <w:rsid w:val="00DD1199"/>
    <w:rsid w:val="00DD3C13"/>
    <w:rsid w:val="00DD473B"/>
    <w:rsid w:val="00DD53F1"/>
    <w:rsid w:val="00DD5CBA"/>
    <w:rsid w:val="00DD6F8C"/>
    <w:rsid w:val="00DE198B"/>
    <w:rsid w:val="00DE3A33"/>
    <w:rsid w:val="00DE4802"/>
    <w:rsid w:val="00DF444F"/>
    <w:rsid w:val="00DF7B98"/>
    <w:rsid w:val="00E002DA"/>
    <w:rsid w:val="00E00B11"/>
    <w:rsid w:val="00E00C0D"/>
    <w:rsid w:val="00E01A5A"/>
    <w:rsid w:val="00E04621"/>
    <w:rsid w:val="00E07D46"/>
    <w:rsid w:val="00E11065"/>
    <w:rsid w:val="00E15B1E"/>
    <w:rsid w:val="00E178B2"/>
    <w:rsid w:val="00E20778"/>
    <w:rsid w:val="00E24CE7"/>
    <w:rsid w:val="00E25C46"/>
    <w:rsid w:val="00E2761D"/>
    <w:rsid w:val="00E27B3F"/>
    <w:rsid w:val="00E30D2B"/>
    <w:rsid w:val="00E342AA"/>
    <w:rsid w:val="00E3538B"/>
    <w:rsid w:val="00E402C0"/>
    <w:rsid w:val="00E4572F"/>
    <w:rsid w:val="00E46653"/>
    <w:rsid w:val="00E471F4"/>
    <w:rsid w:val="00E5266C"/>
    <w:rsid w:val="00E56714"/>
    <w:rsid w:val="00E579C5"/>
    <w:rsid w:val="00E63F30"/>
    <w:rsid w:val="00E64A08"/>
    <w:rsid w:val="00E67C22"/>
    <w:rsid w:val="00E714B9"/>
    <w:rsid w:val="00E751D5"/>
    <w:rsid w:val="00E800B6"/>
    <w:rsid w:val="00E82CD0"/>
    <w:rsid w:val="00E833C6"/>
    <w:rsid w:val="00E90BAA"/>
    <w:rsid w:val="00E94263"/>
    <w:rsid w:val="00E967E0"/>
    <w:rsid w:val="00E97C76"/>
    <w:rsid w:val="00EA2288"/>
    <w:rsid w:val="00EA37D5"/>
    <w:rsid w:val="00EA5544"/>
    <w:rsid w:val="00EA6BBE"/>
    <w:rsid w:val="00EB07B9"/>
    <w:rsid w:val="00EB2772"/>
    <w:rsid w:val="00EB2893"/>
    <w:rsid w:val="00EB2A69"/>
    <w:rsid w:val="00EB4E45"/>
    <w:rsid w:val="00EB4F37"/>
    <w:rsid w:val="00EC2F47"/>
    <w:rsid w:val="00EC42B4"/>
    <w:rsid w:val="00EC4611"/>
    <w:rsid w:val="00EC582B"/>
    <w:rsid w:val="00ED269D"/>
    <w:rsid w:val="00ED6007"/>
    <w:rsid w:val="00ED776C"/>
    <w:rsid w:val="00ED7C89"/>
    <w:rsid w:val="00EE1A3C"/>
    <w:rsid w:val="00EE1A64"/>
    <w:rsid w:val="00EE1D24"/>
    <w:rsid w:val="00EE4015"/>
    <w:rsid w:val="00EE4BA5"/>
    <w:rsid w:val="00EE54DC"/>
    <w:rsid w:val="00EE608A"/>
    <w:rsid w:val="00EE6ACD"/>
    <w:rsid w:val="00EF0136"/>
    <w:rsid w:val="00EF466C"/>
    <w:rsid w:val="00F003F1"/>
    <w:rsid w:val="00F01136"/>
    <w:rsid w:val="00F026F1"/>
    <w:rsid w:val="00F02876"/>
    <w:rsid w:val="00F03BD2"/>
    <w:rsid w:val="00F03DFD"/>
    <w:rsid w:val="00F04341"/>
    <w:rsid w:val="00F0768B"/>
    <w:rsid w:val="00F1033C"/>
    <w:rsid w:val="00F103C2"/>
    <w:rsid w:val="00F106DD"/>
    <w:rsid w:val="00F11E15"/>
    <w:rsid w:val="00F34058"/>
    <w:rsid w:val="00F34346"/>
    <w:rsid w:val="00F34942"/>
    <w:rsid w:val="00F35110"/>
    <w:rsid w:val="00F35673"/>
    <w:rsid w:val="00F36351"/>
    <w:rsid w:val="00F364EE"/>
    <w:rsid w:val="00F36CEF"/>
    <w:rsid w:val="00F36EAA"/>
    <w:rsid w:val="00F4127A"/>
    <w:rsid w:val="00F45194"/>
    <w:rsid w:val="00F45CEE"/>
    <w:rsid w:val="00F4632F"/>
    <w:rsid w:val="00F47320"/>
    <w:rsid w:val="00F51F2D"/>
    <w:rsid w:val="00F525C7"/>
    <w:rsid w:val="00F532D6"/>
    <w:rsid w:val="00F56561"/>
    <w:rsid w:val="00F56B65"/>
    <w:rsid w:val="00F56C11"/>
    <w:rsid w:val="00F575A5"/>
    <w:rsid w:val="00F605BC"/>
    <w:rsid w:val="00F61F38"/>
    <w:rsid w:val="00F641C1"/>
    <w:rsid w:val="00F657BA"/>
    <w:rsid w:val="00F73490"/>
    <w:rsid w:val="00F739E2"/>
    <w:rsid w:val="00F73C19"/>
    <w:rsid w:val="00F73CD6"/>
    <w:rsid w:val="00F76DE2"/>
    <w:rsid w:val="00F76FB7"/>
    <w:rsid w:val="00F86A69"/>
    <w:rsid w:val="00F87488"/>
    <w:rsid w:val="00F9235D"/>
    <w:rsid w:val="00F9454E"/>
    <w:rsid w:val="00F95038"/>
    <w:rsid w:val="00F9526A"/>
    <w:rsid w:val="00FB5FCC"/>
    <w:rsid w:val="00FC14EA"/>
    <w:rsid w:val="00FC22E0"/>
    <w:rsid w:val="00FC2B5C"/>
    <w:rsid w:val="00FC6729"/>
    <w:rsid w:val="00FC68F2"/>
    <w:rsid w:val="00FD2C1F"/>
    <w:rsid w:val="00FD4E39"/>
    <w:rsid w:val="00FD53F4"/>
    <w:rsid w:val="00FE244F"/>
    <w:rsid w:val="00FE3555"/>
    <w:rsid w:val="00FE4121"/>
    <w:rsid w:val="00FE5846"/>
    <w:rsid w:val="00FE5E2D"/>
    <w:rsid w:val="00FF1033"/>
    <w:rsid w:val="00FF1CDC"/>
    <w:rsid w:val="00FF5528"/>
    <w:rsid w:val="00FF7BE4"/>
    <w:rsid w:val="03082365"/>
    <w:rsid w:val="08191757"/>
    <w:rsid w:val="137B2C9D"/>
    <w:rsid w:val="15462A5D"/>
    <w:rsid w:val="15E2587E"/>
    <w:rsid w:val="1E711DC5"/>
    <w:rsid w:val="20F239C7"/>
    <w:rsid w:val="21684874"/>
    <w:rsid w:val="2F037A9E"/>
    <w:rsid w:val="37DC53E8"/>
    <w:rsid w:val="380A1709"/>
    <w:rsid w:val="429833B2"/>
    <w:rsid w:val="454F6FCF"/>
    <w:rsid w:val="49944BDF"/>
    <w:rsid w:val="4A0F4E4B"/>
    <w:rsid w:val="537B1A46"/>
    <w:rsid w:val="55CF743F"/>
    <w:rsid w:val="5D6F21AD"/>
    <w:rsid w:val="61B613CC"/>
    <w:rsid w:val="6F4924F9"/>
    <w:rsid w:val="729B0BCC"/>
    <w:rsid w:val="74B25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C45E78"/>
  <w15:docId w15:val="{2AB169FC-69FF-409D-8872-2B0DFA01F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8"/>
      <w:szCs w:val="28"/>
    </w:rPr>
  </w:style>
  <w:style w:type="paragraph" w:styleId="1">
    <w:name w:val="heading 1"/>
    <w:basedOn w:val="a"/>
    <w:next w:val="a"/>
    <w:link w:val="10"/>
    <w:uiPriority w:val="9"/>
    <w:qFormat/>
    <w:rsid w:val="00BF7E14"/>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iPriority w:val="9"/>
    <w:semiHidden/>
    <w:unhideWhenUsed/>
    <w:qFormat/>
    <w:rsid w:val="0016629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link w:val="a9"/>
    <w:uiPriority w:val="99"/>
    <w:semiHidden/>
    <w:unhideWhenUsed/>
    <w:qFormat/>
    <w:pPr>
      <w:snapToGrid w:val="0"/>
      <w:jc w:val="left"/>
    </w:pPr>
    <w:rPr>
      <w:sz w:val="18"/>
      <w:szCs w:val="18"/>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Pr>
      <w:i/>
      <w:iCs/>
    </w:r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semiHidden/>
    <w:unhideWhenUsed/>
    <w:qFormat/>
    <w:rPr>
      <w:sz w:val="21"/>
      <w:szCs w:val="21"/>
    </w:rPr>
  </w:style>
  <w:style w:type="table" w:customStyle="1" w:styleId="11">
    <w:name w:val="样式1"/>
    <w:basedOn w:val="a1"/>
    <w:uiPriority w:val="99"/>
    <w:qFormat/>
    <w:pPr>
      <w:spacing w:beforeLines="25" w:before="25" w:afterLines="25" w:after="25" w:line="400" w:lineRule="exact"/>
    </w:p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12">
    <w:name w:val="未处理的提及1"/>
    <w:basedOn w:val="a0"/>
    <w:uiPriority w:val="99"/>
    <w:semiHidden/>
    <w:unhideWhenUsed/>
    <w:qFormat/>
    <w:rPr>
      <w:color w:val="605E5C"/>
      <w:shd w:val="clear" w:color="auto" w:fill="E1DFDD"/>
    </w:rPr>
  </w:style>
  <w:style w:type="paragraph" w:customStyle="1" w:styleId="tgt">
    <w:name w:val="_tgt"/>
    <w:basedOn w:val="a"/>
    <w:qFormat/>
    <w:pPr>
      <w:widowControl/>
      <w:spacing w:before="100" w:beforeAutospacing="1" w:after="100" w:afterAutospacing="1"/>
      <w:jc w:val="left"/>
    </w:pPr>
    <w:rPr>
      <w:rFonts w:ascii="宋体" w:hAnsi="宋体" w:cs="宋体"/>
      <w:kern w:val="0"/>
      <w:sz w:val="24"/>
      <w:szCs w:val="24"/>
    </w:rPr>
  </w:style>
  <w:style w:type="character" w:customStyle="1" w:styleId="transsent">
    <w:name w:val="transsent"/>
    <w:basedOn w:val="a0"/>
    <w:qFormat/>
  </w:style>
  <w:style w:type="paragraph" w:styleId="ae">
    <w:name w:val="List Paragraph"/>
    <w:basedOn w:val="a"/>
    <w:uiPriority w:val="34"/>
    <w:qFormat/>
    <w:pPr>
      <w:ind w:firstLineChars="200" w:firstLine="420"/>
    </w:pPr>
    <w:rPr>
      <w:rFonts w:asciiTheme="minorHAnsi" w:eastAsiaTheme="minorEastAsia" w:hAnsiTheme="minorHAnsi" w:cstheme="minorBidi"/>
      <w:sz w:val="21"/>
      <w:szCs w:val="22"/>
    </w:rPr>
  </w:style>
  <w:style w:type="character" w:customStyle="1" w:styleId="a7">
    <w:name w:val="页眉 字符"/>
    <w:basedOn w:val="a0"/>
    <w:link w:val="a6"/>
    <w:uiPriority w:val="99"/>
    <w:qFormat/>
    <w:rPr>
      <w:rFonts w:ascii="Times New Roman" w:eastAsia="宋体" w:hAnsi="Times New Roman" w:cs="Times New Roman"/>
      <w:sz w:val="18"/>
      <w:szCs w:val="18"/>
    </w:rPr>
  </w:style>
  <w:style w:type="character" w:customStyle="1" w:styleId="a5">
    <w:name w:val="页脚 字符"/>
    <w:basedOn w:val="a0"/>
    <w:link w:val="a4"/>
    <w:uiPriority w:val="99"/>
    <w:qFormat/>
    <w:rPr>
      <w:rFonts w:ascii="Times New Roman" w:eastAsia="宋体" w:hAnsi="Times New Roman" w:cs="Times New Roman"/>
      <w:sz w:val="18"/>
      <w:szCs w:val="18"/>
    </w:rPr>
  </w:style>
  <w:style w:type="character" w:customStyle="1" w:styleId="ql-font-timesnewroman">
    <w:name w:val="ql-font-timesnewroman"/>
    <w:basedOn w:val="a0"/>
    <w:qFormat/>
  </w:style>
  <w:style w:type="character" w:customStyle="1" w:styleId="2Char">
    <w:name w:val="标题 2 Char"/>
    <w:basedOn w:val="a0"/>
    <w:uiPriority w:val="9"/>
    <w:qFormat/>
    <w:rPr>
      <w:rFonts w:ascii="Cambria" w:eastAsia="宋体" w:hAnsi="Cambria" w:cs="Times New Roman"/>
      <w:b/>
      <w:bCs/>
      <w:sz w:val="32"/>
      <w:szCs w:val="32"/>
    </w:rPr>
  </w:style>
  <w:style w:type="character" w:customStyle="1" w:styleId="sentence">
    <w:name w:val="sentence"/>
    <w:basedOn w:val="a0"/>
    <w:qFormat/>
  </w:style>
  <w:style w:type="character" w:customStyle="1" w:styleId="20">
    <w:name w:val="标题 2 字符"/>
    <w:basedOn w:val="a0"/>
    <w:link w:val="2"/>
    <w:uiPriority w:val="9"/>
    <w:qFormat/>
    <w:rPr>
      <w:rFonts w:ascii="Calibri Light" w:eastAsia="宋体" w:hAnsi="Calibri Light" w:cs="Times New Roman"/>
      <w:b/>
      <w:bCs/>
      <w:sz w:val="32"/>
      <w:szCs w:val="32"/>
    </w:rPr>
  </w:style>
  <w:style w:type="character" w:customStyle="1" w:styleId="a9">
    <w:name w:val="脚注文本 字符"/>
    <w:basedOn w:val="a0"/>
    <w:link w:val="a8"/>
    <w:uiPriority w:val="99"/>
    <w:semiHidden/>
    <w:qFormat/>
    <w:rPr>
      <w:rFonts w:ascii="Times New Roman" w:eastAsia="宋体" w:hAnsi="Times New Roman" w:cs="Times New Roman"/>
      <w:sz w:val="18"/>
      <w:szCs w:val="18"/>
    </w:rPr>
  </w:style>
  <w:style w:type="character" w:customStyle="1" w:styleId="15">
    <w:name w:val="15"/>
    <w:basedOn w:val="a0"/>
    <w:qFormat/>
    <w:rPr>
      <w:rFonts w:ascii="Cambria" w:eastAsia="宋体" w:hAnsi="Cambria" w:cs="Times New Roman" w:hint="default"/>
      <w:b/>
      <w:bCs/>
      <w:sz w:val="32"/>
      <w:szCs w:val="32"/>
    </w:rPr>
  </w:style>
  <w:style w:type="character" w:customStyle="1" w:styleId="21">
    <w:name w:val="未处理的提及2"/>
    <w:basedOn w:val="a0"/>
    <w:uiPriority w:val="99"/>
    <w:semiHidden/>
    <w:unhideWhenUsed/>
    <w:qFormat/>
    <w:rPr>
      <w:color w:val="605E5C"/>
      <w:shd w:val="clear" w:color="auto" w:fill="E1DFDD"/>
    </w:rPr>
  </w:style>
  <w:style w:type="character" w:customStyle="1" w:styleId="content-right8zs40">
    <w:name w:val="content-right_8zs40"/>
    <w:basedOn w:val="a0"/>
    <w:qFormat/>
  </w:style>
  <w:style w:type="paragraph" w:styleId="af">
    <w:name w:val="Revision"/>
    <w:hidden/>
    <w:uiPriority w:val="99"/>
    <w:semiHidden/>
    <w:rsid w:val="004479D8"/>
    <w:rPr>
      <w:kern w:val="2"/>
      <w:sz w:val="28"/>
      <w:szCs w:val="28"/>
    </w:rPr>
  </w:style>
  <w:style w:type="character" w:styleId="af0">
    <w:name w:val="Unresolved Mention"/>
    <w:basedOn w:val="a0"/>
    <w:uiPriority w:val="99"/>
    <w:semiHidden/>
    <w:unhideWhenUsed/>
    <w:rsid w:val="005270AA"/>
    <w:rPr>
      <w:color w:val="605E5C"/>
      <w:shd w:val="clear" w:color="auto" w:fill="E1DFDD"/>
    </w:rPr>
  </w:style>
  <w:style w:type="character" w:customStyle="1" w:styleId="10">
    <w:name w:val="标题 1 字符"/>
    <w:basedOn w:val="a0"/>
    <w:link w:val="1"/>
    <w:uiPriority w:val="9"/>
    <w:rsid w:val="00BF7E14"/>
    <w:rPr>
      <w:b/>
      <w:bCs/>
      <w:kern w:val="44"/>
      <w:sz w:val="44"/>
      <w:szCs w:val="44"/>
    </w:rPr>
  </w:style>
  <w:style w:type="character" w:customStyle="1" w:styleId="30">
    <w:name w:val="标题 3 字符"/>
    <w:basedOn w:val="a0"/>
    <w:link w:val="3"/>
    <w:uiPriority w:val="9"/>
    <w:semiHidden/>
    <w:rsid w:val="0016629B"/>
    <w:rPr>
      <w:b/>
      <w:bCs/>
      <w:kern w:val="2"/>
      <w:sz w:val="32"/>
      <w:szCs w:val="32"/>
    </w:rPr>
  </w:style>
  <w:style w:type="paragraph" w:styleId="af1">
    <w:name w:val="Bibliography"/>
    <w:basedOn w:val="a"/>
    <w:next w:val="a"/>
    <w:uiPriority w:val="37"/>
    <w:unhideWhenUsed/>
    <w:rsid w:val="001B6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022593">
      <w:bodyDiv w:val="1"/>
      <w:marLeft w:val="0"/>
      <w:marRight w:val="0"/>
      <w:marTop w:val="0"/>
      <w:marBottom w:val="0"/>
      <w:divBdr>
        <w:top w:val="none" w:sz="0" w:space="0" w:color="auto"/>
        <w:left w:val="none" w:sz="0" w:space="0" w:color="auto"/>
        <w:bottom w:val="none" w:sz="0" w:space="0" w:color="auto"/>
        <w:right w:val="none" w:sz="0" w:space="0" w:color="auto"/>
      </w:divBdr>
    </w:div>
    <w:div w:id="377559289">
      <w:bodyDiv w:val="1"/>
      <w:marLeft w:val="0"/>
      <w:marRight w:val="0"/>
      <w:marTop w:val="0"/>
      <w:marBottom w:val="0"/>
      <w:divBdr>
        <w:top w:val="none" w:sz="0" w:space="0" w:color="auto"/>
        <w:left w:val="none" w:sz="0" w:space="0" w:color="auto"/>
        <w:bottom w:val="none" w:sz="0" w:space="0" w:color="auto"/>
        <w:right w:val="none" w:sz="0" w:space="0" w:color="auto"/>
      </w:divBdr>
    </w:div>
    <w:div w:id="1025979800">
      <w:bodyDiv w:val="1"/>
      <w:marLeft w:val="0"/>
      <w:marRight w:val="0"/>
      <w:marTop w:val="0"/>
      <w:marBottom w:val="0"/>
      <w:divBdr>
        <w:top w:val="none" w:sz="0" w:space="0" w:color="auto"/>
        <w:left w:val="none" w:sz="0" w:space="0" w:color="auto"/>
        <w:bottom w:val="none" w:sz="0" w:space="0" w:color="auto"/>
        <w:right w:val="none" w:sz="0" w:space="0" w:color="auto"/>
      </w:divBdr>
    </w:div>
    <w:div w:id="1112556230">
      <w:bodyDiv w:val="1"/>
      <w:marLeft w:val="0"/>
      <w:marRight w:val="0"/>
      <w:marTop w:val="0"/>
      <w:marBottom w:val="0"/>
      <w:divBdr>
        <w:top w:val="none" w:sz="0" w:space="0" w:color="auto"/>
        <w:left w:val="none" w:sz="0" w:space="0" w:color="auto"/>
        <w:bottom w:val="none" w:sz="0" w:space="0" w:color="auto"/>
        <w:right w:val="none" w:sz="0" w:space="0" w:color="auto"/>
      </w:divBdr>
    </w:div>
    <w:div w:id="1915818005">
      <w:bodyDiv w:val="1"/>
      <w:marLeft w:val="0"/>
      <w:marRight w:val="0"/>
      <w:marTop w:val="0"/>
      <w:marBottom w:val="0"/>
      <w:divBdr>
        <w:top w:val="none" w:sz="0" w:space="0" w:color="auto"/>
        <w:left w:val="none" w:sz="0" w:space="0" w:color="auto"/>
        <w:bottom w:val="none" w:sz="0" w:space="0" w:color="auto"/>
        <w:right w:val="none" w:sz="0" w:space="0" w:color="auto"/>
      </w:divBdr>
    </w:div>
    <w:div w:id="1994530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ircarta.cs.uni-saarland.de/mirbase_tracking/hsa-mir-1250/" TargetMode="External"/><Relationship Id="rId18" Type="http://schemas.openxmlformats.org/officeDocument/2006/relationships/image" Target="media/image8.jpe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hyperlink" Target="https://mircarta.cs.uni-saarland.de/mirbase_tracking/hsa-mir-338/" TargetMode="External"/><Relationship Id="rId17" Type="http://schemas.openxmlformats.org/officeDocument/2006/relationships/image" Target="media/image7.jpe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javascript:;" TargetMode="Externa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ircarta.cs.uni-saarland.de/advanced" TargetMode="External"/><Relationship Id="rId23" Type="http://schemas.openxmlformats.org/officeDocument/2006/relationships/image" Target="media/image12.jpeg"/><Relationship Id="rId28"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mircarta.cs.uni-saarland.de/mirbase_tracking/hsa-mir-3065/" TargetMode="Externa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43234-63C9-45EC-BA7B-C19F65719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4801</TotalTime>
  <Pages>1</Pages>
  <Words>1185</Words>
  <Characters>7612</Characters>
  <Application>Microsoft Office Word</Application>
  <DocSecurity>0</DocSecurity>
  <Lines>634</Lines>
  <Paragraphs>488</Paragraphs>
  <ScaleCrop>false</ScaleCrop>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婷婷 冯</cp:lastModifiedBy>
  <cp:revision>23</cp:revision>
  <dcterms:created xsi:type="dcterms:W3CDTF">2022-08-01T03:08:00Z</dcterms:created>
  <dcterms:modified xsi:type="dcterms:W3CDTF">2024-10-25T01:29:00Z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3653BBC0CF2948CEB07DA03EF69FE031</vt:lpwstr>
  </property>
  <property fmtid="{D5CDD505-2E9C-101B-9397-08002B2CF9AE}" pid="4" name="ZOTERO_PREF_1">
    <vt:lpwstr>&lt;data data-version="3" zotero-version="6.0.36"&gt;&lt;session id="yHoKDj9I"/&gt;&lt;style id="http://www.zotero.org/styles/gb-t-7714-2015-numeric-aulower-bilan-ce" hasBibliography="1" bibliographyStyleHasBeenSet="1"/&gt;&lt;prefs&gt;&lt;pref name="fieldType" value="Field"/&gt;&lt;/pre</vt:lpwstr>
  </property>
  <property fmtid="{D5CDD505-2E9C-101B-9397-08002B2CF9AE}" pid="5" name="ZOTERO_PREF_2">
    <vt:lpwstr>fs&gt;&lt;/data&gt;</vt:lpwstr>
  </property>
  <property fmtid="{D5CDD505-2E9C-101B-9397-08002B2CF9AE}" pid="6" name="GrammarlyDocumentId">
    <vt:lpwstr>29ecef98fbdf33b7d42672905efa41f43b188c75419803650ba0ce61b778743b</vt:lpwstr>
  </property>
</Properties>
</file>