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46434" w14:textId="1817BC23" w:rsidR="00C67635" w:rsidRPr="00C67635" w:rsidRDefault="00C67635" w:rsidP="00C67635">
      <w:pPr>
        <w:suppressLineNumbers/>
        <w:rPr>
          <w:rFonts w:ascii="Arial" w:hAnsi="Arial" w:cs="Arial"/>
          <w:b/>
          <w:sz w:val="22"/>
        </w:rPr>
      </w:pPr>
      <w:r w:rsidRPr="00C67635">
        <w:rPr>
          <w:rFonts w:ascii="Arial" w:hAnsi="Arial" w:cs="Arial"/>
          <w:sz w:val="22"/>
        </w:rPr>
        <w:t>P</w:t>
      </w:r>
      <w:r w:rsidRPr="00C67635">
        <w:rPr>
          <w:rFonts w:ascii="Arial" w:hAnsi="Arial" w:cs="Arial"/>
          <w:b/>
          <w:sz w:val="22"/>
        </w:rPr>
        <w:t>lant root carbon inputs drive methane production in tropical peatlands</w:t>
      </w:r>
    </w:p>
    <w:p w14:paraId="42D9AB13" w14:textId="06F3760C" w:rsidR="00C67635" w:rsidRPr="00C67635" w:rsidRDefault="00C67635" w:rsidP="00C67635">
      <w:pPr>
        <w:pStyle w:val="Heading1"/>
        <w:rPr>
          <w:rFonts w:ascii="Arial" w:hAnsi="Arial" w:cs="Arial"/>
          <w:szCs w:val="22"/>
        </w:rPr>
      </w:pPr>
      <w:r w:rsidRPr="00C67635">
        <w:rPr>
          <w:rFonts w:ascii="Arial" w:hAnsi="Arial" w:cs="Arial"/>
          <w:szCs w:val="22"/>
        </w:rPr>
        <w:t>Supplementary information</w:t>
      </w:r>
      <w:r w:rsidRPr="00C67635">
        <w:rPr>
          <w:rFonts w:ascii="Arial" w:hAnsi="Arial" w:cs="Arial"/>
          <w:szCs w:val="22"/>
        </w:rPr>
        <w:t xml:space="preserve">: </w:t>
      </w:r>
    </w:p>
    <w:p w14:paraId="3384CAB3" w14:textId="77777777" w:rsidR="00C67635" w:rsidRPr="00C67635" w:rsidRDefault="00C67635" w:rsidP="00C67635">
      <w:pPr>
        <w:pStyle w:val="Heading2"/>
        <w:rPr>
          <w:rFonts w:ascii="Arial" w:hAnsi="Arial" w:cs="Arial"/>
          <w:szCs w:val="22"/>
        </w:rPr>
      </w:pPr>
      <w:r w:rsidRPr="00C67635">
        <w:rPr>
          <w:rFonts w:ascii="Arial" w:hAnsi="Arial" w:cs="Arial"/>
          <w:szCs w:val="22"/>
        </w:rPr>
        <w:t>Plant and peat properties</w:t>
      </w:r>
    </w:p>
    <w:p w14:paraId="086103DB" w14:textId="77777777" w:rsidR="00C67635" w:rsidRPr="00C67635" w:rsidRDefault="00C67635" w:rsidP="00C67635">
      <w:pPr>
        <w:rPr>
          <w:rFonts w:ascii="Arial" w:hAnsi="Arial" w:cs="Arial"/>
          <w:sz w:val="22"/>
        </w:rPr>
      </w:pPr>
      <w:r w:rsidRPr="00C67635">
        <w:rPr>
          <w:rFonts w:ascii="Arial" w:hAnsi="Arial" w:cs="Arial"/>
          <w:sz w:val="22"/>
        </w:rPr>
        <w:t xml:space="preserve">Plants for </w:t>
      </w:r>
      <w:r w:rsidRPr="00C67635">
        <w:rPr>
          <w:rFonts w:ascii="Arial" w:hAnsi="Arial" w:cs="Arial"/>
          <w:sz w:val="22"/>
          <w:vertAlign w:val="superscript"/>
        </w:rPr>
        <w:t>13</w:t>
      </w:r>
      <w:r w:rsidRPr="00C67635">
        <w:rPr>
          <w:rFonts w:ascii="Arial" w:hAnsi="Arial" w:cs="Arial"/>
          <w:sz w:val="22"/>
        </w:rPr>
        <w:t>CO</w:t>
      </w:r>
      <w:r w:rsidRPr="00C67635">
        <w:rPr>
          <w:rFonts w:ascii="Arial" w:hAnsi="Arial" w:cs="Arial"/>
          <w:sz w:val="22"/>
          <w:vertAlign w:val="subscript"/>
        </w:rPr>
        <w:t xml:space="preserve">2 </w:t>
      </w:r>
      <w:r w:rsidRPr="00C67635">
        <w:rPr>
          <w:rFonts w:ascii="Arial" w:hAnsi="Arial" w:cs="Arial"/>
          <w:sz w:val="22"/>
        </w:rPr>
        <w:t>pulse labelling</w:t>
      </w:r>
      <w:r w:rsidRPr="00C67635">
        <w:rPr>
          <w:rFonts w:ascii="Arial" w:hAnsi="Arial" w:cs="Arial"/>
          <w:sz w:val="22"/>
          <w:vertAlign w:val="subscript"/>
        </w:rPr>
        <w:t xml:space="preserve"> </w:t>
      </w:r>
      <w:r w:rsidRPr="00C67635">
        <w:rPr>
          <w:rFonts w:ascii="Arial" w:hAnsi="Arial" w:cs="Arial"/>
          <w:sz w:val="22"/>
        </w:rPr>
        <w:t>were selected for their similar heights and DBH and as a result, aboveground and belowground biomass was consistent between plant types. Aboveground and belowground biomass were 4.14 g and 2.31 g for broadleaved evergreen plants, and 6.56 g and 3.86 g for palms, respectively (Supplementary table 1). Peat moisture and organic matter content were consistently high in peat under both plant types with means of 87.8% and 93.9%, and 86.0% and 84.6% under broadleaved evergreens and palms, respectively. Peats were acidic with low but highly variable conductivity within plant types, and were all weakly reducing (redox &lt; 300 mV). Peats had high total carbon (35.1 – 46.1%) and nitrogen (2.0 – 2.6%), and consistent C:N ratios between plant types (17.2 – 17.6). </w:t>
      </w:r>
    </w:p>
    <w:p w14:paraId="0CDD9F56" w14:textId="77777777" w:rsidR="00C67635" w:rsidRPr="00C67635" w:rsidRDefault="00C67635" w:rsidP="00C67635">
      <w:pPr>
        <w:rPr>
          <w:rFonts w:ascii="Arial" w:hAnsi="Arial" w:cs="Arial"/>
          <w:sz w:val="22"/>
        </w:rPr>
      </w:pPr>
    </w:p>
    <w:p w14:paraId="2D365141" w14:textId="77777777" w:rsidR="00C67635" w:rsidRPr="00C67635" w:rsidRDefault="00C67635" w:rsidP="00C67635">
      <w:pPr>
        <w:pStyle w:val="Heading4"/>
        <w:rPr>
          <w:rFonts w:ascii="Arial" w:hAnsi="Arial" w:cs="Arial"/>
          <w:sz w:val="22"/>
        </w:rPr>
      </w:pPr>
      <w:bookmarkStart w:id="0" w:name="_Toc517685335"/>
      <w:r w:rsidRPr="00C67635">
        <w:rPr>
          <w:rFonts w:ascii="Arial" w:hAnsi="Arial" w:cs="Arial"/>
          <w:b/>
          <w:bCs w:val="0"/>
          <w:sz w:val="22"/>
        </w:rPr>
        <w:t>Supplementary table 1</w:t>
      </w:r>
      <w:r w:rsidRPr="00C67635">
        <w:rPr>
          <w:rFonts w:ascii="Arial" w:hAnsi="Arial" w:cs="Arial"/>
          <w:sz w:val="22"/>
        </w:rPr>
        <w:t xml:space="preserve">: Plant type and peat properties of broadleaved evergreen and palm plant types. Means </w:t>
      </w:r>
      <w:r w:rsidRPr="00C67635">
        <w:rPr>
          <w:rFonts w:ascii="Arial" w:eastAsia="Times New Roman" w:hAnsi="Arial" w:cs="Arial"/>
          <w:color w:val="000000"/>
          <w:sz w:val="22"/>
          <w:lang w:eastAsia="en-GB"/>
        </w:rPr>
        <w:t>± 1 SE (n = 4 and 5)</w:t>
      </w:r>
      <w:bookmarkEnd w:id="0"/>
      <w:r w:rsidRPr="00C67635">
        <w:rPr>
          <w:rFonts w:ascii="Arial" w:eastAsia="Times New Roman" w:hAnsi="Arial" w:cs="Arial"/>
          <w:color w:val="000000"/>
          <w:sz w:val="22"/>
          <w:lang w:eastAsia="en-GB"/>
        </w:rPr>
        <w:t>.</w:t>
      </w:r>
    </w:p>
    <w:tbl>
      <w:tblPr>
        <w:tblW w:w="6524" w:type="dxa"/>
        <w:tblInd w:w="93" w:type="dxa"/>
        <w:tblLook w:val="04A0" w:firstRow="1" w:lastRow="0" w:firstColumn="1" w:lastColumn="0" w:noHBand="0" w:noVBand="1"/>
      </w:tblPr>
      <w:tblGrid>
        <w:gridCol w:w="3231"/>
        <w:gridCol w:w="1872"/>
        <w:gridCol w:w="1421"/>
      </w:tblGrid>
      <w:tr w:rsidR="00C67635" w:rsidRPr="00C67635" w14:paraId="4DCD8538" w14:textId="77777777" w:rsidTr="00AB78FA">
        <w:trPr>
          <w:trHeight w:val="299"/>
        </w:trPr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7E822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b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b/>
                <w:sz w:val="22"/>
                <w:lang w:eastAsia="en-GB"/>
              </w:rPr>
              <w:t>Plant type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0F118B2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b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b/>
                <w:sz w:val="22"/>
                <w:lang w:eastAsia="en-GB"/>
              </w:rPr>
              <w:t>Broadleaved evergreen tree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4D5548" w14:textId="77777777" w:rsidR="00C67635" w:rsidRPr="00C67635" w:rsidRDefault="00C67635" w:rsidP="00AB78FA">
            <w:pPr>
              <w:spacing w:line="240" w:lineRule="auto"/>
              <w:jc w:val="center"/>
              <w:rPr>
                <w:rFonts w:ascii="Arial" w:hAnsi="Arial" w:cs="Arial"/>
                <w:b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b/>
                <w:sz w:val="22"/>
                <w:lang w:eastAsia="en-GB"/>
              </w:rPr>
              <w:t>Palm</w:t>
            </w:r>
          </w:p>
        </w:tc>
      </w:tr>
      <w:tr w:rsidR="00C67635" w:rsidRPr="00C67635" w14:paraId="70E301FC" w14:textId="77777777" w:rsidTr="00AB78FA">
        <w:trPr>
          <w:trHeight w:val="299"/>
        </w:trPr>
        <w:tc>
          <w:tcPr>
            <w:tcW w:w="32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C9BEB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Height (cm)</w:t>
            </w:r>
          </w:p>
        </w:tc>
        <w:tc>
          <w:tcPr>
            <w:tcW w:w="187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679C3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 xml:space="preserve">36.4 ± 11.2   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vAlign w:val="bottom"/>
          </w:tcPr>
          <w:p w14:paraId="0729FD31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38.9 ± 8.2</w:t>
            </w:r>
          </w:p>
        </w:tc>
      </w:tr>
      <w:tr w:rsidR="00C67635" w:rsidRPr="00C67635" w14:paraId="1986AC15" w14:textId="77777777" w:rsidTr="00AB78FA">
        <w:trPr>
          <w:trHeight w:val="299"/>
        </w:trPr>
        <w:tc>
          <w:tcPr>
            <w:tcW w:w="3231" w:type="dxa"/>
            <w:shd w:val="clear" w:color="auto" w:fill="auto"/>
            <w:noWrap/>
            <w:vAlign w:val="bottom"/>
            <w:hideMark/>
          </w:tcPr>
          <w:p w14:paraId="4FD021CC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DBH (cm)</w:t>
            </w:r>
          </w:p>
        </w:tc>
        <w:tc>
          <w:tcPr>
            <w:tcW w:w="1872" w:type="dxa"/>
            <w:shd w:val="clear" w:color="auto" w:fill="auto"/>
            <w:noWrap/>
            <w:vAlign w:val="bottom"/>
            <w:hideMark/>
          </w:tcPr>
          <w:p w14:paraId="7EAD75AF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0.33 ± 0.10</w:t>
            </w:r>
          </w:p>
        </w:tc>
        <w:tc>
          <w:tcPr>
            <w:tcW w:w="1421" w:type="dxa"/>
            <w:vAlign w:val="bottom"/>
          </w:tcPr>
          <w:p w14:paraId="5F88ADF6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0.38 ± 0.13</w:t>
            </w:r>
          </w:p>
        </w:tc>
      </w:tr>
      <w:tr w:rsidR="00C67635" w:rsidRPr="00C67635" w14:paraId="560E523C" w14:textId="77777777" w:rsidTr="00AB78FA">
        <w:trPr>
          <w:trHeight w:val="299"/>
        </w:trPr>
        <w:tc>
          <w:tcPr>
            <w:tcW w:w="3231" w:type="dxa"/>
            <w:shd w:val="clear" w:color="auto" w:fill="auto"/>
            <w:noWrap/>
            <w:vAlign w:val="bottom"/>
            <w:hideMark/>
          </w:tcPr>
          <w:p w14:paraId="5E8462D1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Aboveground biomass (g)</w:t>
            </w:r>
          </w:p>
        </w:tc>
        <w:tc>
          <w:tcPr>
            <w:tcW w:w="1872" w:type="dxa"/>
            <w:shd w:val="clear" w:color="auto" w:fill="auto"/>
            <w:noWrap/>
            <w:vAlign w:val="bottom"/>
            <w:hideMark/>
          </w:tcPr>
          <w:p w14:paraId="17CFC6D1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4.1 ± 4.0</w:t>
            </w:r>
          </w:p>
        </w:tc>
        <w:tc>
          <w:tcPr>
            <w:tcW w:w="1421" w:type="dxa"/>
            <w:vAlign w:val="bottom"/>
          </w:tcPr>
          <w:p w14:paraId="190B0011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6.6 ± 3.6</w:t>
            </w:r>
          </w:p>
        </w:tc>
      </w:tr>
      <w:tr w:rsidR="00C67635" w:rsidRPr="00C67635" w14:paraId="79C5FA6B" w14:textId="77777777" w:rsidTr="00AB78FA">
        <w:trPr>
          <w:trHeight w:val="299"/>
        </w:trPr>
        <w:tc>
          <w:tcPr>
            <w:tcW w:w="3231" w:type="dxa"/>
            <w:shd w:val="clear" w:color="auto" w:fill="auto"/>
            <w:noWrap/>
            <w:vAlign w:val="bottom"/>
            <w:hideMark/>
          </w:tcPr>
          <w:p w14:paraId="7E759B43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Belowground biomass (g)</w:t>
            </w:r>
          </w:p>
        </w:tc>
        <w:tc>
          <w:tcPr>
            <w:tcW w:w="1872" w:type="dxa"/>
            <w:shd w:val="clear" w:color="auto" w:fill="auto"/>
            <w:noWrap/>
            <w:vAlign w:val="bottom"/>
            <w:hideMark/>
          </w:tcPr>
          <w:p w14:paraId="00D266E2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2.3 ± 1.4</w:t>
            </w:r>
          </w:p>
        </w:tc>
        <w:tc>
          <w:tcPr>
            <w:tcW w:w="1421" w:type="dxa"/>
            <w:vAlign w:val="bottom"/>
          </w:tcPr>
          <w:p w14:paraId="22C1A43A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3.9 ± 4.2</w:t>
            </w:r>
          </w:p>
        </w:tc>
      </w:tr>
      <w:tr w:rsidR="00C67635" w:rsidRPr="00C67635" w14:paraId="2ED54B2E" w14:textId="77777777" w:rsidTr="00AB78FA">
        <w:trPr>
          <w:trHeight w:val="299"/>
        </w:trPr>
        <w:tc>
          <w:tcPr>
            <w:tcW w:w="3231" w:type="dxa"/>
            <w:shd w:val="clear" w:color="auto" w:fill="auto"/>
            <w:noWrap/>
            <w:vAlign w:val="bottom"/>
            <w:hideMark/>
          </w:tcPr>
          <w:p w14:paraId="3B24CCCD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Peat moisture (%)</w:t>
            </w:r>
          </w:p>
        </w:tc>
        <w:tc>
          <w:tcPr>
            <w:tcW w:w="1872" w:type="dxa"/>
            <w:shd w:val="clear" w:color="auto" w:fill="auto"/>
            <w:noWrap/>
            <w:vAlign w:val="bottom"/>
            <w:hideMark/>
          </w:tcPr>
          <w:p w14:paraId="0DD1A254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87.8 ± 2.7</w:t>
            </w:r>
          </w:p>
        </w:tc>
        <w:tc>
          <w:tcPr>
            <w:tcW w:w="1421" w:type="dxa"/>
            <w:vAlign w:val="bottom"/>
          </w:tcPr>
          <w:p w14:paraId="3E4D196D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86 ± 4.7</w:t>
            </w:r>
          </w:p>
        </w:tc>
      </w:tr>
      <w:tr w:rsidR="00C67635" w:rsidRPr="00C67635" w14:paraId="4585F558" w14:textId="77777777" w:rsidTr="00AB78FA">
        <w:trPr>
          <w:trHeight w:val="299"/>
        </w:trPr>
        <w:tc>
          <w:tcPr>
            <w:tcW w:w="3231" w:type="dxa"/>
            <w:shd w:val="clear" w:color="auto" w:fill="auto"/>
            <w:noWrap/>
            <w:vAlign w:val="bottom"/>
            <w:hideMark/>
          </w:tcPr>
          <w:p w14:paraId="47B202B8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Organic matter content (%)</w:t>
            </w:r>
          </w:p>
        </w:tc>
        <w:tc>
          <w:tcPr>
            <w:tcW w:w="1872" w:type="dxa"/>
            <w:shd w:val="clear" w:color="auto" w:fill="auto"/>
            <w:noWrap/>
            <w:vAlign w:val="bottom"/>
            <w:hideMark/>
          </w:tcPr>
          <w:p w14:paraId="131F32F9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93.9 ± 2.2</w:t>
            </w:r>
          </w:p>
        </w:tc>
        <w:tc>
          <w:tcPr>
            <w:tcW w:w="1421" w:type="dxa"/>
            <w:vAlign w:val="bottom"/>
          </w:tcPr>
          <w:p w14:paraId="2EF3440A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 xml:space="preserve">84.5 ± 18.1 </w:t>
            </w:r>
          </w:p>
        </w:tc>
      </w:tr>
      <w:tr w:rsidR="00C67635" w:rsidRPr="00C67635" w14:paraId="3F8218AB" w14:textId="77777777" w:rsidTr="00AB78FA">
        <w:trPr>
          <w:trHeight w:val="299"/>
        </w:trPr>
        <w:tc>
          <w:tcPr>
            <w:tcW w:w="3231" w:type="dxa"/>
            <w:shd w:val="clear" w:color="auto" w:fill="auto"/>
            <w:noWrap/>
            <w:vAlign w:val="bottom"/>
            <w:hideMark/>
          </w:tcPr>
          <w:p w14:paraId="3F221646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pH</w:t>
            </w:r>
          </w:p>
        </w:tc>
        <w:tc>
          <w:tcPr>
            <w:tcW w:w="1872" w:type="dxa"/>
            <w:shd w:val="clear" w:color="auto" w:fill="auto"/>
            <w:noWrap/>
            <w:vAlign w:val="bottom"/>
            <w:hideMark/>
          </w:tcPr>
          <w:p w14:paraId="19BD4516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4.1 ± 4.1</w:t>
            </w:r>
          </w:p>
        </w:tc>
        <w:tc>
          <w:tcPr>
            <w:tcW w:w="1421" w:type="dxa"/>
            <w:vAlign w:val="bottom"/>
          </w:tcPr>
          <w:p w14:paraId="0D1025AD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4.4 ± 0.3</w:t>
            </w:r>
          </w:p>
        </w:tc>
      </w:tr>
      <w:tr w:rsidR="00C67635" w:rsidRPr="00C67635" w14:paraId="73F22A90" w14:textId="77777777" w:rsidTr="00AB78FA">
        <w:trPr>
          <w:trHeight w:val="299"/>
        </w:trPr>
        <w:tc>
          <w:tcPr>
            <w:tcW w:w="3231" w:type="dxa"/>
            <w:shd w:val="clear" w:color="auto" w:fill="auto"/>
            <w:noWrap/>
            <w:vAlign w:val="bottom"/>
            <w:hideMark/>
          </w:tcPr>
          <w:p w14:paraId="7CF92226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Conductivity (µS)</w:t>
            </w:r>
          </w:p>
        </w:tc>
        <w:tc>
          <w:tcPr>
            <w:tcW w:w="1872" w:type="dxa"/>
            <w:shd w:val="clear" w:color="auto" w:fill="auto"/>
            <w:noWrap/>
            <w:vAlign w:val="bottom"/>
            <w:hideMark/>
          </w:tcPr>
          <w:p w14:paraId="7C9FF753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128.9 ± 52.8</w:t>
            </w:r>
          </w:p>
        </w:tc>
        <w:tc>
          <w:tcPr>
            <w:tcW w:w="1421" w:type="dxa"/>
            <w:vAlign w:val="bottom"/>
          </w:tcPr>
          <w:p w14:paraId="1FE01E2B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96.8 ± 16.1</w:t>
            </w:r>
          </w:p>
        </w:tc>
      </w:tr>
      <w:tr w:rsidR="00C67635" w:rsidRPr="00C67635" w14:paraId="2F7497DE" w14:textId="77777777" w:rsidTr="00AB78FA">
        <w:trPr>
          <w:trHeight w:val="299"/>
        </w:trPr>
        <w:tc>
          <w:tcPr>
            <w:tcW w:w="3231" w:type="dxa"/>
            <w:shd w:val="clear" w:color="auto" w:fill="auto"/>
            <w:noWrap/>
            <w:vAlign w:val="bottom"/>
            <w:hideMark/>
          </w:tcPr>
          <w:p w14:paraId="2C57D970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Redox (mV)</w:t>
            </w:r>
          </w:p>
        </w:tc>
        <w:tc>
          <w:tcPr>
            <w:tcW w:w="1872" w:type="dxa"/>
            <w:shd w:val="clear" w:color="auto" w:fill="auto"/>
            <w:noWrap/>
            <w:vAlign w:val="bottom"/>
            <w:hideMark/>
          </w:tcPr>
          <w:p w14:paraId="413D72BB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288.4 ± 13.8</w:t>
            </w:r>
          </w:p>
        </w:tc>
        <w:tc>
          <w:tcPr>
            <w:tcW w:w="1421" w:type="dxa"/>
            <w:vAlign w:val="bottom"/>
          </w:tcPr>
          <w:p w14:paraId="6D674FFD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293.5 ± 7.2</w:t>
            </w:r>
          </w:p>
        </w:tc>
      </w:tr>
      <w:tr w:rsidR="00C67635" w:rsidRPr="00C67635" w14:paraId="6730AABF" w14:textId="77777777" w:rsidTr="00AB78FA">
        <w:trPr>
          <w:trHeight w:val="299"/>
        </w:trPr>
        <w:tc>
          <w:tcPr>
            <w:tcW w:w="3231" w:type="dxa"/>
            <w:shd w:val="clear" w:color="auto" w:fill="auto"/>
            <w:noWrap/>
            <w:vAlign w:val="bottom"/>
            <w:hideMark/>
          </w:tcPr>
          <w:p w14:paraId="26F2FC56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C (%)</w:t>
            </w:r>
          </w:p>
        </w:tc>
        <w:tc>
          <w:tcPr>
            <w:tcW w:w="1872" w:type="dxa"/>
            <w:shd w:val="clear" w:color="auto" w:fill="auto"/>
            <w:noWrap/>
            <w:vAlign w:val="bottom"/>
            <w:hideMark/>
          </w:tcPr>
          <w:p w14:paraId="52C73D2B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46.1 ± 7.2</w:t>
            </w:r>
          </w:p>
        </w:tc>
        <w:tc>
          <w:tcPr>
            <w:tcW w:w="1421" w:type="dxa"/>
            <w:vAlign w:val="bottom"/>
          </w:tcPr>
          <w:p w14:paraId="408270DD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35.1 ± 5.1</w:t>
            </w:r>
          </w:p>
        </w:tc>
      </w:tr>
      <w:tr w:rsidR="00C67635" w:rsidRPr="00C67635" w14:paraId="6EAFE2BC" w14:textId="77777777" w:rsidTr="00AB78FA">
        <w:trPr>
          <w:trHeight w:val="299"/>
        </w:trPr>
        <w:tc>
          <w:tcPr>
            <w:tcW w:w="3231" w:type="dxa"/>
            <w:shd w:val="clear" w:color="auto" w:fill="auto"/>
            <w:noWrap/>
            <w:vAlign w:val="bottom"/>
            <w:hideMark/>
          </w:tcPr>
          <w:p w14:paraId="511340C5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N (%)</w:t>
            </w:r>
          </w:p>
        </w:tc>
        <w:tc>
          <w:tcPr>
            <w:tcW w:w="1872" w:type="dxa"/>
            <w:shd w:val="clear" w:color="auto" w:fill="auto"/>
            <w:noWrap/>
            <w:vAlign w:val="bottom"/>
            <w:hideMark/>
          </w:tcPr>
          <w:p w14:paraId="6AA8A82B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2.6 ± 0.4</w:t>
            </w:r>
          </w:p>
        </w:tc>
        <w:tc>
          <w:tcPr>
            <w:tcW w:w="1421" w:type="dxa"/>
            <w:vAlign w:val="bottom"/>
          </w:tcPr>
          <w:p w14:paraId="63487B52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2.0 ± 0.3</w:t>
            </w:r>
          </w:p>
        </w:tc>
      </w:tr>
      <w:tr w:rsidR="00C67635" w:rsidRPr="00C67635" w14:paraId="779C354E" w14:textId="77777777" w:rsidTr="00AB78FA">
        <w:trPr>
          <w:trHeight w:val="299"/>
        </w:trPr>
        <w:tc>
          <w:tcPr>
            <w:tcW w:w="323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A405A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C:N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3B8D9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17.6 ± 1.6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vAlign w:val="bottom"/>
          </w:tcPr>
          <w:p w14:paraId="47F75C49" w14:textId="77777777" w:rsidR="00C67635" w:rsidRPr="00C67635" w:rsidRDefault="00C67635" w:rsidP="00AB78FA">
            <w:pPr>
              <w:spacing w:line="240" w:lineRule="auto"/>
              <w:rPr>
                <w:rFonts w:ascii="Arial" w:hAnsi="Arial" w:cs="Arial"/>
                <w:sz w:val="22"/>
                <w:lang w:eastAsia="en-GB"/>
              </w:rPr>
            </w:pPr>
            <w:r w:rsidRPr="00C67635">
              <w:rPr>
                <w:rFonts w:ascii="Arial" w:hAnsi="Arial" w:cs="Arial"/>
                <w:sz w:val="22"/>
                <w:lang w:eastAsia="en-GB"/>
              </w:rPr>
              <w:t>17.2 ± 0.9</w:t>
            </w:r>
          </w:p>
        </w:tc>
      </w:tr>
    </w:tbl>
    <w:p w14:paraId="7CCCB6D6" w14:textId="77777777" w:rsidR="006A73B5" w:rsidRPr="00C67635" w:rsidRDefault="006A73B5">
      <w:pPr>
        <w:rPr>
          <w:rFonts w:ascii="Arial" w:hAnsi="Arial" w:cs="Arial"/>
          <w:sz w:val="22"/>
        </w:rPr>
      </w:pPr>
    </w:p>
    <w:sectPr w:rsidR="006A73B5" w:rsidRPr="00C67635" w:rsidSect="00094F59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635"/>
    <w:rsid w:val="006A73B5"/>
    <w:rsid w:val="00C6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6FB07"/>
  <w15:chartTrackingRefBased/>
  <w15:docId w15:val="{068AF073-DDC8-4231-B2CE-60981C104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635"/>
    <w:pPr>
      <w:spacing w:after="0" w:line="48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7635"/>
    <w:pPr>
      <w:keepNext/>
      <w:keepLines/>
      <w:spacing w:before="240"/>
      <w:outlineLvl w:val="0"/>
    </w:pPr>
    <w:rPr>
      <w:rFonts w:eastAsiaTheme="majorEastAsia" w:cstheme="majorBidi"/>
      <w:b/>
      <w:sz w:val="2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7635"/>
    <w:pPr>
      <w:keepNext/>
      <w:keepLines/>
      <w:spacing w:before="40"/>
      <w:outlineLvl w:val="1"/>
    </w:pPr>
    <w:rPr>
      <w:rFonts w:eastAsiaTheme="majorEastAsia" w:cstheme="majorBidi"/>
      <w:b/>
      <w:sz w:val="22"/>
      <w:szCs w:val="26"/>
    </w:rPr>
  </w:style>
  <w:style w:type="paragraph" w:styleId="Heading4">
    <w:name w:val="heading 4"/>
    <w:aliases w:val="Figures/Tables,Figure Legends"/>
    <w:basedOn w:val="Normal"/>
    <w:next w:val="Normal"/>
    <w:link w:val="Heading4Char"/>
    <w:autoRedefine/>
    <w:uiPriority w:val="9"/>
    <w:unhideWhenUsed/>
    <w:qFormat/>
    <w:rsid w:val="00C67635"/>
    <w:pPr>
      <w:outlineLvl w:val="3"/>
    </w:pPr>
    <w:rPr>
      <w:rFonts w:eastAsiaTheme="majorEastAsia" w:cs="Times New Roman"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7635"/>
    <w:rPr>
      <w:rFonts w:ascii="Times New Roman" w:eastAsiaTheme="majorEastAsia" w:hAnsi="Times New Roman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67635"/>
    <w:rPr>
      <w:rFonts w:ascii="Times New Roman" w:eastAsiaTheme="majorEastAsia" w:hAnsi="Times New Roman" w:cstheme="majorBidi"/>
      <w:b/>
      <w:szCs w:val="26"/>
    </w:rPr>
  </w:style>
  <w:style w:type="character" w:customStyle="1" w:styleId="Heading4Char">
    <w:name w:val="Heading 4 Char"/>
    <w:aliases w:val="Figures/Tables Char,Figure Legends Char"/>
    <w:basedOn w:val="DefaultParagraphFont"/>
    <w:link w:val="Heading4"/>
    <w:uiPriority w:val="9"/>
    <w:rsid w:val="00C67635"/>
    <w:rPr>
      <w:rFonts w:ascii="Times New Roman" w:eastAsiaTheme="majorEastAsia" w:hAnsi="Times New Roman" w:cs="Times New Roman"/>
      <w:bCs/>
      <w:iCs/>
      <w:sz w:val="24"/>
    </w:rPr>
  </w:style>
  <w:style w:type="character" w:styleId="LineNumber">
    <w:name w:val="line number"/>
    <w:basedOn w:val="DefaultParagraphFont"/>
    <w:uiPriority w:val="99"/>
    <w:semiHidden/>
    <w:unhideWhenUsed/>
    <w:rsid w:val="00C676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1307</Characters>
  <Application>Microsoft Office Word</Application>
  <DocSecurity>0</DocSecurity>
  <Lines>25</Lines>
  <Paragraphs>10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Girkin</dc:creator>
  <cp:keywords/>
  <dc:description/>
  <cp:lastModifiedBy>Nick Girkin</cp:lastModifiedBy>
  <cp:revision>1</cp:revision>
  <dcterms:created xsi:type="dcterms:W3CDTF">2023-03-29T14:20:00Z</dcterms:created>
  <dcterms:modified xsi:type="dcterms:W3CDTF">2023-03-29T14:21:00Z</dcterms:modified>
</cp:coreProperties>
</file>