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E8516" w14:textId="77777777" w:rsidR="00FA1D9C" w:rsidRPr="00D95AC0" w:rsidRDefault="00FA1D9C" w:rsidP="0092319D">
      <w:pPr>
        <w:pStyle w:val="Title"/>
        <w:jc w:val="center"/>
        <w:rPr>
          <w:rFonts w:ascii="Times New Roman" w:hAnsi="Times New Roman" w:cs="Times New Roman"/>
          <w:b/>
          <w:bCs/>
          <w:sz w:val="32"/>
          <w:szCs w:val="32"/>
          <w:lang w:val="en-GB"/>
        </w:rPr>
      </w:pPr>
      <w:bookmarkStart w:id="0" w:name="_Hlk87004752"/>
      <w:r>
        <w:rPr>
          <w:rFonts w:ascii="Times New Roman" w:hAnsi="Times New Roman" w:cs="Times New Roman"/>
          <w:b/>
          <w:bCs/>
          <w:sz w:val="32"/>
          <w:szCs w:val="32"/>
          <w:lang w:val="en-GB"/>
        </w:rPr>
        <w:t>Whole genome sequencing in</w:t>
      </w:r>
      <w:r w:rsidRPr="00D95AC0">
        <w:rPr>
          <w:rFonts w:ascii="Times New Roman" w:hAnsi="Times New Roman" w:cs="Times New Roman"/>
          <w:b/>
          <w:bCs/>
          <w:sz w:val="32"/>
          <w:szCs w:val="32"/>
          <w:lang w:val="en-GB"/>
        </w:rPr>
        <w:t xml:space="preserve"> early onset advanced heart failure </w:t>
      </w:r>
    </w:p>
    <w:bookmarkEnd w:id="0"/>
    <w:p w14:paraId="0AB49136" w14:textId="77777777" w:rsidR="00FA1D9C" w:rsidRPr="00D95AC0" w:rsidRDefault="00FA1D9C" w:rsidP="0092319D">
      <w:pPr>
        <w:rPr>
          <w:rFonts w:ascii="Times New Roman" w:hAnsi="Times New Roman" w:cs="Times New Roman"/>
          <w:lang w:val="en-GB"/>
        </w:rPr>
      </w:pPr>
    </w:p>
    <w:p w14:paraId="4C336D87" w14:textId="77777777" w:rsidR="00FA1D9C" w:rsidRPr="00D95AC0" w:rsidRDefault="00FA1D9C" w:rsidP="0092319D">
      <w:pPr>
        <w:jc w:val="center"/>
        <w:rPr>
          <w:rFonts w:ascii="Times New Roman" w:hAnsi="Times New Roman" w:cs="Times New Roman"/>
          <w:szCs w:val="24"/>
          <w:lang w:val="en-GB"/>
        </w:rPr>
      </w:pPr>
      <w:r w:rsidRPr="00D95AC0">
        <w:rPr>
          <w:rFonts w:ascii="Times New Roman" w:hAnsi="Times New Roman" w:cs="Times New Roman"/>
          <w:szCs w:val="24"/>
          <w:lang w:val="en-GB"/>
        </w:rPr>
        <w:t xml:space="preserve">Erik Linnér, MD; Tomasz Czuba, MSc; Olof </w:t>
      </w:r>
      <w:proofErr w:type="spellStart"/>
      <w:r w:rsidRPr="00D95AC0">
        <w:rPr>
          <w:rFonts w:ascii="Times New Roman" w:hAnsi="Times New Roman" w:cs="Times New Roman"/>
          <w:szCs w:val="24"/>
          <w:lang w:val="en-GB"/>
        </w:rPr>
        <w:t>Gidlöf</w:t>
      </w:r>
      <w:proofErr w:type="spellEnd"/>
      <w:r w:rsidRPr="00D95AC0">
        <w:rPr>
          <w:rFonts w:ascii="Times New Roman" w:hAnsi="Times New Roman" w:cs="Times New Roman"/>
          <w:szCs w:val="24"/>
          <w:lang w:val="en-GB"/>
        </w:rPr>
        <w:t xml:space="preserve">, PhD; Jakob Lundgren, MD, PhD; Entela Bollano, MD, PhD; Maria Hellberg, MD; Selvi Celik, PhD; Neha </w:t>
      </w:r>
      <w:proofErr w:type="spellStart"/>
      <w:r w:rsidRPr="00D95AC0">
        <w:rPr>
          <w:rFonts w:ascii="Times New Roman" w:hAnsi="Times New Roman" w:cs="Times New Roman"/>
          <w:szCs w:val="24"/>
          <w:lang w:val="en-GB"/>
        </w:rPr>
        <w:t>Pimpalwar</w:t>
      </w:r>
      <w:proofErr w:type="spellEnd"/>
      <w:r w:rsidRPr="00D95AC0">
        <w:rPr>
          <w:rFonts w:ascii="Times New Roman" w:hAnsi="Times New Roman" w:cs="Times New Roman"/>
          <w:szCs w:val="24"/>
          <w:lang w:val="en-GB"/>
        </w:rPr>
        <w:t xml:space="preserve">, PhD; Philipp </w:t>
      </w:r>
      <w:proofErr w:type="spellStart"/>
      <w:r w:rsidRPr="00D95AC0">
        <w:rPr>
          <w:rFonts w:ascii="Times New Roman" w:hAnsi="Times New Roman" w:cs="Times New Roman"/>
          <w:szCs w:val="24"/>
          <w:lang w:val="en-GB"/>
        </w:rPr>
        <w:t>Rentzsch</w:t>
      </w:r>
      <w:proofErr w:type="spellEnd"/>
      <w:r w:rsidRPr="00D95AC0">
        <w:rPr>
          <w:rFonts w:ascii="Times New Roman" w:hAnsi="Times New Roman" w:cs="Times New Roman"/>
          <w:szCs w:val="24"/>
          <w:lang w:val="en-GB"/>
        </w:rPr>
        <w:t>, PhD; Molly Martorella, PhD;</w:t>
      </w:r>
      <w:r w:rsidRPr="00D95AC0">
        <w:rPr>
          <w:rFonts w:ascii="Times New Roman" w:eastAsiaTheme="majorEastAsia" w:hAnsi="Times New Roman" w:cs="Times New Roman"/>
          <w:szCs w:val="24"/>
          <w:lang w:val="en-GB"/>
        </w:rPr>
        <w:t xml:space="preserve"> Anders Gummesson, MD, PhD; Olle Melander, MD, PhD; Sebastian Albinsson, PhD; Göran Dellgren, MD, PhD; Jan Borén, MD, PhD</w:t>
      </w:r>
      <w:r w:rsidRPr="00D95AC0">
        <w:rPr>
          <w:rFonts w:ascii="Times New Roman" w:hAnsi="Times New Roman" w:cs="Times New Roman"/>
          <w:szCs w:val="24"/>
          <w:lang w:val="en-GB"/>
        </w:rPr>
        <w:t>;</w:t>
      </w:r>
      <w:r w:rsidRPr="00D95AC0">
        <w:rPr>
          <w:rFonts w:ascii="Times New Roman" w:eastAsiaTheme="majorEastAsia" w:hAnsi="Times New Roman" w:cs="Times New Roman"/>
          <w:szCs w:val="24"/>
          <w:lang w:val="en-GB"/>
        </w:rPr>
        <w:t xml:space="preserve"> Anders Jeppsson, MD, PhD</w:t>
      </w:r>
      <w:r w:rsidRPr="00D95AC0">
        <w:rPr>
          <w:rFonts w:ascii="Times New Roman" w:hAnsi="Times New Roman" w:cs="Times New Roman"/>
          <w:szCs w:val="24"/>
          <w:lang w:val="en-GB"/>
        </w:rPr>
        <w:t>; R. Thomas Lumbers, MD, PhD; Sonia Shah, PhD;</w:t>
      </w:r>
      <w:r w:rsidRPr="00D95AC0">
        <w:rPr>
          <w:rFonts w:ascii="Times New Roman" w:eastAsiaTheme="majorEastAsia" w:hAnsi="Times New Roman" w:cs="Times New Roman"/>
          <w:color w:val="FF0000"/>
          <w:szCs w:val="24"/>
          <w:lang w:val="en-GB"/>
        </w:rPr>
        <w:t xml:space="preserve"> </w:t>
      </w:r>
      <w:r w:rsidRPr="00D95AC0">
        <w:rPr>
          <w:rFonts w:ascii="Times New Roman" w:hAnsi="Times New Roman" w:cs="Times New Roman"/>
          <w:szCs w:val="24"/>
          <w:lang w:val="en-GB"/>
        </w:rPr>
        <w:t>Johan Nilsson, MD, PhD</w:t>
      </w:r>
      <w:r w:rsidRPr="00D95AC0">
        <w:rPr>
          <w:rFonts w:ascii="Times New Roman" w:eastAsiaTheme="majorEastAsia" w:hAnsi="Times New Roman" w:cs="Times New Roman"/>
          <w:szCs w:val="24"/>
          <w:lang w:val="en-GB"/>
        </w:rPr>
        <w:t>;</w:t>
      </w:r>
      <w:r w:rsidRPr="00D95AC0">
        <w:rPr>
          <w:rFonts w:ascii="Times New Roman" w:hAnsi="Times New Roman" w:cs="Times New Roman"/>
          <w:szCs w:val="24"/>
          <w:lang w:val="en-GB"/>
        </w:rPr>
        <w:t xml:space="preserve"> Pradeep Natarajan, MD; Tuuli Lappalainen, PhD; Malin Levin, PhD; Hans </w:t>
      </w:r>
      <w:proofErr w:type="spellStart"/>
      <w:r w:rsidRPr="00D95AC0">
        <w:rPr>
          <w:rFonts w:ascii="Times New Roman" w:hAnsi="Times New Roman" w:cs="Times New Roman"/>
          <w:szCs w:val="24"/>
          <w:lang w:val="en-GB"/>
        </w:rPr>
        <w:t>Ehrencrona</w:t>
      </w:r>
      <w:proofErr w:type="spellEnd"/>
      <w:r w:rsidRPr="00D95AC0">
        <w:rPr>
          <w:rFonts w:ascii="Times New Roman" w:hAnsi="Times New Roman" w:cs="Times New Roman"/>
          <w:szCs w:val="24"/>
          <w:lang w:val="en-GB"/>
        </w:rPr>
        <w:t>, MD, PhD; J. Gustav Smith, MD, PhD</w:t>
      </w:r>
    </w:p>
    <w:p w14:paraId="6BFDB4A0" w14:textId="77777777" w:rsidR="00FA1D9C" w:rsidRPr="00D95AC0" w:rsidRDefault="00FA1D9C">
      <w:pPr>
        <w:rPr>
          <w:rFonts w:ascii="Times New Roman" w:hAnsi="Times New Roman" w:cs="Times New Roman"/>
          <w:lang w:val="en-GB"/>
        </w:rPr>
      </w:pPr>
    </w:p>
    <w:p w14:paraId="7F073D21" w14:textId="77777777" w:rsidR="00FA1D9C" w:rsidRPr="00D95AC0" w:rsidRDefault="00FA1D9C">
      <w:pPr>
        <w:rPr>
          <w:rFonts w:ascii="Times New Roman" w:hAnsi="Times New Roman" w:cs="Times New Roman"/>
          <w:lang w:val="en-GB"/>
        </w:rPr>
      </w:pPr>
    </w:p>
    <w:p w14:paraId="53C1277A" w14:textId="77777777" w:rsidR="00FA1D9C" w:rsidRPr="00D95AC0" w:rsidRDefault="00FA1D9C">
      <w:pPr>
        <w:rPr>
          <w:rFonts w:ascii="Times New Roman" w:hAnsi="Times New Roman" w:cs="Times New Roman"/>
          <w:lang w:val="en-GB"/>
        </w:rPr>
      </w:pPr>
    </w:p>
    <w:p w14:paraId="34146357" w14:textId="77777777" w:rsidR="00FA1D9C" w:rsidRPr="00D95AC0" w:rsidRDefault="00FA1D9C" w:rsidP="0092319D">
      <w:pPr>
        <w:pStyle w:val="Heading1"/>
        <w:jc w:val="center"/>
        <w:rPr>
          <w:rFonts w:ascii="Times New Roman" w:hAnsi="Times New Roman" w:cs="Times New Roman"/>
          <w:b/>
          <w:bCs/>
          <w:lang w:val="en-GB"/>
        </w:rPr>
      </w:pPr>
      <w:r w:rsidRPr="00D95AC0">
        <w:rPr>
          <w:rFonts w:ascii="Times New Roman" w:hAnsi="Times New Roman" w:cs="Times New Roman"/>
          <w:b/>
          <w:bCs/>
          <w:lang w:val="en-GB"/>
        </w:rPr>
        <w:t xml:space="preserve">Supplementary </w:t>
      </w:r>
      <w:r>
        <w:rPr>
          <w:rFonts w:ascii="Times New Roman" w:hAnsi="Times New Roman" w:cs="Times New Roman"/>
          <w:b/>
          <w:bCs/>
          <w:lang w:val="en-GB"/>
        </w:rPr>
        <w:t>Information</w:t>
      </w:r>
    </w:p>
    <w:p w14:paraId="0D33C94A" w14:textId="77777777" w:rsidR="00FA1D9C" w:rsidRPr="00D95AC0" w:rsidRDefault="00FA1D9C" w:rsidP="0092319D">
      <w:pPr>
        <w:spacing w:line="480" w:lineRule="auto"/>
        <w:rPr>
          <w:rFonts w:ascii="Times New Roman" w:hAnsi="Times New Roman" w:cs="Times New Roman"/>
          <w:lang w:val="en-GB"/>
        </w:rPr>
      </w:pPr>
    </w:p>
    <w:p w14:paraId="16BDD6B4"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Supplementary Methods</w:t>
      </w:r>
    </w:p>
    <w:p w14:paraId="0BE2816C"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Supplementary Results</w:t>
      </w:r>
    </w:p>
    <w:p w14:paraId="0B8BD166"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Supplementary Tables</w:t>
      </w:r>
    </w:p>
    <w:p w14:paraId="0DECDC46"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Supplementary Figures</w:t>
      </w:r>
    </w:p>
    <w:p w14:paraId="52CB0EF8" w14:textId="77777777" w:rsidR="00FA1D9C" w:rsidRPr="00D95AC0" w:rsidRDefault="00FA1D9C" w:rsidP="0092319D">
      <w:pPr>
        <w:spacing w:line="480" w:lineRule="auto"/>
        <w:rPr>
          <w:rFonts w:ascii="Times New Roman" w:hAnsi="Times New Roman" w:cs="Times New Roman"/>
          <w:lang w:val="en-GB"/>
        </w:rPr>
      </w:pPr>
    </w:p>
    <w:p w14:paraId="530A1A02" w14:textId="77777777" w:rsidR="00FA1D9C" w:rsidRPr="00D95AC0" w:rsidRDefault="00FA1D9C" w:rsidP="0092319D">
      <w:pPr>
        <w:rPr>
          <w:rFonts w:ascii="Times New Roman" w:hAnsi="Times New Roman" w:cs="Times New Roman"/>
          <w:lang w:val="en-GB"/>
        </w:rPr>
      </w:pPr>
    </w:p>
    <w:p w14:paraId="4594975E" w14:textId="77777777" w:rsidR="00FA1D9C" w:rsidRPr="00D95AC0" w:rsidRDefault="00FA1D9C" w:rsidP="0092319D">
      <w:pPr>
        <w:pStyle w:val="Heading1"/>
        <w:spacing w:line="480" w:lineRule="auto"/>
        <w:rPr>
          <w:rFonts w:ascii="Times New Roman" w:hAnsi="Times New Roman" w:cs="Times New Roman"/>
          <w:b/>
          <w:bCs/>
          <w:lang w:val="en-GB"/>
        </w:rPr>
        <w:sectPr w:rsidR="00FA1D9C" w:rsidRPr="00D95AC0" w:rsidSect="00AF7ECF">
          <w:pgSz w:w="11906" w:h="16838"/>
          <w:pgMar w:top="1440" w:right="1440" w:bottom="1440" w:left="1440" w:header="720" w:footer="720" w:gutter="0"/>
          <w:cols w:space="720"/>
          <w:docGrid w:linePitch="360"/>
        </w:sectPr>
      </w:pPr>
    </w:p>
    <w:p w14:paraId="707FC66A" w14:textId="77777777" w:rsidR="00FA1D9C" w:rsidRPr="00D95AC0" w:rsidRDefault="00FA1D9C" w:rsidP="0092319D">
      <w:pPr>
        <w:pStyle w:val="Heading1"/>
        <w:spacing w:line="480" w:lineRule="auto"/>
        <w:rPr>
          <w:rFonts w:ascii="Times New Roman" w:hAnsi="Times New Roman" w:cs="Times New Roman"/>
          <w:b/>
          <w:bCs/>
          <w:lang w:val="en-GB"/>
        </w:rPr>
      </w:pPr>
      <w:r w:rsidRPr="00D95AC0">
        <w:rPr>
          <w:rFonts w:ascii="Times New Roman" w:hAnsi="Times New Roman" w:cs="Times New Roman"/>
          <w:b/>
          <w:bCs/>
          <w:lang w:val="en-GB"/>
        </w:rPr>
        <w:lastRenderedPageBreak/>
        <w:t>Supplementary Methods</w:t>
      </w:r>
    </w:p>
    <w:p w14:paraId="70EBC578" w14:textId="77777777" w:rsidR="00FA1D9C" w:rsidRPr="00D95AC0" w:rsidRDefault="00FA1D9C" w:rsidP="0092319D">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t>Recruitment, genotyping and genotype quality control for the Malmö Diet and Cancer study</w:t>
      </w:r>
    </w:p>
    <w:p w14:paraId="20037B44" w14:textId="77777777" w:rsidR="00FA1D9C" w:rsidRPr="00D95AC0" w:rsidRDefault="00FA1D9C" w:rsidP="0092319D">
      <w:pPr>
        <w:spacing w:line="480" w:lineRule="auto"/>
        <w:rPr>
          <w:rFonts w:ascii="Times New Roman" w:hAnsi="Times New Roman" w:cs="Times New Roman"/>
          <w:szCs w:val="24"/>
          <w:lang w:val="en-GB"/>
        </w:rPr>
      </w:pPr>
      <w:r w:rsidRPr="00D95AC0">
        <w:rPr>
          <w:rFonts w:ascii="Times New Roman" w:hAnsi="Times New Roman" w:cs="Times New Roman"/>
          <w:lang w:val="en-GB"/>
        </w:rPr>
        <w:t>The Malmö Diet and Cancer (MDC) study</w:t>
      </w:r>
      <w:r w:rsidRPr="00D95AC0">
        <w:rPr>
          <w:rFonts w:ascii="Times New Roman" w:hAnsi="Times New Roman" w:cs="Times New Roman"/>
          <w:noProof/>
          <w:vertAlign w:val="superscript"/>
          <w:lang w:val="en-GB"/>
        </w:rPr>
        <w:t>1</w:t>
      </w:r>
      <w:r w:rsidRPr="00D95AC0">
        <w:rPr>
          <w:rFonts w:ascii="Times New Roman" w:hAnsi="Times New Roman" w:cs="Times New Roman"/>
          <w:lang w:val="en-GB"/>
        </w:rPr>
        <w:t xml:space="preserve"> is a prospective population-based cohort recruited between 1991 and 1996 in Malmö, Sweden. Malmö is the third largest city in Sweden, and a neighbouring city to Lund, where most of the heart transplantations in this study were performed. At the time of recruitment, Malmö had a population of approximately 230,000 individuals. Letters of invitation were sent to all female citizens of Malmö born between 1923 and 1950, and all male citizens born between 1923 and 1945. A total of 30,447 individuals responded and underwent baseline examination, corresponding to a participation rate of approximately 40%. Anthropometric data, blood pressure, and a detailed questionnaire on medical history, as well as blood samples were collected. DNA was isolated from whole blood using a spin column-based method from Qiagen. </w:t>
      </w:r>
      <w:r w:rsidRPr="00D95AC0">
        <w:rPr>
          <w:rFonts w:ascii="Times New Roman" w:hAnsi="Times New Roman" w:cs="Times New Roman"/>
          <w:szCs w:val="24"/>
          <w:lang w:val="en-GB"/>
        </w:rPr>
        <w:t xml:space="preserve">Genome-wide genotyping of single nucleotide variants and exome sequencing was performed in the full cohort by Regeneron Genetics Centre. </w:t>
      </w:r>
    </w:p>
    <w:p w14:paraId="409C9E1E"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szCs w:val="24"/>
          <w:lang w:val="en-GB"/>
        </w:rPr>
        <w:t>Genotyping was performed using the Illumina Infinium Global Screening Array v1 (Illumina Inc., San Diego, CA, USA) according to the manufacturer’s standard protocols. Imputation was performed in three similarly sized batches to the Haplotype Reference Consortium reference panel for European populations (v1.1 from 2016) based on the Michigan imputation server (https://imputationserver.sph.umich.edu/index.html) with phasing based on the eagle software v2.3, resulting in a total number of 39,127,700 markers. Before imputation, autosomal SNPs with minor allele frequency &gt;1%, with less than 1% missingness, with a Handy-Weinberg equilibrium p-value less than 1x10</w:t>
      </w:r>
      <w:r w:rsidRPr="00D95AC0">
        <w:rPr>
          <w:rFonts w:ascii="Times New Roman" w:hAnsi="Times New Roman" w:cs="Times New Roman"/>
          <w:szCs w:val="24"/>
          <w:vertAlign w:val="superscript"/>
          <w:lang w:val="en-GB"/>
        </w:rPr>
        <w:t>-15</w:t>
      </w:r>
      <w:r w:rsidRPr="00D95AC0">
        <w:rPr>
          <w:rFonts w:ascii="Times New Roman" w:hAnsi="Times New Roman" w:cs="Times New Roman"/>
          <w:szCs w:val="24"/>
          <w:lang w:val="en-GB"/>
        </w:rPr>
        <w:t xml:space="preserve"> passed the quality control. Individuals </w:t>
      </w:r>
      <w:r w:rsidRPr="00D95AC0">
        <w:rPr>
          <w:rFonts w:ascii="Times New Roman" w:hAnsi="Times New Roman" w:cs="Times New Roman"/>
          <w:szCs w:val="24"/>
          <w:lang w:val="en-GB"/>
        </w:rPr>
        <w:lastRenderedPageBreak/>
        <w:t>with more than 10% of missing genotype data were excluded, as were duplicated or sex discordant samples.</w:t>
      </w:r>
      <w:r w:rsidRPr="00D95AC0">
        <w:rPr>
          <w:rFonts w:ascii="Times New Roman" w:hAnsi="Times New Roman" w:cs="Times New Roman"/>
          <w:lang w:val="en-GB"/>
        </w:rPr>
        <w:t xml:space="preserve"> </w:t>
      </w:r>
    </w:p>
    <w:p w14:paraId="536ACA80"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 xml:space="preserve">Exome capture was performed using an automated, high-throughput pipeline at Regeneron Genetics </w:t>
      </w:r>
      <w:proofErr w:type="spellStart"/>
      <w:r w:rsidRPr="00D95AC0">
        <w:rPr>
          <w:rFonts w:ascii="Times New Roman" w:hAnsi="Times New Roman" w:cs="Times New Roman"/>
          <w:lang w:val="en-GB"/>
        </w:rPr>
        <w:t>Center</w:t>
      </w:r>
      <w:proofErr w:type="spellEnd"/>
      <w:r w:rsidRPr="00D95AC0">
        <w:rPr>
          <w:rFonts w:ascii="Times New Roman" w:hAnsi="Times New Roman" w:cs="Times New Roman"/>
          <w:lang w:val="en-GB"/>
        </w:rPr>
        <w:t xml:space="preserve">. Genomic DNA was enzymatically sheared into 200 base pair fragments and libraries created using a custom </w:t>
      </w:r>
      <w:proofErr w:type="spellStart"/>
      <w:r w:rsidRPr="00D95AC0">
        <w:rPr>
          <w:rFonts w:ascii="Times New Roman" w:hAnsi="Times New Roman" w:cs="Times New Roman"/>
          <w:lang w:val="en-GB"/>
        </w:rPr>
        <w:t>NEBNext</w:t>
      </w:r>
      <w:proofErr w:type="spellEnd"/>
      <w:r w:rsidRPr="00D95AC0">
        <w:rPr>
          <w:rFonts w:ascii="Times New Roman" w:hAnsi="Times New Roman" w:cs="Times New Roman"/>
          <w:lang w:val="en-GB"/>
        </w:rPr>
        <w:t xml:space="preserve"> Ultra II FS DNA library prep kit (New England Biolabs). Samples were pooled with </w:t>
      </w:r>
      <w:proofErr w:type="spellStart"/>
      <w:r w:rsidRPr="00D95AC0">
        <w:rPr>
          <w:rFonts w:ascii="Times New Roman" w:hAnsi="Times New Roman" w:cs="Times New Roman"/>
          <w:lang w:val="en-GB"/>
        </w:rPr>
        <w:t>xGen</w:t>
      </w:r>
      <w:proofErr w:type="spellEnd"/>
      <w:r w:rsidRPr="00D95AC0">
        <w:rPr>
          <w:rFonts w:ascii="Times New Roman" w:hAnsi="Times New Roman" w:cs="Times New Roman"/>
          <w:lang w:val="en-GB"/>
        </w:rPr>
        <w:t xml:space="preserve"> probes from Integrated DNA Technologies (IDT, Coralville, IA, USA). Captured fragments were bound to streptavidin-coupled </w:t>
      </w:r>
      <w:proofErr w:type="spellStart"/>
      <w:r w:rsidRPr="00D95AC0">
        <w:rPr>
          <w:rFonts w:ascii="Times New Roman" w:hAnsi="Times New Roman" w:cs="Times New Roman"/>
          <w:lang w:val="en-GB"/>
        </w:rPr>
        <w:t>Dynabeads</w:t>
      </w:r>
      <w:proofErr w:type="spellEnd"/>
      <w:r w:rsidRPr="00D95AC0">
        <w:rPr>
          <w:rFonts w:ascii="Times New Roman" w:hAnsi="Times New Roman" w:cs="Times New Roman"/>
          <w:lang w:val="en-GB"/>
        </w:rPr>
        <w:t xml:space="preserve"> (</w:t>
      </w:r>
      <w:proofErr w:type="spellStart"/>
      <w:r w:rsidRPr="00D95AC0">
        <w:rPr>
          <w:rFonts w:ascii="Times New Roman" w:hAnsi="Times New Roman" w:cs="Times New Roman"/>
          <w:lang w:val="en-GB"/>
        </w:rPr>
        <w:t>Thermo</w:t>
      </w:r>
      <w:proofErr w:type="spellEnd"/>
      <w:r w:rsidRPr="00D95AC0">
        <w:rPr>
          <w:rFonts w:ascii="Times New Roman" w:hAnsi="Times New Roman" w:cs="Times New Roman"/>
          <w:lang w:val="en-GB"/>
        </w:rPr>
        <w:t xml:space="preserve"> Fisher Scientific) and non-specific fragments removed through a series of washes according to instructions from the manufacturer (IDT). The captured DNA was amplified and quantified by quantitative polymerase chain reaction with KAPA HiFi polymerase (KAPA biosystems). The multiplexed samples were pooled and sequenced using 75 base </w:t>
      </w:r>
      <w:proofErr w:type="gramStart"/>
      <w:r w:rsidRPr="00D95AC0">
        <w:rPr>
          <w:rFonts w:ascii="Times New Roman" w:hAnsi="Times New Roman" w:cs="Times New Roman"/>
          <w:lang w:val="en-GB"/>
        </w:rPr>
        <w:t>paired-end</w:t>
      </w:r>
      <w:proofErr w:type="gramEnd"/>
      <w:r w:rsidRPr="00D95AC0">
        <w:rPr>
          <w:rFonts w:ascii="Times New Roman" w:hAnsi="Times New Roman" w:cs="Times New Roman"/>
          <w:lang w:val="en-GB"/>
        </w:rPr>
        <w:t xml:space="preserve"> reads on a </w:t>
      </w:r>
      <w:proofErr w:type="spellStart"/>
      <w:r w:rsidRPr="00D95AC0">
        <w:rPr>
          <w:rFonts w:ascii="Times New Roman" w:hAnsi="Times New Roman" w:cs="Times New Roman"/>
          <w:lang w:val="en-GB"/>
        </w:rPr>
        <w:t>Novaseq</w:t>
      </w:r>
      <w:proofErr w:type="spellEnd"/>
      <w:r w:rsidRPr="00D95AC0">
        <w:rPr>
          <w:rFonts w:ascii="Times New Roman" w:hAnsi="Times New Roman" w:cs="Times New Roman"/>
          <w:lang w:val="en-GB"/>
        </w:rPr>
        <w:t xml:space="preserve"> 6000 sequencer using S2 flow cells (Illumina Inc). A total of 38,997,831 bases were included in the targeted regions. More than 20x coverage was achieved over more than 90% of targeted bases in 99% of the samples. </w:t>
      </w:r>
    </w:p>
    <w:p w14:paraId="42E77607"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The binary base call (</w:t>
      </w:r>
      <w:proofErr w:type="spellStart"/>
      <w:r w:rsidRPr="00D95AC0">
        <w:rPr>
          <w:rFonts w:ascii="Times New Roman" w:hAnsi="Times New Roman" w:cs="Times New Roman"/>
          <w:lang w:val="en-GB"/>
        </w:rPr>
        <w:t>bcl</w:t>
      </w:r>
      <w:proofErr w:type="spellEnd"/>
      <w:r w:rsidRPr="00D95AC0">
        <w:rPr>
          <w:rFonts w:ascii="Times New Roman" w:hAnsi="Times New Roman" w:cs="Times New Roman"/>
          <w:lang w:val="en-GB"/>
        </w:rPr>
        <w:t xml:space="preserve">) files generated by the sequencers were transformed into </w:t>
      </w:r>
      <w:proofErr w:type="spellStart"/>
      <w:r w:rsidRPr="00D95AC0">
        <w:rPr>
          <w:rFonts w:ascii="Times New Roman" w:hAnsi="Times New Roman" w:cs="Times New Roman"/>
          <w:lang w:val="en-GB"/>
        </w:rPr>
        <w:t>fastq</w:t>
      </w:r>
      <w:proofErr w:type="spellEnd"/>
      <w:r w:rsidRPr="00D95AC0">
        <w:rPr>
          <w:rFonts w:ascii="Times New Roman" w:hAnsi="Times New Roman" w:cs="Times New Roman"/>
          <w:lang w:val="en-GB"/>
        </w:rPr>
        <w:t xml:space="preserve"> files by the bcl2fastq conversion software from Illumina. Reads were aligned to the human reference genome GRCh38 using the Burrows-Wheeler Aligner. Single nucleotide variants and insertion/deletions were called using the </w:t>
      </w:r>
      <w:proofErr w:type="spellStart"/>
      <w:r w:rsidRPr="00D95AC0">
        <w:rPr>
          <w:rFonts w:ascii="Times New Roman" w:hAnsi="Times New Roman" w:cs="Times New Roman"/>
          <w:lang w:val="en-GB"/>
        </w:rPr>
        <w:t>WeCall</w:t>
      </w:r>
      <w:proofErr w:type="spellEnd"/>
      <w:r w:rsidRPr="00D95AC0">
        <w:rPr>
          <w:rFonts w:ascii="Times New Roman" w:hAnsi="Times New Roman" w:cs="Times New Roman"/>
          <w:lang w:val="en-GB"/>
        </w:rPr>
        <w:t xml:space="preserve"> variant caller. Samples were excluded if disagreement between genetically determined and self-reported sex, homozygosity rates with D-stat &gt;0.4, coverage of less than 20x achieved for less than 85% of targeted bases, </w:t>
      </w:r>
      <w:proofErr w:type="gramStart"/>
      <w:r w:rsidRPr="00D95AC0">
        <w:rPr>
          <w:rFonts w:ascii="Times New Roman" w:hAnsi="Times New Roman" w:cs="Times New Roman"/>
          <w:lang w:val="en-GB"/>
        </w:rPr>
        <w:t>genetically-inferred</w:t>
      </w:r>
      <w:proofErr w:type="gramEnd"/>
      <w:r w:rsidRPr="00D95AC0">
        <w:rPr>
          <w:rFonts w:ascii="Times New Roman" w:hAnsi="Times New Roman" w:cs="Times New Roman"/>
          <w:lang w:val="en-GB"/>
        </w:rPr>
        <w:t xml:space="preserve"> duplicate samples, or if sequencing variants were discordant with array calls.</w:t>
      </w:r>
    </w:p>
    <w:p w14:paraId="44A7C91A"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 xml:space="preserve">The study was approved by the Regional Ethics Committee and all individuals provided written consent in accordance with the declaration of Helsinki. </w:t>
      </w:r>
    </w:p>
    <w:p w14:paraId="73DACD1F" w14:textId="77777777" w:rsidR="00FA1D9C" w:rsidRPr="00D95AC0" w:rsidRDefault="00FA1D9C" w:rsidP="00DC0B6E">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lastRenderedPageBreak/>
        <w:t>DNA extraction, purification, whole genome sequencing, and data processing of the SwedeHeartSeq cohort</w:t>
      </w:r>
    </w:p>
    <w:p w14:paraId="2BFC26EF" w14:textId="77777777" w:rsidR="00FA1D9C" w:rsidRPr="00D95AC0" w:rsidRDefault="00FA1D9C" w:rsidP="00DC0B6E">
      <w:pPr>
        <w:spacing w:line="480" w:lineRule="auto"/>
        <w:rPr>
          <w:rFonts w:ascii="Times New Roman" w:hAnsi="Times New Roman" w:cs="Times New Roman"/>
          <w:lang w:val="en-GB"/>
        </w:rPr>
      </w:pPr>
      <w:r w:rsidRPr="00D95AC0">
        <w:rPr>
          <w:rFonts w:ascii="Times New Roman" w:hAnsi="Times New Roman" w:cs="Times New Roman"/>
          <w:lang w:val="en-GB"/>
        </w:rPr>
        <w:t xml:space="preserve">Myocardial samples were sectioned and either snap-frozen (Gothenburg) or placed in </w:t>
      </w:r>
      <w:proofErr w:type="spellStart"/>
      <w:r w:rsidRPr="00D95AC0">
        <w:rPr>
          <w:rFonts w:ascii="Times New Roman" w:hAnsi="Times New Roman" w:cs="Times New Roman"/>
          <w:lang w:val="en-GB"/>
        </w:rPr>
        <w:t>RNAlater</w:t>
      </w:r>
      <w:proofErr w:type="spellEnd"/>
      <w:r w:rsidRPr="00D95AC0">
        <w:rPr>
          <w:rFonts w:ascii="Times New Roman" w:hAnsi="Times New Roman" w:cs="Times New Roman"/>
          <w:lang w:val="en-GB"/>
        </w:rPr>
        <w:t xml:space="preserve"> (</w:t>
      </w:r>
      <w:proofErr w:type="spellStart"/>
      <w:r w:rsidRPr="00D95AC0">
        <w:rPr>
          <w:rFonts w:ascii="Times New Roman" w:hAnsi="Times New Roman" w:cs="Times New Roman"/>
          <w:lang w:val="en-GB"/>
        </w:rPr>
        <w:t>Thermo</w:t>
      </w:r>
      <w:proofErr w:type="spellEnd"/>
      <w:r w:rsidRPr="00D95AC0">
        <w:rPr>
          <w:rFonts w:ascii="Times New Roman" w:hAnsi="Times New Roman" w:cs="Times New Roman"/>
          <w:lang w:val="en-GB"/>
        </w:rPr>
        <w:t xml:space="preserve"> Fisher Scientific, Waltham, MA, USA) and subsequently frozen (Lund) to -80°C, and remained frozen until thawing for DNA isolation. Genomic DNA was extracted and purified from explanted heart biopsies using a silica-based membrane method on spin columns in accordance with the manufacturers protocol (</w:t>
      </w:r>
      <w:proofErr w:type="spellStart"/>
      <w:r w:rsidRPr="00D95AC0">
        <w:rPr>
          <w:rFonts w:ascii="Times New Roman" w:hAnsi="Times New Roman" w:cs="Times New Roman"/>
          <w:lang w:val="en-GB"/>
        </w:rPr>
        <w:t>DNeasy</w:t>
      </w:r>
      <w:proofErr w:type="spellEnd"/>
      <w:r w:rsidRPr="00D95AC0">
        <w:rPr>
          <w:rFonts w:ascii="Times New Roman" w:hAnsi="Times New Roman" w:cs="Times New Roman"/>
          <w:lang w:val="en-GB"/>
        </w:rPr>
        <w:t xml:space="preserve"> Blood &amp; Tissue kit, Qiagen, Venlo, the Netherlands). DNA quality was confirmed and quantified using a fluorometric method (Qubit, </w:t>
      </w:r>
      <w:proofErr w:type="spellStart"/>
      <w:r w:rsidRPr="00D95AC0">
        <w:rPr>
          <w:rFonts w:ascii="Times New Roman" w:hAnsi="Times New Roman" w:cs="Times New Roman"/>
          <w:lang w:val="en-GB"/>
        </w:rPr>
        <w:t>Thermo</w:t>
      </w:r>
      <w:proofErr w:type="spellEnd"/>
      <w:r w:rsidRPr="00D95AC0">
        <w:rPr>
          <w:rFonts w:ascii="Times New Roman" w:hAnsi="Times New Roman" w:cs="Times New Roman"/>
          <w:lang w:val="en-GB"/>
        </w:rPr>
        <w:t xml:space="preserve"> Fisher Scientific Inc., Waltham, MA, USA; OD260/280 of 1.8-2.0 was required for sequencing) and fragment length using an electrophoretic method (</w:t>
      </w:r>
      <w:proofErr w:type="spellStart"/>
      <w:r w:rsidRPr="00D95AC0">
        <w:rPr>
          <w:rFonts w:ascii="Times New Roman" w:hAnsi="Times New Roman" w:cs="Times New Roman"/>
          <w:lang w:val="en-GB"/>
        </w:rPr>
        <w:t>FragmentAnalyzer</w:t>
      </w:r>
      <w:proofErr w:type="spellEnd"/>
      <w:r w:rsidRPr="00D95AC0">
        <w:rPr>
          <w:rFonts w:ascii="Times New Roman" w:hAnsi="Times New Roman" w:cs="Times New Roman"/>
          <w:lang w:val="en-GB"/>
        </w:rPr>
        <w:t xml:space="preserve">, Agilent Technologies Inc., Santa Clara, CA, USA). More than 3.5 ug of DNA were available from all patients. Sequencing was performed at the accredited national core facility </w:t>
      </w:r>
      <w:proofErr w:type="spellStart"/>
      <w:r w:rsidRPr="00D95AC0">
        <w:rPr>
          <w:rFonts w:ascii="Times New Roman" w:hAnsi="Times New Roman" w:cs="Times New Roman"/>
          <w:lang w:val="en-GB"/>
        </w:rPr>
        <w:t>SciLifeLab</w:t>
      </w:r>
      <w:proofErr w:type="spellEnd"/>
      <w:r w:rsidRPr="00D95AC0">
        <w:rPr>
          <w:rFonts w:ascii="Times New Roman" w:hAnsi="Times New Roman" w:cs="Times New Roman"/>
          <w:lang w:val="en-GB"/>
        </w:rPr>
        <w:t xml:space="preserve"> in Uppsala, Sweden. DNA libraries were constructed without polymerase chain reaction (PCR) amplification steps using the </w:t>
      </w:r>
      <w:proofErr w:type="spellStart"/>
      <w:r w:rsidRPr="00D95AC0">
        <w:rPr>
          <w:rFonts w:ascii="Times New Roman" w:hAnsi="Times New Roman" w:cs="Times New Roman"/>
          <w:lang w:val="en-GB"/>
        </w:rPr>
        <w:t>TruSeq</w:t>
      </w:r>
      <w:proofErr w:type="spellEnd"/>
      <w:r w:rsidRPr="00D95AC0">
        <w:rPr>
          <w:rFonts w:ascii="Times New Roman" w:hAnsi="Times New Roman" w:cs="Times New Roman"/>
          <w:lang w:val="en-GB"/>
        </w:rPr>
        <w:t xml:space="preserve"> PCR-free library prep kit (Illumina Inc.). Sequencing was performed to an average target sequencing depth of 60x using paired-end 150 bp sequencing in S4 flow cells with v1.5 reagent kits on a </w:t>
      </w:r>
      <w:proofErr w:type="spellStart"/>
      <w:r w:rsidRPr="00D95AC0">
        <w:rPr>
          <w:rFonts w:ascii="Times New Roman" w:hAnsi="Times New Roman" w:cs="Times New Roman"/>
          <w:lang w:val="en-GB"/>
        </w:rPr>
        <w:t>NovaSeq</w:t>
      </w:r>
      <w:proofErr w:type="spellEnd"/>
      <w:r w:rsidRPr="00D95AC0">
        <w:rPr>
          <w:rFonts w:ascii="Times New Roman" w:hAnsi="Times New Roman" w:cs="Times New Roman"/>
          <w:lang w:val="en-GB"/>
        </w:rPr>
        <w:t xml:space="preserve"> 6000 (Illumina Inc.) at the accredited national core facility </w:t>
      </w:r>
      <w:proofErr w:type="spellStart"/>
      <w:r w:rsidRPr="00D95AC0">
        <w:rPr>
          <w:rFonts w:ascii="Times New Roman" w:hAnsi="Times New Roman" w:cs="Times New Roman"/>
          <w:lang w:val="en-GB"/>
        </w:rPr>
        <w:t>SciLifeLab</w:t>
      </w:r>
      <w:proofErr w:type="spellEnd"/>
      <w:r w:rsidRPr="00D95AC0">
        <w:rPr>
          <w:rFonts w:ascii="Times New Roman" w:hAnsi="Times New Roman" w:cs="Times New Roman"/>
          <w:lang w:val="en-GB"/>
        </w:rPr>
        <w:t xml:space="preserve"> (National Genomics Infrastructure Uppsala/SNP&amp;SEQ technology platform, </w:t>
      </w:r>
      <w:proofErr w:type="spellStart"/>
      <w:r w:rsidRPr="00D95AC0">
        <w:rPr>
          <w:rFonts w:ascii="Times New Roman" w:hAnsi="Times New Roman" w:cs="Times New Roman"/>
          <w:lang w:val="en-GB"/>
        </w:rPr>
        <w:t>SciLifeLab</w:t>
      </w:r>
      <w:proofErr w:type="spellEnd"/>
      <w:r w:rsidRPr="00D95AC0">
        <w:rPr>
          <w:rFonts w:ascii="Times New Roman" w:hAnsi="Times New Roman" w:cs="Times New Roman"/>
          <w:lang w:val="en-GB"/>
        </w:rPr>
        <w:t>, Uppsala). Median coverage was 71x and coverage exceeded 30x at 90% of sites on average.</w:t>
      </w:r>
    </w:p>
    <w:p w14:paraId="036E5E4B" w14:textId="77777777" w:rsidR="00FA1D9C" w:rsidRPr="00D95AC0" w:rsidRDefault="00FA1D9C" w:rsidP="00DC0B6E">
      <w:pPr>
        <w:spacing w:line="480" w:lineRule="auto"/>
        <w:rPr>
          <w:rFonts w:ascii="Times New Roman" w:hAnsi="Times New Roman" w:cs="Times New Roman"/>
          <w:lang w:val="en-GB"/>
        </w:rPr>
      </w:pPr>
      <w:r w:rsidRPr="00D95AC0">
        <w:rPr>
          <w:rFonts w:ascii="Times New Roman" w:hAnsi="Times New Roman" w:cs="Times New Roman"/>
          <w:lang w:val="en-GB"/>
        </w:rPr>
        <w:t>The binary base call (</w:t>
      </w:r>
      <w:proofErr w:type="spellStart"/>
      <w:r w:rsidRPr="00D95AC0">
        <w:rPr>
          <w:rFonts w:ascii="Times New Roman" w:hAnsi="Times New Roman" w:cs="Times New Roman"/>
          <w:lang w:val="en-GB"/>
        </w:rPr>
        <w:t>bcl</w:t>
      </w:r>
      <w:proofErr w:type="spellEnd"/>
      <w:r w:rsidRPr="00D95AC0">
        <w:rPr>
          <w:rFonts w:ascii="Times New Roman" w:hAnsi="Times New Roman" w:cs="Times New Roman"/>
          <w:lang w:val="en-GB"/>
        </w:rPr>
        <w:t xml:space="preserve">) files generated by the sequencers were transformed into </w:t>
      </w:r>
      <w:proofErr w:type="spellStart"/>
      <w:r w:rsidRPr="00D95AC0">
        <w:rPr>
          <w:rFonts w:ascii="Times New Roman" w:hAnsi="Times New Roman" w:cs="Times New Roman"/>
          <w:lang w:val="en-GB"/>
        </w:rPr>
        <w:t>fastq</w:t>
      </w:r>
      <w:proofErr w:type="spellEnd"/>
      <w:r w:rsidRPr="00D95AC0">
        <w:rPr>
          <w:rFonts w:ascii="Times New Roman" w:hAnsi="Times New Roman" w:cs="Times New Roman"/>
          <w:lang w:val="en-GB"/>
        </w:rPr>
        <w:t xml:space="preserve"> files by the bcl2fastq conversion software from Illumina. </w:t>
      </w:r>
      <w:bookmarkStart w:id="1" w:name="_Hlk102649258"/>
      <w:r w:rsidRPr="00D95AC0">
        <w:rPr>
          <w:rFonts w:ascii="Times New Roman" w:hAnsi="Times New Roman" w:cs="Times New Roman"/>
          <w:lang w:val="en-GB"/>
        </w:rPr>
        <w:t>Preprocessing, alignment, and variant calling was performed using the Sarek pipeline (v.2.7).</w:t>
      </w:r>
      <w:r w:rsidRPr="00D95AC0">
        <w:rPr>
          <w:rFonts w:ascii="Times New Roman" w:hAnsi="Times New Roman" w:cs="Times New Roman"/>
          <w:noProof/>
          <w:vertAlign w:val="superscript"/>
          <w:lang w:val="en-GB"/>
        </w:rPr>
        <w:t>2</w:t>
      </w:r>
      <w:r w:rsidRPr="00D95AC0">
        <w:rPr>
          <w:rFonts w:ascii="Times New Roman" w:hAnsi="Times New Roman" w:cs="Times New Roman"/>
          <w:lang w:val="en-GB"/>
        </w:rPr>
        <w:t xml:space="preserve"> Briefly, reads were aligned to the human reference genome GRCh38 using the Burrows-Wheeler Aligner. Duplicate read removal and quality score recalibration was performed using GATK (v.4.1.7.0).</w:t>
      </w:r>
      <w:r w:rsidRPr="00D95AC0">
        <w:rPr>
          <w:rFonts w:ascii="Times New Roman" w:hAnsi="Times New Roman" w:cs="Times New Roman"/>
          <w:noProof/>
          <w:vertAlign w:val="superscript"/>
          <w:lang w:val="en-GB"/>
        </w:rPr>
        <w:t>3</w:t>
      </w:r>
      <w:r w:rsidRPr="00D95AC0">
        <w:rPr>
          <w:rFonts w:ascii="Times New Roman" w:hAnsi="Times New Roman" w:cs="Times New Roman"/>
          <w:lang w:val="en-GB"/>
        </w:rPr>
        <w:t xml:space="preserve"> Variant </w:t>
      </w:r>
      <w:r w:rsidRPr="00D95AC0">
        <w:rPr>
          <w:rFonts w:ascii="Times New Roman" w:hAnsi="Times New Roman" w:cs="Times New Roman"/>
          <w:lang w:val="en-GB"/>
        </w:rPr>
        <w:lastRenderedPageBreak/>
        <w:t xml:space="preserve">calling for single nucleotide variants (SNVs) and insertions and deletions (indels) was performed using GATK </w:t>
      </w:r>
      <w:proofErr w:type="spellStart"/>
      <w:r w:rsidRPr="00D95AC0">
        <w:rPr>
          <w:rFonts w:ascii="Times New Roman" w:hAnsi="Times New Roman" w:cs="Times New Roman"/>
          <w:lang w:val="en-GB"/>
        </w:rPr>
        <w:t>HaplotypeCaller</w:t>
      </w:r>
      <w:proofErr w:type="spellEnd"/>
      <w:r w:rsidRPr="00D95AC0">
        <w:rPr>
          <w:rFonts w:ascii="Times New Roman" w:hAnsi="Times New Roman" w:cs="Times New Roman"/>
          <w:lang w:val="en-GB"/>
        </w:rPr>
        <w:t xml:space="preserve"> and Strelka (v.2.9.10). </w:t>
      </w:r>
      <w:bookmarkEnd w:id="1"/>
    </w:p>
    <w:p w14:paraId="3C2410F4" w14:textId="77777777" w:rsidR="00FA1D9C" w:rsidRPr="00D95AC0" w:rsidRDefault="00FA1D9C" w:rsidP="00DC0B6E">
      <w:pPr>
        <w:rPr>
          <w:rFonts w:ascii="Times New Roman" w:hAnsi="Times New Roman" w:cs="Times New Roman"/>
          <w:lang w:val="en-GB"/>
        </w:rPr>
      </w:pPr>
    </w:p>
    <w:p w14:paraId="4EAB32D6" w14:textId="77777777" w:rsidR="00FA1D9C" w:rsidRPr="00D95AC0" w:rsidRDefault="00FA1D9C" w:rsidP="006A439B">
      <w:pPr>
        <w:rPr>
          <w:rFonts w:ascii="Times New Roman" w:hAnsi="Times New Roman" w:cs="Times New Roman"/>
          <w:lang w:val="en-GB"/>
        </w:rPr>
      </w:pPr>
    </w:p>
    <w:p w14:paraId="18CA1F8D" w14:textId="77777777" w:rsidR="00FA1D9C" w:rsidRPr="00D95AC0" w:rsidRDefault="00FA1D9C" w:rsidP="0092319D">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t>Pathogenic variant annotation and prioritization pipeline</w:t>
      </w:r>
    </w:p>
    <w:p w14:paraId="1D29159A" w14:textId="77777777" w:rsidR="00FA1D9C" w:rsidRPr="00D95AC0" w:rsidRDefault="00FA1D9C" w:rsidP="0092319D">
      <w:pPr>
        <w:spacing w:line="480" w:lineRule="auto"/>
        <w:rPr>
          <w:rFonts w:ascii="Times New Roman" w:hAnsi="Times New Roman" w:cs="Times New Roman"/>
          <w:lang w:val="en-GB"/>
        </w:rPr>
      </w:pPr>
      <w:bookmarkStart w:id="2" w:name="_Hlk102726903"/>
      <w:r w:rsidRPr="00D95AC0">
        <w:rPr>
          <w:rFonts w:ascii="Times New Roman" w:hAnsi="Times New Roman" w:cs="Times New Roman"/>
          <w:lang w:val="en-GB"/>
        </w:rPr>
        <w:t>Variant annotation and prioritization were performed using a slightly modified version of the Mutation Identification Pipeline (MIP) algorithm,</w:t>
      </w:r>
      <w:r w:rsidRPr="00D95AC0">
        <w:rPr>
          <w:rFonts w:ascii="Times New Roman" w:hAnsi="Times New Roman" w:cs="Times New Roman"/>
          <w:noProof/>
          <w:vertAlign w:val="superscript"/>
          <w:lang w:val="en-GB"/>
        </w:rPr>
        <w:t>4</w:t>
      </w:r>
      <w:r w:rsidRPr="00D95AC0">
        <w:rPr>
          <w:rFonts w:ascii="Times New Roman" w:hAnsi="Times New Roman" w:cs="Times New Roman"/>
          <w:lang w:val="en-GB"/>
        </w:rPr>
        <w:t xml:space="preserve"> which is an algorithm used for ranking variants according to predicted pathogenicity. This algorithm has been in use at the Clinical Genomics facility at </w:t>
      </w:r>
      <w:proofErr w:type="spellStart"/>
      <w:r w:rsidRPr="00D95AC0">
        <w:rPr>
          <w:rFonts w:ascii="Times New Roman" w:hAnsi="Times New Roman" w:cs="Times New Roman"/>
          <w:lang w:val="en-GB"/>
        </w:rPr>
        <w:t>SciLifeLab</w:t>
      </w:r>
      <w:proofErr w:type="spellEnd"/>
      <w:r w:rsidRPr="00D95AC0">
        <w:rPr>
          <w:rFonts w:ascii="Times New Roman" w:hAnsi="Times New Roman" w:cs="Times New Roman"/>
          <w:lang w:val="en-GB"/>
        </w:rPr>
        <w:t xml:space="preserve"> since 2014 and versions of it is in use at the major clinical genomics departments in Swedish healthcare and for research.</w:t>
      </w:r>
      <w:r w:rsidRPr="00D95AC0">
        <w:rPr>
          <w:rFonts w:ascii="Times New Roman" w:hAnsi="Times New Roman" w:cs="Times New Roman"/>
          <w:noProof/>
          <w:vertAlign w:val="superscript"/>
          <w:lang w:val="en-GB"/>
        </w:rPr>
        <w:t>4-7</w:t>
      </w:r>
      <w:r w:rsidRPr="00D95AC0">
        <w:rPr>
          <w:rFonts w:ascii="Times New Roman" w:hAnsi="Times New Roman" w:cs="Times New Roman"/>
          <w:lang w:val="en-GB"/>
        </w:rPr>
        <w:t xml:space="preserve"> The algorithm is based on output from the tools GATK, VEP, ANNOVAR and CADD and assigns each variant a pathogenicity score based on 8 categories of attributes as listed below. In the list below, categories as well as information on whether the maximum score (max), minimum score (min), or score summation (sum) are to be used. </w:t>
      </w:r>
      <w:bookmarkStart w:id="3" w:name="_Hlk102642764"/>
      <w:bookmarkEnd w:id="2"/>
      <w:r w:rsidRPr="00D95AC0">
        <w:rPr>
          <w:rFonts w:ascii="Times New Roman" w:hAnsi="Times New Roman" w:cs="Times New Roman"/>
          <w:lang w:val="en-GB"/>
        </w:rPr>
        <w:t>Scores from each category are then summed resulting in the final score. All variants with a total score of 15 or higher, with lower scores considered highly likely to represent benign variants based on clinical experience,</w:t>
      </w:r>
      <w:r w:rsidRPr="00D95AC0">
        <w:rPr>
          <w:rFonts w:ascii="Times New Roman" w:hAnsi="Times New Roman" w:cs="Times New Roman"/>
          <w:noProof/>
          <w:vertAlign w:val="superscript"/>
          <w:lang w:val="en-GB"/>
        </w:rPr>
        <w:t>4,5</w:t>
      </w:r>
      <w:r w:rsidRPr="00D95AC0">
        <w:rPr>
          <w:rFonts w:ascii="Times New Roman" w:hAnsi="Times New Roman" w:cs="Times New Roman"/>
          <w:lang w:val="en-GB"/>
        </w:rPr>
        <w:t xml:space="preserve"> were curated manually and classified according to ACMG criteria.</w:t>
      </w:r>
      <w:r w:rsidRPr="00D95AC0">
        <w:rPr>
          <w:rFonts w:ascii="Times New Roman" w:hAnsi="Times New Roman" w:cs="Times New Roman"/>
          <w:noProof/>
          <w:vertAlign w:val="superscript"/>
          <w:lang w:val="en-GB"/>
        </w:rPr>
        <w:t>8</w:t>
      </w:r>
      <w:r w:rsidRPr="00D95AC0">
        <w:rPr>
          <w:rFonts w:ascii="Times New Roman" w:hAnsi="Times New Roman" w:cs="Times New Roman"/>
          <w:lang w:val="en-GB"/>
        </w:rPr>
        <w:t xml:space="preserve"> Manual curation was also performed for all variants with a previous ClinVar submission classified as LP/P, regardless of pathogenicity score to ensure that no variant previously classified as pathogenic by ClinVar was missed. </w:t>
      </w:r>
    </w:p>
    <w:p w14:paraId="4C2E8352"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 xml:space="preserve">Variant call quality filter </w:t>
      </w:r>
      <w:r w:rsidRPr="00D95AC0">
        <w:rPr>
          <w:rFonts w:ascii="Times New Roman" w:eastAsia="Times New Roman" w:hAnsi="Times New Roman" w:cs="Times New Roman"/>
          <w:color w:val="000000"/>
          <w:lang w:val="en-GB"/>
        </w:rPr>
        <w:t>(sum)</w:t>
      </w:r>
    </w:p>
    <w:p w14:paraId="2F70BA7B"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Splicing</w:t>
      </w:r>
      <w:r w:rsidRPr="00D95AC0">
        <w:rPr>
          <w:rFonts w:ascii="Times New Roman" w:eastAsia="Times New Roman" w:hAnsi="Times New Roman" w:cs="Times New Roman"/>
          <w:color w:val="000000"/>
          <w:lang w:val="en-GB"/>
        </w:rPr>
        <w:t xml:space="preserve"> (max)</w:t>
      </w:r>
    </w:p>
    <w:p w14:paraId="12AEC46C"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Consequence</w:t>
      </w:r>
      <w:r w:rsidRPr="00D95AC0">
        <w:rPr>
          <w:rFonts w:ascii="Times New Roman" w:eastAsia="Times New Roman" w:hAnsi="Times New Roman" w:cs="Times New Roman"/>
          <w:color w:val="000000"/>
          <w:lang w:val="en-GB"/>
        </w:rPr>
        <w:t xml:space="preserve"> (max)</w:t>
      </w:r>
    </w:p>
    <w:p w14:paraId="55B21E80"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Gene intolerance prediction</w:t>
      </w:r>
      <w:r w:rsidRPr="00D95AC0">
        <w:rPr>
          <w:rFonts w:ascii="Times New Roman" w:eastAsia="Times New Roman" w:hAnsi="Times New Roman" w:cs="Times New Roman"/>
          <w:color w:val="000000"/>
          <w:lang w:val="en-GB"/>
        </w:rPr>
        <w:t xml:space="preserve"> (max)</w:t>
      </w:r>
    </w:p>
    <w:p w14:paraId="2D490857"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Conservation</w:t>
      </w:r>
      <w:r w:rsidRPr="00D95AC0">
        <w:rPr>
          <w:rFonts w:ascii="Times New Roman" w:eastAsia="Times New Roman" w:hAnsi="Times New Roman" w:cs="Times New Roman"/>
          <w:color w:val="000000"/>
          <w:lang w:val="en-GB"/>
        </w:rPr>
        <w:t xml:space="preserve"> (sum)</w:t>
      </w:r>
    </w:p>
    <w:p w14:paraId="65D1C466"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Protein prediction</w:t>
      </w:r>
      <w:r w:rsidRPr="00D95AC0">
        <w:rPr>
          <w:rFonts w:ascii="Times New Roman" w:eastAsia="Times New Roman" w:hAnsi="Times New Roman" w:cs="Times New Roman"/>
          <w:color w:val="000000"/>
          <w:lang w:val="en-GB"/>
        </w:rPr>
        <w:t xml:space="preserve"> (sum)</w:t>
      </w:r>
    </w:p>
    <w:p w14:paraId="3B68723E"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Allele frequency</w:t>
      </w:r>
      <w:r w:rsidRPr="00D95AC0">
        <w:rPr>
          <w:rFonts w:ascii="Times New Roman" w:eastAsia="Times New Roman" w:hAnsi="Times New Roman" w:cs="Times New Roman"/>
          <w:color w:val="000000"/>
          <w:lang w:val="en-GB"/>
        </w:rPr>
        <w:t xml:space="preserve"> (min)</w:t>
      </w:r>
    </w:p>
    <w:p w14:paraId="30F391A9" w14:textId="77777777" w:rsidR="00FA1D9C" w:rsidRPr="00D95AC0" w:rsidRDefault="00FA1D9C" w:rsidP="0092319D">
      <w:pPr>
        <w:pStyle w:val="ListParagraph"/>
        <w:numPr>
          <w:ilvl w:val="0"/>
          <w:numId w:val="1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r w:rsidRPr="00D95AC0">
        <w:rPr>
          <w:rFonts w:ascii="Times New Roman" w:eastAsia="Times New Roman" w:hAnsi="Times New Roman" w:cs="Times New Roman"/>
          <w:b/>
          <w:bCs/>
          <w:color w:val="000000"/>
          <w:lang w:val="en-GB"/>
        </w:rPr>
        <w:t>Clinical significance</w:t>
      </w:r>
      <w:r w:rsidRPr="00D95AC0">
        <w:rPr>
          <w:rFonts w:ascii="Times New Roman" w:eastAsia="Times New Roman" w:hAnsi="Times New Roman" w:cs="Times New Roman"/>
          <w:color w:val="000000"/>
          <w:lang w:val="en-GB"/>
        </w:rPr>
        <w:t xml:space="preserve"> (sum)</w:t>
      </w:r>
    </w:p>
    <w:bookmarkEnd w:id="3"/>
    <w:p w14:paraId="0B27D1C5" w14:textId="77777777" w:rsidR="00FA1D9C" w:rsidRPr="00D95AC0" w:rsidRDefault="00FA1D9C" w:rsidP="0092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lang w:val="en-GB"/>
        </w:rPr>
      </w:pPr>
    </w:p>
    <w:p w14:paraId="11A73016" w14:textId="77777777" w:rsidR="00FA1D9C" w:rsidRPr="00D95AC0" w:rsidRDefault="00FA1D9C" w:rsidP="0092319D">
      <w:pPr>
        <w:pStyle w:val="Heading4"/>
        <w:rPr>
          <w:rFonts w:ascii="Times New Roman" w:hAnsi="Times New Roman" w:cs="Times New Roman"/>
          <w:color w:val="auto"/>
          <w:lang w:val="en-GB"/>
        </w:rPr>
      </w:pPr>
      <w:bookmarkStart w:id="4" w:name="_Hlk102643241"/>
      <w:r w:rsidRPr="00D95AC0">
        <w:rPr>
          <w:rFonts w:ascii="Times New Roman" w:hAnsi="Times New Roman" w:cs="Times New Roman"/>
          <w:color w:val="auto"/>
          <w:lang w:val="en-GB"/>
        </w:rPr>
        <w:lastRenderedPageBreak/>
        <w:t>1. Variant Call Quality Score</w:t>
      </w:r>
    </w:p>
    <w:p w14:paraId="55EC745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All variants that pass the variant call quality filter in GATK </w:t>
      </w:r>
      <w:proofErr w:type="spellStart"/>
      <w:r w:rsidRPr="00D95AC0">
        <w:rPr>
          <w:rFonts w:ascii="Times New Roman" w:hAnsi="Times New Roman" w:cs="Times New Roman"/>
          <w:lang w:val="en-GB"/>
        </w:rPr>
        <w:t>HaplotypeCaller</w:t>
      </w:r>
      <w:proofErr w:type="spellEnd"/>
      <w:r w:rsidRPr="00D95AC0">
        <w:rPr>
          <w:rFonts w:ascii="Times New Roman" w:hAnsi="Times New Roman" w:cs="Times New Roman"/>
          <w:lang w:val="en-GB"/>
        </w:rPr>
        <w:t xml:space="preserve"> are assigned a score of 3.</w:t>
      </w:r>
    </w:p>
    <w:tbl>
      <w:tblPr>
        <w:tblStyle w:val="TableGrid"/>
        <w:tblW w:w="0" w:type="auto"/>
        <w:tblLook w:val="04A0" w:firstRow="1" w:lastRow="0" w:firstColumn="1" w:lastColumn="0" w:noHBand="0" w:noVBand="1"/>
      </w:tblPr>
      <w:tblGrid>
        <w:gridCol w:w="2972"/>
        <w:gridCol w:w="992"/>
      </w:tblGrid>
      <w:tr w:rsidR="00FA1D9C" w:rsidRPr="00D95AC0" w14:paraId="11298647" w14:textId="77777777" w:rsidTr="0092319D">
        <w:trPr>
          <w:trHeight w:val="397"/>
        </w:trPr>
        <w:tc>
          <w:tcPr>
            <w:tcW w:w="2972"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6B37F7DB"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Variant call quality</w:t>
            </w:r>
          </w:p>
        </w:tc>
        <w:tc>
          <w:tcPr>
            <w:tcW w:w="992"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5D2C8CF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7AB0D568" w14:textId="77777777" w:rsidTr="0092319D">
        <w:tc>
          <w:tcPr>
            <w:tcW w:w="2972" w:type="dxa"/>
            <w:tcBorders>
              <w:top w:val="single" w:sz="4" w:space="0" w:color="auto"/>
              <w:right w:val="nil"/>
            </w:tcBorders>
          </w:tcPr>
          <w:p w14:paraId="0111066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992" w:type="dxa"/>
            <w:tcBorders>
              <w:top w:val="single" w:sz="4" w:space="0" w:color="auto"/>
              <w:left w:val="nil"/>
              <w:bottom w:val="single" w:sz="4" w:space="0" w:color="auto"/>
            </w:tcBorders>
            <w:vAlign w:val="center"/>
          </w:tcPr>
          <w:p w14:paraId="052F17C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4A384AFC" w14:textId="77777777" w:rsidTr="0092319D">
        <w:tc>
          <w:tcPr>
            <w:tcW w:w="2972" w:type="dxa"/>
            <w:tcBorders>
              <w:right w:val="nil"/>
            </w:tcBorders>
          </w:tcPr>
          <w:p w14:paraId="6CF7FC7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w:t>
            </w:r>
          </w:p>
        </w:tc>
        <w:tc>
          <w:tcPr>
            <w:tcW w:w="992" w:type="dxa"/>
            <w:tcBorders>
              <w:left w:val="nil"/>
            </w:tcBorders>
            <w:vAlign w:val="center"/>
          </w:tcPr>
          <w:p w14:paraId="009E0BD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2621B4D5" w14:textId="77777777" w:rsidTr="0092319D">
        <w:tc>
          <w:tcPr>
            <w:tcW w:w="2972" w:type="dxa"/>
            <w:tcBorders>
              <w:right w:val="nil"/>
            </w:tcBorders>
          </w:tcPr>
          <w:p w14:paraId="6CA17B4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PASS</w:t>
            </w:r>
          </w:p>
        </w:tc>
        <w:tc>
          <w:tcPr>
            <w:tcW w:w="992" w:type="dxa"/>
            <w:tcBorders>
              <w:left w:val="nil"/>
            </w:tcBorders>
            <w:vAlign w:val="center"/>
          </w:tcPr>
          <w:p w14:paraId="0A02BD3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bl>
    <w:p w14:paraId="76231EA6" w14:textId="77777777" w:rsidR="00FA1D9C" w:rsidRPr="00D95AC0" w:rsidRDefault="00FA1D9C" w:rsidP="0092319D">
      <w:pPr>
        <w:rPr>
          <w:rFonts w:ascii="Times New Roman" w:hAnsi="Times New Roman" w:cs="Times New Roman"/>
          <w:sz w:val="20"/>
          <w:szCs w:val="20"/>
          <w:lang w:val="en-GB"/>
        </w:rPr>
      </w:pPr>
    </w:p>
    <w:p w14:paraId="3C5BCD40"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 xml:space="preserve">2. </w:t>
      </w:r>
      <w:proofErr w:type="spellStart"/>
      <w:r w:rsidRPr="00D95AC0">
        <w:rPr>
          <w:rFonts w:ascii="Times New Roman" w:hAnsi="Times New Roman" w:cs="Times New Roman"/>
          <w:color w:val="auto"/>
          <w:lang w:val="en-GB"/>
        </w:rPr>
        <w:t>Spliceogenicity</w:t>
      </w:r>
      <w:proofErr w:type="spellEnd"/>
      <w:r w:rsidRPr="00D95AC0">
        <w:rPr>
          <w:rFonts w:ascii="Times New Roman" w:hAnsi="Times New Roman" w:cs="Times New Roman"/>
          <w:color w:val="auto"/>
          <w:lang w:val="en-GB"/>
        </w:rPr>
        <w:t xml:space="preserve"> Score</w:t>
      </w:r>
    </w:p>
    <w:p w14:paraId="28DDEF56"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Spliceogenicity</w:t>
      </w:r>
      <w:proofErr w:type="spellEnd"/>
      <w:r w:rsidRPr="00D95AC0">
        <w:rPr>
          <w:rFonts w:ascii="Times New Roman" w:hAnsi="Times New Roman" w:cs="Times New Roman"/>
          <w:lang w:val="en-GB"/>
        </w:rPr>
        <w:t xml:space="preserve"> was assessed using MaxEntScan</w:t>
      </w:r>
      <w:r w:rsidRPr="00D95AC0">
        <w:rPr>
          <w:rFonts w:ascii="Times New Roman" w:hAnsi="Times New Roman" w:cs="Times New Roman"/>
          <w:noProof/>
          <w:vertAlign w:val="superscript"/>
          <w:lang w:val="en-GB"/>
        </w:rPr>
        <w:t>9</w:t>
      </w:r>
      <w:r w:rsidRPr="00D95AC0">
        <w:rPr>
          <w:rFonts w:ascii="Times New Roman" w:hAnsi="Times New Roman" w:cs="Times New Roman"/>
          <w:lang w:val="en-GB"/>
        </w:rPr>
        <w:t xml:space="preserve"> and SpliceAI.</w:t>
      </w:r>
      <w:r w:rsidRPr="00D95AC0">
        <w:rPr>
          <w:rFonts w:ascii="Times New Roman" w:hAnsi="Times New Roman" w:cs="Times New Roman"/>
          <w:noProof/>
          <w:vertAlign w:val="superscript"/>
          <w:lang w:val="en-GB"/>
        </w:rPr>
        <w:t>10</w:t>
      </w:r>
      <w:r w:rsidRPr="00D95AC0">
        <w:rPr>
          <w:rFonts w:ascii="Times New Roman" w:hAnsi="Times New Roman" w:cs="Times New Roman"/>
          <w:lang w:val="en-GB"/>
        </w:rPr>
        <w:t xml:space="preserve"> MaxEntScan scores were obtained via the MaxEntScan plugin in VEP and SpliceAI scores were obtained from CADD. The maximum variant score from these tools constitutes the </w:t>
      </w:r>
      <w:proofErr w:type="spellStart"/>
      <w:r w:rsidRPr="00D95AC0">
        <w:rPr>
          <w:rFonts w:ascii="Times New Roman" w:hAnsi="Times New Roman" w:cs="Times New Roman"/>
          <w:lang w:val="en-GB"/>
        </w:rPr>
        <w:t>Spliceogenicity</w:t>
      </w:r>
      <w:proofErr w:type="spellEnd"/>
      <w:r w:rsidRPr="00D95AC0">
        <w:rPr>
          <w:rFonts w:ascii="Times New Roman" w:hAnsi="Times New Roman" w:cs="Times New Roman"/>
          <w:lang w:val="en-GB"/>
        </w:rPr>
        <w:t xml:space="preserve"> Score.</w:t>
      </w:r>
    </w:p>
    <w:tbl>
      <w:tblPr>
        <w:tblStyle w:val="TableGrid"/>
        <w:tblW w:w="0" w:type="auto"/>
        <w:tblLook w:val="04A0" w:firstRow="1" w:lastRow="0" w:firstColumn="1" w:lastColumn="0" w:noHBand="0" w:noVBand="1"/>
      </w:tblPr>
      <w:tblGrid>
        <w:gridCol w:w="5524"/>
        <w:gridCol w:w="851"/>
      </w:tblGrid>
      <w:tr w:rsidR="00FA1D9C" w:rsidRPr="00D95AC0" w14:paraId="6D37B43E" w14:textId="77777777" w:rsidTr="0092319D">
        <w:trPr>
          <w:trHeight w:val="397"/>
        </w:trPr>
        <w:tc>
          <w:tcPr>
            <w:tcW w:w="5524"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65337CF9"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MaxEntScan alternative score for native splice sites</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034E484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14C3979B" w14:textId="77777777" w:rsidTr="0092319D">
        <w:tc>
          <w:tcPr>
            <w:tcW w:w="5524" w:type="dxa"/>
            <w:tcBorders>
              <w:top w:val="single" w:sz="4" w:space="0" w:color="auto"/>
              <w:right w:val="nil"/>
            </w:tcBorders>
          </w:tcPr>
          <w:p w14:paraId="0D0A905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694EF2C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5B07977" w14:textId="77777777" w:rsidTr="0092319D">
        <w:tc>
          <w:tcPr>
            <w:tcW w:w="5524" w:type="dxa"/>
            <w:tcBorders>
              <w:right w:val="nil"/>
            </w:tcBorders>
          </w:tcPr>
          <w:p w14:paraId="2E9BBF5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(&gt;0, ≤6.2)</w:t>
            </w:r>
          </w:p>
        </w:tc>
        <w:tc>
          <w:tcPr>
            <w:tcW w:w="851" w:type="dxa"/>
            <w:tcBorders>
              <w:left w:val="nil"/>
            </w:tcBorders>
            <w:vAlign w:val="center"/>
          </w:tcPr>
          <w:p w14:paraId="280868F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4A5184E0" w14:textId="77777777" w:rsidTr="0092319D">
        <w:tc>
          <w:tcPr>
            <w:tcW w:w="5524" w:type="dxa"/>
            <w:tcBorders>
              <w:right w:val="nil"/>
            </w:tcBorders>
          </w:tcPr>
          <w:p w14:paraId="3E30B5F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(&gt;6.2, ≤8.5)</w:t>
            </w:r>
          </w:p>
        </w:tc>
        <w:tc>
          <w:tcPr>
            <w:tcW w:w="851" w:type="dxa"/>
            <w:tcBorders>
              <w:left w:val="nil"/>
            </w:tcBorders>
            <w:vAlign w:val="center"/>
          </w:tcPr>
          <w:p w14:paraId="6DC2194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5695884F" w14:textId="77777777" w:rsidTr="0092319D">
        <w:tc>
          <w:tcPr>
            <w:tcW w:w="5524" w:type="dxa"/>
            <w:tcBorders>
              <w:right w:val="nil"/>
            </w:tcBorders>
          </w:tcPr>
          <w:p w14:paraId="3463606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(&gt;8.5)</w:t>
            </w:r>
          </w:p>
        </w:tc>
        <w:tc>
          <w:tcPr>
            <w:tcW w:w="851" w:type="dxa"/>
            <w:tcBorders>
              <w:left w:val="nil"/>
            </w:tcBorders>
            <w:vAlign w:val="center"/>
          </w:tcPr>
          <w:p w14:paraId="6376909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bl>
    <w:p w14:paraId="419B12EB" w14:textId="77777777" w:rsidR="00FA1D9C" w:rsidRPr="00D95AC0" w:rsidRDefault="00FA1D9C" w:rsidP="0092319D">
      <w:pPr>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5524"/>
        <w:gridCol w:w="850"/>
      </w:tblGrid>
      <w:tr w:rsidR="00FA1D9C" w:rsidRPr="00D95AC0" w14:paraId="03C3073E" w14:textId="77777777" w:rsidTr="0092319D">
        <w:trPr>
          <w:trHeight w:val="397"/>
        </w:trPr>
        <w:tc>
          <w:tcPr>
            <w:tcW w:w="5524"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7531A180"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MaxEntScan difference score for native splice sites</w:t>
            </w:r>
          </w:p>
        </w:tc>
        <w:tc>
          <w:tcPr>
            <w:tcW w:w="850"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0C0DAD6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471EE29E" w14:textId="77777777" w:rsidTr="0092319D">
        <w:tc>
          <w:tcPr>
            <w:tcW w:w="5524" w:type="dxa"/>
            <w:tcBorders>
              <w:top w:val="single" w:sz="4" w:space="0" w:color="auto"/>
              <w:right w:val="nil"/>
            </w:tcBorders>
          </w:tcPr>
          <w:p w14:paraId="6BF9846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0" w:type="dxa"/>
            <w:tcBorders>
              <w:top w:val="single" w:sz="4" w:space="0" w:color="auto"/>
              <w:left w:val="nil"/>
              <w:bottom w:val="single" w:sz="4" w:space="0" w:color="auto"/>
            </w:tcBorders>
            <w:vAlign w:val="center"/>
          </w:tcPr>
          <w:p w14:paraId="5E5A3E8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74EA28E9" w14:textId="77777777" w:rsidTr="0092319D">
        <w:tc>
          <w:tcPr>
            <w:tcW w:w="5524" w:type="dxa"/>
            <w:tcBorders>
              <w:right w:val="nil"/>
            </w:tcBorders>
          </w:tcPr>
          <w:p w14:paraId="06E8AC1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(≥0, ≤1.15)</w:t>
            </w:r>
          </w:p>
        </w:tc>
        <w:tc>
          <w:tcPr>
            <w:tcW w:w="850" w:type="dxa"/>
            <w:tcBorders>
              <w:left w:val="nil"/>
            </w:tcBorders>
            <w:vAlign w:val="center"/>
          </w:tcPr>
          <w:p w14:paraId="271F401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2F86CBC8" w14:textId="77777777" w:rsidTr="0092319D">
        <w:tc>
          <w:tcPr>
            <w:tcW w:w="5524" w:type="dxa"/>
            <w:tcBorders>
              <w:right w:val="nil"/>
            </w:tcBorders>
          </w:tcPr>
          <w:p w14:paraId="5630773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(&gt;1.15)</w:t>
            </w:r>
          </w:p>
        </w:tc>
        <w:tc>
          <w:tcPr>
            <w:tcW w:w="850" w:type="dxa"/>
            <w:tcBorders>
              <w:left w:val="nil"/>
            </w:tcBorders>
            <w:vAlign w:val="center"/>
          </w:tcPr>
          <w:p w14:paraId="1C59791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bl>
    <w:p w14:paraId="6144977D" w14:textId="77777777" w:rsidR="00FA1D9C" w:rsidRPr="00D95AC0" w:rsidRDefault="00FA1D9C" w:rsidP="0092319D">
      <w:pPr>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4106"/>
        <w:gridCol w:w="851"/>
      </w:tblGrid>
      <w:tr w:rsidR="00FA1D9C" w:rsidRPr="00D95AC0" w14:paraId="35B55B4E"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1F747C77"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SpliceAI delta score acceptor gain</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52D7A3D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23337A02" w14:textId="77777777" w:rsidTr="0092319D">
        <w:tc>
          <w:tcPr>
            <w:tcW w:w="4106" w:type="dxa"/>
            <w:tcBorders>
              <w:top w:val="single" w:sz="4" w:space="0" w:color="auto"/>
              <w:right w:val="nil"/>
            </w:tcBorders>
          </w:tcPr>
          <w:p w14:paraId="097C7DE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07F6D41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E61ADB9" w14:textId="77777777" w:rsidTr="0092319D">
        <w:tc>
          <w:tcPr>
            <w:tcW w:w="4106" w:type="dxa"/>
            <w:tcBorders>
              <w:right w:val="nil"/>
            </w:tcBorders>
          </w:tcPr>
          <w:p w14:paraId="08DC57A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(&gt;0, &lt;0.2)</w:t>
            </w:r>
          </w:p>
        </w:tc>
        <w:tc>
          <w:tcPr>
            <w:tcW w:w="851" w:type="dxa"/>
            <w:tcBorders>
              <w:left w:val="nil"/>
            </w:tcBorders>
            <w:vAlign w:val="center"/>
          </w:tcPr>
          <w:p w14:paraId="081C3D2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6335351" w14:textId="77777777" w:rsidTr="0092319D">
        <w:tc>
          <w:tcPr>
            <w:tcW w:w="4106" w:type="dxa"/>
            <w:tcBorders>
              <w:right w:val="nil"/>
            </w:tcBorders>
          </w:tcPr>
          <w:p w14:paraId="4452556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(≥0.2, &lt;0.5)</w:t>
            </w:r>
          </w:p>
        </w:tc>
        <w:tc>
          <w:tcPr>
            <w:tcW w:w="851" w:type="dxa"/>
            <w:tcBorders>
              <w:left w:val="nil"/>
            </w:tcBorders>
            <w:vAlign w:val="center"/>
          </w:tcPr>
          <w:p w14:paraId="25A3C11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3887DE5F" w14:textId="77777777" w:rsidTr="0092319D">
        <w:tc>
          <w:tcPr>
            <w:tcW w:w="4106" w:type="dxa"/>
            <w:tcBorders>
              <w:right w:val="nil"/>
            </w:tcBorders>
          </w:tcPr>
          <w:p w14:paraId="4A101A9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(≥0.5)</w:t>
            </w:r>
          </w:p>
        </w:tc>
        <w:tc>
          <w:tcPr>
            <w:tcW w:w="851" w:type="dxa"/>
            <w:tcBorders>
              <w:left w:val="nil"/>
            </w:tcBorders>
            <w:vAlign w:val="center"/>
          </w:tcPr>
          <w:p w14:paraId="66D9470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4F6AA6C5" w14:textId="77777777" w:rsidR="00FA1D9C" w:rsidRPr="00D95AC0" w:rsidRDefault="00FA1D9C" w:rsidP="0092319D">
      <w:pPr>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4106"/>
        <w:gridCol w:w="851"/>
      </w:tblGrid>
      <w:tr w:rsidR="00FA1D9C" w:rsidRPr="00D95AC0" w14:paraId="06BCFEF7"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498CBF9D"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SpliceAI delta score acceptor loss</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379FC10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41B2608D" w14:textId="77777777" w:rsidTr="0092319D">
        <w:tc>
          <w:tcPr>
            <w:tcW w:w="4106" w:type="dxa"/>
            <w:tcBorders>
              <w:top w:val="single" w:sz="4" w:space="0" w:color="auto"/>
              <w:right w:val="nil"/>
            </w:tcBorders>
          </w:tcPr>
          <w:p w14:paraId="1B8DFFE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319F274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329B3C7" w14:textId="77777777" w:rsidTr="0092319D">
        <w:tc>
          <w:tcPr>
            <w:tcW w:w="4106" w:type="dxa"/>
            <w:tcBorders>
              <w:right w:val="nil"/>
            </w:tcBorders>
          </w:tcPr>
          <w:p w14:paraId="732EDCE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(&gt;0, &lt;0.2)</w:t>
            </w:r>
          </w:p>
        </w:tc>
        <w:tc>
          <w:tcPr>
            <w:tcW w:w="851" w:type="dxa"/>
            <w:tcBorders>
              <w:left w:val="nil"/>
            </w:tcBorders>
            <w:vAlign w:val="center"/>
          </w:tcPr>
          <w:p w14:paraId="67DEA34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72C55BAE" w14:textId="77777777" w:rsidTr="0092319D">
        <w:tc>
          <w:tcPr>
            <w:tcW w:w="4106" w:type="dxa"/>
            <w:tcBorders>
              <w:right w:val="nil"/>
            </w:tcBorders>
          </w:tcPr>
          <w:p w14:paraId="51E2B7D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(≥0.2, &lt;0.5)</w:t>
            </w:r>
          </w:p>
        </w:tc>
        <w:tc>
          <w:tcPr>
            <w:tcW w:w="851" w:type="dxa"/>
            <w:tcBorders>
              <w:left w:val="nil"/>
            </w:tcBorders>
            <w:vAlign w:val="center"/>
          </w:tcPr>
          <w:p w14:paraId="01B408E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5F81B2E2" w14:textId="77777777" w:rsidTr="0092319D">
        <w:tc>
          <w:tcPr>
            <w:tcW w:w="4106" w:type="dxa"/>
            <w:tcBorders>
              <w:right w:val="nil"/>
            </w:tcBorders>
          </w:tcPr>
          <w:p w14:paraId="185B080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(≥0.5)</w:t>
            </w:r>
          </w:p>
        </w:tc>
        <w:tc>
          <w:tcPr>
            <w:tcW w:w="851" w:type="dxa"/>
            <w:tcBorders>
              <w:left w:val="nil"/>
            </w:tcBorders>
            <w:vAlign w:val="center"/>
          </w:tcPr>
          <w:p w14:paraId="775052B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0DB86CBC" w14:textId="77777777" w:rsidR="00FA1D9C" w:rsidRPr="00D95AC0" w:rsidRDefault="00FA1D9C" w:rsidP="0092319D">
      <w:pPr>
        <w:rPr>
          <w:rFonts w:ascii="Times New Roman" w:hAnsi="Times New Roman" w:cs="Times New Roman"/>
          <w:sz w:val="20"/>
          <w:szCs w:val="20"/>
          <w:lang w:val="en-GB"/>
        </w:rPr>
      </w:pPr>
    </w:p>
    <w:tbl>
      <w:tblPr>
        <w:tblStyle w:val="TableGrid"/>
        <w:tblW w:w="0" w:type="auto"/>
        <w:tblLook w:val="04A0" w:firstRow="1" w:lastRow="0" w:firstColumn="1" w:lastColumn="0" w:noHBand="0" w:noVBand="1"/>
      </w:tblPr>
      <w:tblGrid>
        <w:gridCol w:w="4106"/>
        <w:gridCol w:w="851"/>
      </w:tblGrid>
      <w:tr w:rsidR="00FA1D9C" w:rsidRPr="00D95AC0" w14:paraId="07DB8A96"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77301999"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SpliceAI delta score donor gain</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0B52F05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7F95CF39" w14:textId="77777777" w:rsidTr="0092319D">
        <w:tc>
          <w:tcPr>
            <w:tcW w:w="4106" w:type="dxa"/>
            <w:tcBorders>
              <w:top w:val="single" w:sz="4" w:space="0" w:color="auto"/>
              <w:right w:val="nil"/>
            </w:tcBorders>
          </w:tcPr>
          <w:p w14:paraId="0C60407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6395A98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522E3D6" w14:textId="77777777" w:rsidTr="0092319D">
        <w:tc>
          <w:tcPr>
            <w:tcW w:w="4106" w:type="dxa"/>
            <w:tcBorders>
              <w:right w:val="nil"/>
            </w:tcBorders>
          </w:tcPr>
          <w:p w14:paraId="313BB17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(&gt;0, &lt;0.2)</w:t>
            </w:r>
          </w:p>
        </w:tc>
        <w:tc>
          <w:tcPr>
            <w:tcW w:w="851" w:type="dxa"/>
            <w:tcBorders>
              <w:left w:val="nil"/>
            </w:tcBorders>
            <w:vAlign w:val="center"/>
          </w:tcPr>
          <w:p w14:paraId="5A143AD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22D1569D" w14:textId="77777777" w:rsidTr="0092319D">
        <w:tc>
          <w:tcPr>
            <w:tcW w:w="4106" w:type="dxa"/>
            <w:tcBorders>
              <w:right w:val="nil"/>
            </w:tcBorders>
          </w:tcPr>
          <w:p w14:paraId="368B616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(≥0.2, &lt;0.5)</w:t>
            </w:r>
          </w:p>
        </w:tc>
        <w:tc>
          <w:tcPr>
            <w:tcW w:w="851" w:type="dxa"/>
            <w:tcBorders>
              <w:left w:val="nil"/>
            </w:tcBorders>
            <w:vAlign w:val="center"/>
          </w:tcPr>
          <w:p w14:paraId="1C23C1D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08AD7672" w14:textId="77777777" w:rsidTr="0092319D">
        <w:tc>
          <w:tcPr>
            <w:tcW w:w="4106" w:type="dxa"/>
            <w:tcBorders>
              <w:right w:val="nil"/>
            </w:tcBorders>
          </w:tcPr>
          <w:p w14:paraId="53F48D4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(≥0.5)</w:t>
            </w:r>
          </w:p>
        </w:tc>
        <w:tc>
          <w:tcPr>
            <w:tcW w:w="851" w:type="dxa"/>
            <w:tcBorders>
              <w:left w:val="nil"/>
            </w:tcBorders>
            <w:vAlign w:val="center"/>
          </w:tcPr>
          <w:p w14:paraId="67DC477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21E01F5F"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01A5B654"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SpliceAI delta score donor loss</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4D506FD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079E0616" w14:textId="77777777" w:rsidTr="0092319D">
        <w:tc>
          <w:tcPr>
            <w:tcW w:w="4106" w:type="dxa"/>
            <w:tcBorders>
              <w:top w:val="single" w:sz="4" w:space="0" w:color="auto"/>
              <w:right w:val="nil"/>
            </w:tcBorders>
          </w:tcPr>
          <w:p w14:paraId="2E20334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245C651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D2C00DB" w14:textId="77777777" w:rsidTr="0092319D">
        <w:tc>
          <w:tcPr>
            <w:tcW w:w="4106" w:type="dxa"/>
            <w:tcBorders>
              <w:right w:val="nil"/>
            </w:tcBorders>
          </w:tcPr>
          <w:p w14:paraId="545C235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lastRenderedPageBreak/>
              <w:t>Low (&gt;0, &lt;0.2)</w:t>
            </w:r>
          </w:p>
        </w:tc>
        <w:tc>
          <w:tcPr>
            <w:tcW w:w="851" w:type="dxa"/>
            <w:tcBorders>
              <w:left w:val="nil"/>
            </w:tcBorders>
            <w:vAlign w:val="center"/>
          </w:tcPr>
          <w:p w14:paraId="6DC517B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3645B883" w14:textId="77777777" w:rsidTr="0092319D">
        <w:tc>
          <w:tcPr>
            <w:tcW w:w="4106" w:type="dxa"/>
            <w:tcBorders>
              <w:right w:val="nil"/>
            </w:tcBorders>
          </w:tcPr>
          <w:p w14:paraId="5C2993B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(≥0.2, &lt;0.5)</w:t>
            </w:r>
          </w:p>
        </w:tc>
        <w:tc>
          <w:tcPr>
            <w:tcW w:w="851" w:type="dxa"/>
            <w:tcBorders>
              <w:left w:val="nil"/>
            </w:tcBorders>
            <w:vAlign w:val="center"/>
          </w:tcPr>
          <w:p w14:paraId="4214E29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50E7F400" w14:textId="77777777" w:rsidTr="0092319D">
        <w:tc>
          <w:tcPr>
            <w:tcW w:w="4106" w:type="dxa"/>
            <w:tcBorders>
              <w:right w:val="nil"/>
            </w:tcBorders>
          </w:tcPr>
          <w:p w14:paraId="2BC4448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(≥0.5)</w:t>
            </w:r>
          </w:p>
        </w:tc>
        <w:tc>
          <w:tcPr>
            <w:tcW w:w="851" w:type="dxa"/>
            <w:tcBorders>
              <w:left w:val="nil"/>
            </w:tcBorders>
            <w:vAlign w:val="center"/>
          </w:tcPr>
          <w:p w14:paraId="23856E5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6D887465" w14:textId="77777777" w:rsidR="00FA1D9C" w:rsidRPr="00D95AC0" w:rsidRDefault="00FA1D9C" w:rsidP="0092319D">
      <w:pPr>
        <w:rPr>
          <w:rFonts w:ascii="Times New Roman" w:hAnsi="Times New Roman" w:cs="Times New Roman"/>
          <w:lang w:val="en-GB"/>
        </w:rPr>
      </w:pPr>
    </w:p>
    <w:p w14:paraId="26E64313" w14:textId="77777777" w:rsidR="00FA1D9C" w:rsidRPr="00D95AC0" w:rsidRDefault="00FA1D9C" w:rsidP="0092319D">
      <w:pPr>
        <w:rPr>
          <w:rFonts w:ascii="Times New Roman" w:hAnsi="Times New Roman" w:cs="Times New Roman"/>
          <w:lang w:val="en-GB"/>
        </w:rPr>
      </w:pPr>
    </w:p>
    <w:p w14:paraId="6AA7F775" w14:textId="77777777" w:rsidR="00FA1D9C" w:rsidRPr="00D95AC0" w:rsidRDefault="00FA1D9C" w:rsidP="0092319D">
      <w:pPr>
        <w:rPr>
          <w:rFonts w:ascii="Times New Roman" w:hAnsi="Times New Roman" w:cs="Times New Roman"/>
          <w:lang w:val="en-GB"/>
        </w:rPr>
      </w:pPr>
    </w:p>
    <w:p w14:paraId="48CD2F40"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3. Consequence Score</w:t>
      </w:r>
    </w:p>
    <w:p w14:paraId="029A8BB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The consequence of the variant as predicted by VEP is assigned a Consequence Score. Some variants have multiple consequence terms, e.g., </w:t>
      </w:r>
      <w:proofErr w:type="spellStart"/>
      <w:r w:rsidRPr="00D95AC0">
        <w:rPr>
          <w:rFonts w:ascii="Times New Roman" w:hAnsi="Times New Roman" w:cs="Times New Roman"/>
          <w:lang w:val="en-GB"/>
        </w:rPr>
        <w:t>splice_donor_variant</w:t>
      </w:r>
      <w:proofErr w:type="spellEnd"/>
      <w:r w:rsidRPr="00D95AC0">
        <w:rPr>
          <w:rFonts w:ascii="Times New Roman" w:hAnsi="Times New Roman" w:cs="Times New Roman"/>
          <w:lang w:val="en-GB"/>
        </w:rPr>
        <w:t xml:space="preserve">, and </w:t>
      </w:r>
      <w:proofErr w:type="spellStart"/>
      <w:r w:rsidRPr="00D95AC0">
        <w:rPr>
          <w:rFonts w:ascii="Times New Roman" w:hAnsi="Times New Roman" w:cs="Times New Roman"/>
          <w:lang w:val="en-GB"/>
        </w:rPr>
        <w:t>non_coding_transcript_variant</w:t>
      </w:r>
      <w:proofErr w:type="spellEnd"/>
      <w:r w:rsidRPr="00D95AC0">
        <w:rPr>
          <w:rFonts w:ascii="Times New Roman" w:hAnsi="Times New Roman" w:cs="Times New Roman"/>
          <w:lang w:val="en-GB"/>
        </w:rPr>
        <w:t>, in which case the maximum consequence constitutes the Consequence Score.</w:t>
      </w:r>
    </w:p>
    <w:tbl>
      <w:tblPr>
        <w:tblStyle w:val="TableGrid"/>
        <w:tblW w:w="0" w:type="auto"/>
        <w:tblLook w:val="04A0" w:firstRow="1" w:lastRow="0" w:firstColumn="1" w:lastColumn="0" w:noHBand="0" w:noVBand="1"/>
      </w:tblPr>
      <w:tblGrid>
        <w:gridCol w:w="4106"/>
        <w:gridCol w:w="851"/>
      </w:tblGrid>
      <w:tr w:rsidR="00FA1D9C" w:rsidRPr="00D95AC0" w14:paraId="5DC0D3BC"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7DEF6AD5"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Consequence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64E26EC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6AF85C7E" w14:textId="77777777" w:rsidTr="0092319D">
        <w:tc>
          <w:tcPr>
            <w:tcW w:w="4106" w:type="dxa"/>
            <w:tcBorders>
              <w:top w:val="single" w:sz="4" w:space="0" w:color="auto"/>
              <w:right w:val="nil"/>
            </w:tcBorders>
          </w:tcPr>
          <w:p w14:paraId="4987AE69"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transcript_ablation</w:t>
            </w:r>
            <w:proofErr w:type="spellEnd"/>
          </w:p>
        </w:tc>
        <w:tc>
          <w:tcPr>
            <w:tcW w:w="851" w:type="dxa"/>
            <w:tcBorders>
              <w:top w:val="single" w:sz="4" w:space="0" w:color="auto"/>
              <w:left w:val="nil"/>
              <w:bottom w:val="single" w:sz="4" w:space="0" w:color="auto"/>
            </w:tcBorders>
          </w:tcPr>
          <w:p w14:paraId="753AC72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10</w:t>
            </w:r>
          </w:p>
        </w:tc>
      </w:tr>
      <w:tr w:rsidR="00FA1D9C" w:rsidRPr="00D95AC0" w14:paraId="4F411778" w14:textId="77777777" w:rsidTr="0092319D">
        <w:tc>
          <w:tcPr>
            <w:tcW w:w="4106" w:type="dxa"/>
            <w:tcBorders>
              <w:right w:val="nil"/>
            </w:tcBorders>
          </w:tcPr>
          <w:p w14:paraId="550148E1"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initiator_codon_variant</w:t>
            </w:r>
            <w:proofErr w:type="spellEnd"/>
          </w:p>
        </w:tc>
        <w:tc>
          <w:tcPr>
            <w:tcW w:w="851" w:type="dxa"/>
            <w:tcBorders>
              <w:left w:val="nil"/>
            </w:tcBorders>
          </w:tcPr>
          <w:p w14:paraId="2D55CA5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9</w:t>
            </w:r>
          </w:p>
        </w:tc>
      </w:tr>
      <w:tr w:rsidR="00FA1D9C" w:rsidRPr="00D95AC0" w14:paraId="4A37CF2E" w14:textId="77777777" w:rsidTr="0092319D">
        <w:tc>
          <w:tcPr>
            <w:tcW w:w="4106" w:type="dxa"/>
            <w:tcBorders>
              <w:right w:val="nil"/>
            </w:tcBorders>
          </w:tcPr>
          <w:p w14:paraId="0F2E2D97"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frameshift_variant</w:t>
            </w:r>
            <w:proofErr w:type="spellEnd"/>
          </w:p>
        </w:tc>
        <w:tc>
          <w:tcPr>
            <w:tcW w:w="851" w:type="dxa"/>
            <w:tcBorders>
              <w:left w:val="nil"/>
            </w:tcBorders>
          </w:tcPr>
          <w:p w14:paraId="7997A8E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203ACB37" w14:textId="77777777" w:rsidTr="0092319D">
        <w:tc>
          <w:tcPr>
            <w:tcW w:w="4106" w:type="dxa"/>
            <w:tcBorders>
              <w:right w:val="nil"/>
            </w:tcBorders>
          </w:tcPr>
          <w:p w14:paraId="5A13FE23"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stop_gained</w:t>
            </w:r>
            <w:proofErr w:type="spellEnd"/>
          </w:p>
        </w:tc>
        <w:tc>
          <w:tcPr>
            <w:tcW w:w="851" w:type="dxa"/>
            <w:tcBorders>
              <w:left w:val="nil"/>
            </w:tcBorders>
          </w:tcPr>
          <w:p w14:paraId="4C096A2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652808D2" w14:textId="77777777" w:rsidTr="0092319D">
        <w:tc>
          <w:tcPr>
            <w:tcW w:w="4106" w:type="dxa"/>
            <w:tcBorders>
              <w:right w:val="nil"/>
            </w:tcBorders>
          </w:tcPr>
          <w:p w14:paraId="0A92BD6C"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start_lost</w:t>
            </w:r>
            <w:proofErr w:type="spellEnd"/>
          </w:p>
        </w:tc>
        <w:tc>
          <w:tcPr>
            <w:tcW w:w="851" w:type="dxa"/>
            <w:tcBorders>
              <w:left w:val="nil"/>
            </w:tcBorders>
          </w:tcPr>
          <w:p w14:paraId="3A7993C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72607422" w14:textId="77777777" w:rsidTr="0092319D">
        <w:tc>
          <w:tcPr>
            <w:tcW w:w="4106" w:type="dxa"/>
            <w:tcBorders>
              <w:right w:val="nil"/>
            </w:tcBorders>
          </w:tcPr>
          <w:p w14:paraId="4BE748F7"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stop_lost</w:t>
            </w:r>
            <w:proofErr w:type="spellEnd"/>
          </w:p>
        </w:tc>
        <w:tc>
          <w:tcPr>
            <w:tcW w:w="851" w:type="dxa"/>
            <w:tcBorders>
              <w:left w:val="nil"/>
            </w:tcBorders>
          </w:tcPr>
          <w:p w14:paraId="02E6FC0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57181946" w14:textId="77777777" w:rsidTr="0092319D">
        <w:tc>
          <w:tcPr>
            <w:tcW w:w="4106" w:type="dxa"/>
            <w:tcBorders>
              <w:right w:val="nil"/>
            </w:tcBorders>
          </w:tcPr>
          <w:p w14:paraId="79542E64"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splice_acceptor_variant</w:t>
            </w:r>
            <w:proofErr w:type="spellEnd"/>
          </w:p>
        </w:tc>
        <w:tc>
          <w:tcPr>
            <w:tcW w:w="851" w:type="dxa"/>
            <w:tcBorders>
              <w:left w:val="nil"/>
            </w:tcBorders>
          </w:tcPr>
          <w:p w14:paraId="2D84B4C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4CA45500" w14:textId="77777777" w:rsidTr="0092319D">
        <w:tc>
          <w:tcPr>
            <w:tcW w:w="4106" w:type="dxa"/>
            <w:tcBorders>
              <w:right w:val="nil"/>
            </w:tcBorders>
          </w:tcPr>
          <w:p w14:paraId="528E6A3F"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splice_donor_variant</w:t>
            </w:r>
            <w:proofErr w:type="spellEnd"/>
          </w:p>
        </w:tc>
        <w:tc>
          <w:tcPr>
            <w:tcW w:w="851" w:type="dxa"/>
            <w:tcBorders>
              <w:left w:val="nil"/>
            </w:tcBorders>
          </w:tcPr>
          <w:p w14:paraId="3C8EC83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8</w:t>
            </w:r>
          </w:p>
        </w:tc>
      </w:tr>
      <w:tr w:rsidR="00FA1D9C" w:rsidRPr="00D95AC0" w14:paraId="5BD5CE69" w14:textId="77777777" w:rsidTr="0092319D">
        <w:tc>
          <w:tcPr>
            <w:tcW w:w="4106" w:type="dxa"/>
            <w:tcBorders>
              <w:right w:val="nil"/>
            </w:tcBorders>
          </w:tcPr>
          <w:p w14:paraId="575DCB79"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inframe_deletion</w:t>
            </w:r>
            <w:proofErr w:type="spellEnd"/>
          </w:p>
        </w:tc>
        <w:tc>
          <w:tcPr>
            <w:tcW w:w="851" w:type="dxa"/>
            <w:tcBorders>
              <w:left w:val="nil"/>
            </w:tcBorders>
          </w:tcPr>
          <w:p w14:paraId="4453BF1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7227D746" w14:textId="77777777" w:rsidTr="0092319D">
        <w:tc>
          <w:tcPr>
            <w:tcW w:w="4106" w:type="dxa"/>
            <w:tcBorders>
              <w:right w:val="nil"/>
            </w:tcBorders>
          </w:tcPr>
          <w:p w14:paraId="345C66D1"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transcript_amplification</w:t>
            </w:r>
            <w:proofErr w:type="spellEnd"/>
          </w:p>
        </w:tc>
        <w:tc>
          <w:tcPr>
            <w:tcW w:w="851" w:type="dxa"/>
            <w:tcBorders>
              <w:left w:val="nil"/>
            </w:tcBorders>
          </w:tcPr>
          <w:p w14:paraId="57E11D2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13F3D4B5" w14:textId="77777777" w:rsidTr="0092319D">
        <w:tc>
          <w:tcPr>
            <w:tcW w:w="4106" w:type="dxa"/>
            <w:tcBorders>
              <w:right w:val="nil"/>
            </w:tcBorders>
          </w:tcPr>
          <w:p w14:paraId="7D7A9987"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splice_region_variant</w:t>
            </w:r>
            <w:proofErr w:type="spellEnd"/>
          </w:p>
        </w:tc>
        <w:tc>
          <w:tcPr>
            <w:tcW w:w="851" w:type="dxa"/>
            <w:tcBorders>
              <w:left w:val="nil"/>
            </w:tcBorders>
          </w:tcPr>
          <w:p w14:paraId="6360CF0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5EC6856E" w14:textId="77777777" w:rsidTr="0092319D">
        <w:tc>
          <w:tcPr>
            <w:tcW w:w="4106" w:type="dxa"/>
            <w:tcBorders>
              <w:right w:val="nil"/>
            </w:tcBorders>
          </w:tcPr>
          <w:p w14:paraId="0C33D2F6"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missense_variant</w:t>
            </w:r>
            <w:proofErr w:type="spellEnd"/>
          </w:p>
        </w:tc>
        <w:tc>
          <w:tcPr>
            <w:tcW w:w="851" w:type="dxa"/>
            <w:tcBorders>
              <w:left w:val="nil"/>
            </w:tcBorders>
          </w:tcPr>
          <w:p w14:paraId="3B30EB7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61BEA4F5" w14:textId="77777777" w:rsidTr="0092319D">
        <w:tc>
          <w:tcPr>
            <w:tcW w:w="4106" w:type="dxa"/>
            <w:tcBorders>
              <w:right w:val="nil"/>
            </w:tcBorders>
          </w:tcPr>
          <w:p w14:paraId="00F9AC33"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protein_altering_variant</w:t>
            </w:r>
            <w:proofErr w:type="spellEnd"/>
          </w:p>
        </w:tc>
        <w:tc>
          <w:tcPr>
            <w:tcW w:w="851" w:type="dxa"/>
            <w:tcBorders>
              <w:left w:val="nil"/>
            </w:tcBorders>
          </w:tcPr>
          <w:p w14:paraId="054FCED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7C67BB9C" w14:textId="77777777" w:rsidTr="0092319D">
        <w:tc>
          <w:tcPr>
            <w:tcW w:w="4106" w:type="dxa"/>
            <w:tcBorders>
              <w:right w:val="nil"/>
            </w:tcBorders>
          </w:tcPr>
          <w:p w14:paraId="69CB3FB3"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inframe_insertion</w:t>
            </w:r>
            <w:proofErr w:type="spellEnd"/>
          </w:p>
        </w:tc>
        <w:tc>
          <w:tcPr>
            <w:tcW w:w="851" w:type="dxa"/>
            <w:tcBorders>
              <w:left w:val="nil"/>
            </w:tcBorders>
          </w:tcPr>
          <w:p w14:paraId="355797C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610F21EC" w14:textId="77777777" w:rsidTr="0092319D">
        <w:tc>
          <w:tcPr>
            <w:tcW w:w="4106" w:type="dxa"/>
            <w:tcBorders>
              <w:right w:val="nil"/>
            </w:tcBorders>
          </w:tcPr>
          <w:p w14:paraId="32954097"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incomplete_terminal_codon_variant</w:t>
            </w:r>
            <w:proofErr w:type="spellEnd"/>
          </w:p>
        </w:tc>
        <w:tc>
          <w:tcPr>
            <w:tcW w:w="851" w:type="dxa"/>
            <w:tcBorders>
              <w:left w:val="nil"/>
            </w:tcBorders>
          </w:tcPr>
          <w:p w14:paraId="22DBB08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57A2EDD5" w14:textId="77777777" w:rsidTr="0092319D">
        <w:tc>
          <w:tcPr>
            <w:tcW w:w="4106" w:type="dxa"/>
            <w:tcBorders>
              <w:right w:val="nil"/>
            </w:tcBorders>
          </w:tcPr>
          <w:p w14:paraId="1C954B81"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non_coding_transcript_exon_variant</w:t>
            </w:r>
            <w:proofErr w:type="spellEnd"/>
          </w:p>
        </w:tc>
        <w:tc>
          <w:tcPr>
            <w:tcW w:w="851" w:type="dxa"/>
            <w:tcBorders>
              <w:left w:val="nil"/>
            </w:tcBorders>
          </w:tcPr>
          <w:p w14:paraId="267E558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7F3F8E76" w14:textId="77777777" w:rsidTr="0092319D">
        <w:tc>
          <w:tcPr>
            <w:tcW w:w="4106" w:type="dxa"/>
            <w:tcBorders>
              <w:right w:val="nil"/>
            </w:tcBorders>
          </w:tcPr>
          <w:p w14:paraId="208AF885"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synonymous_variant</w:t>
            </w:r>
            <w:proofErr w:type="spellEnd"/>
          </w:p>
        </w:tc>
        <w:tc>
          <w:tcPr>
            <w:tcW w:w="851" w:type="dxa"/>
            <w:tcBorders>
              <w:left w:val="nil"/>
            </w:tcBorders>
          </w:tcPr>
          <w:p w14:paraId="0E6CCEA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7F656AE0" w14:textId="77777777" w:rsidTr="0092319D">
        <w:tc>
          <w:tcPr>
            <w:tcW w:w="4106" w:type="dxa"/>
            <w:tcBorders>
              <w:right w:val="nil"/>
            </w:tcBorders>
          </w:tcPr>
          <w:p w14:paraId="444949DD"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mature_mirna_variant</w:t>
            </w:r>
            <w:proofErr w:type="spellEnd"/>
          </w:p>
        </w:tc>
        <w:tc>
          <w:tcPr>
            <w:tcW w:w="851" w:type="dxa"/>
            <w:tcBorders>
              <w:left w:val="nil"/>
            </w:tcBorders>
          </w:tcPr>
          <w:p w14:paraId="4AA38D0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85A9000" w14:textId="77777777" w:rsidTr="0092319D">
        <w:tc>
          <w:tcPr>
            <w:tcW w:w="4106" w:type="dxa"/>
            <w:tcBorders>
              <w:right w:val="nil"/>
            </w:tcBorders>
          </w:tcPr>
          <w:p w14:paraId="70C21BD1"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non_coding_transcript_variant</w:t>
            </w:r>
            <w:proofErr w:type="spellEnd"/>
          </w:p>
        </w:tc>
        <w:tc>
          <w:tcPr>
            <w:tcW w:w="851" w:type="dxa"/>
            <w:tcBorders>
              <w:left w:val="nil"/>
            </w:tcBorders>
          </w:tcPr>
          <w:p w14:paraId="61B2184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4FDEAC4D" w14:textId="77777777" w:rsidTr="0092319D">
        <w:tc>
          <w:tcPr>
            <w:tcW w:w="4106" w:type="dxa"/>
            <w:tcBorders>
              <w:right w:val="nil"/>
            </w:tcBorders>
          </w:tcPr>
          <w:p w14:paraId="1552FD8F"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regulatory_region_variant</w:t>
            </w:r>
            <w:proofErr w:type="spellEnd"/>
          </w:p>
        </w:tc>
        <w:tc>
          <w:tcPr>
            <w:tcW w:w="851" w:type="dxa"/>
            <w:tcBorders>
              <w:left w:val="nil"/>
            </w:tcBorders>
          </w:tcPr>
          <w:p w14:paraId="2BD61B3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1211F58" w14:textId="77777777" w:rsidTr="0092319D">
        <w:tc>
          <w:tcPr>
            <w:tcW w:w="4106" w:type="dxa"/>
            <w:tcBorders>
              <w:right w:val="nil"/>
            </w:tcBorders>
          </w:tcPr>
          <w:p w14:paraId="2C84DCF7"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upstream_gene_variant</w:t>
            </w:r>
            <w:proofErr w:type="spellEnd"/>
          </w:p>
        </w:tc>
        <w:tc>
          <w:tcPr>
            <w:tcW w:w="851" w:type="dxa"/>
            <w:tcBorders>
              <w:left w:val="nil"/>
            </w:tcBorders>
          </w:tcPr>
          <w:p w14:paraId="001DC52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5B152957" w14:textId="77777777" w:rsidTr="0092319D">
        <w:tc>
          <w:tcPr>
            <w:tcW w:w="4106" w:type="dxa"/>
            <w:tcBorders>
              <w:right w:val="nil"/>
            </w:tcBorders>
          </w:tcPr>
          <w:p w14:paraId="3EBC32F6"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regulatory_region_amplification</w:t>
            </w:r>
            <w:proofErr w:type="spellEnd"/>
          </w:p>
        </w:tc>
        <w:tc>
          <w:tcPr>
            <w:tcW w:w="851" w:type="dxa"/>
            <w:tcBorders>
              <w:left w:val="nil"/>
            </w:tcBorders>
          </w:tcPr>
          <w:p w14:paraId="54FBCDD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43C54EFA" w14:textId="77777777" w:rsidTr="0092319D">
        <w:tc>
          <w:tcPr>
            <w:tcW w:w="4106" w:type="dxa"/>
            <w:tcBorders>
              <w:right w:val="nil"/>
            </w:tcBorders>
          </w:tcPr>
          <w:p w14:paraId="55DFE631"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tfbs_amplification</w:t>
            </w:r>
            <w:proofErr w:type="spellEnd"/>
          </w:p>
        </w:tc>
        <w:tc>
          <w:tcPr>
            <w:tcW w:w="851" w:type="dxa"/>
            <w:tcBorders>
              <w:left w:val="nil"/>
            </w:tcBorders>
          </w:tcPr>
          <w:p w14:paraId="098EBBB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2ACE0067" w14:textId="77777777" w:rsidTr="0092319D">
        <w:tc>
          <w:tcPr>
            <w:tcW w:w="4106" w:type="dxa"/>
            <w:tcBorders>
              <w:right w:val="nil"/>
            </w:tcBorders>
          </w:tcPr>
          <w:p w14:paraId="0373965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5_prime_utr_variant</w:t>
            </w:r>
          </w:p>
        </w:tc>
        <w:tc>
          <w:tcPr>
            <w:tcW w:w="851" w:type="dxa"/>
            <w:tcBorders>
              <w:left w:val="nil"/>
            </w:tcBorders>
          </w:tcPr>
          <w:p w14:paraId="045ACF4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69A61DD" w14:textId="77777777" w:rsidTr="0092319D">
        <w:tc>
          <w:tcPr>
            <w:tcW w:w="4106" w:type="dxa"/>
            <w:tcBorders>
              <w:right w:val="nil"/>
            </w:tcBorders>
          </w:tcPr>
          <w:p w14:paraId="3BF238B3"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intron_variant</w:t>
            </w:r>
            <w:proofErr w:type="spellEnd"/>
          </w:p>
        </w:tc>
        <w:tc>
          <w:tcPr>
            <w:tcW w:w="851" w:type="dxa"/>
            <w:tcBorders>
              <w:left w:val="nil"/>
            </w:tcBorders>
          </w:tcPr>
          <w:p w14:paraId="5675F73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570A7CEE" w14:textId="77777777" w:rsidTr="0092319D">
        <w:tc>
          <w:tcPr>
            <w:tcW w:w="4106" w:type="dxa"/>
            <w:tcBorders>
              <w:right w:val="nil"/>
            </w:tcBorders>
          </w:tcPr>
          <w:p w14:paraId="6BA8FD1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3_prime_utr_variant</w:t>
            </w:r>
          </w:p>
        </w:tc>
        <w:tc>
          <w:tcPr>
            <w:tcW w:w="851" w:type="dxa"/>
            <w:tcBorders>
              <w:left w:val="nil"/>
            </w:tcBorders>
          </w:tcPr>
          <w:p w14:paraId="4D01BF0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392C606" w14:textId="77777777" w:rsidTr="0092319D">
        <w:tc>
          <w:tcPr>
            <w:tcW w:w="4106" w:type="dxa"/>
            <w:tcBorders>
              <w:right w:val="nil"/>
            </w:tcBorders>
          </w:tcPr>
          <w:p w14:paraId="4867AD4C"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feature_truncation</w:t>
            </w:r>
            <w:proofErr w:type="spellEnd"/>
          </w:p>
        </w:tc>
        <w:tc>
          <w:tcPr>
            <w:tcW w:w="851" w:type="dxa"/>
            <w:tcBorders>
              <w:left w:val="nil"/>
            </w:tcBorders>
          </w:tcPr>
          <w:p w14:paraId="4C70199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7223D16" w14:textId="77777777" w:rsidTr="0092319D">
        <w:tc>
          <w:tcPr>
            <w:tcW w:w="4106" w:type="dxa"/>
            <w:tcBorders>
              <w:right w:val="nil"/>
            </w:tcBorders>
          </w:tcPr>
          <w:p w14:paraId="30C37393"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TF_binding_site_variant</w:t>
            </w:r>
            <w:proofErr w:type="spellEnd"/>
          </w:p>
        </w:tc>
        <w:tc>
          <w:tcPr>
            <w:tcW w:w="851" w:type="dxa"/>
            <w:tcBorders>
              <w:left w:val="nil"/>
            </w:tcBorders>
          </w:tcPr>
          <w:p w14:paraId="5535AC5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2B21E09D" w14:textId="77777777" w:rsidTr="0092319D">
        <w:tc>
          <w:tcPr>
            <w:tcW w:w="4106" w:type="dxa"/>
            <w:tcBorders>
              <w:right w:val="nil"/>
            </w:tcBorders>
          </w:tcPr>
          <w:p w14:paraId="478E2B8A"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stop_retained_variant</w:t>
            </w:r>
            <w:proofErr w:type="spellEnd"/>
          </w:p>
        </w:tc>
        <w:tc>
          <w:tcPr>
            <w:tcW w:w="851" w:type="dxa"/>
            <w:tcBorders>
              <w:left w:val="nil"/>
            </w:tcBorders>
          </w:tcPr>
          <w:p w14:paraId="34292FF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3A04344" w14:textId="77777777" w:rsidTr="0092319D">
        <w:tc>
          <w:tcPr>
            <w:tcW w:w="4106" w:type="dxa"/>
            <w:tcBorders>
              <w:right w:val="nil"/>
            </w:tcBorders>
          </w:tcPr>
          <w:p w14:paraId="4DB29E42"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feature_elongation</w:t>
            </w:r>
            <w:proofErr w:type="spellEnd"/>
          </w:p>
        </w:tc>
        <w:tc>
          <w:tcPr>
            <w:tcW w:w="851" w:type="dxa"/>
            <w:tcBorders>
              <w:left w:val="nil"/>
            </w:tcBorders>
          </w:tcPr>
          <w:p w14:paraId="586E1EC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6130459A" w14:textId="77777777" w:rsidTr="0092319D">
        <w:tc>
          <w:tcPr>
            <w:tcW w:w="4106" w:type="dxa"/>
            <w:tcBorders>
              <w:right w:val="nil"/>
            </w:tcBorders>
          </w:tcPr>
          <w:p w14:paraId="0641424D"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regulatory_region_ablation</w:t>
            </w:r>
            <w:proofErr w:type="spellEnd"/>
          </w:p>
        </w:tc>
        <w:tc>
          <w:tcPr>
            <w:tcW w:w="851" w:type="dxa"/>
            <w:tcBorders>
              <w:left w:val="nil"/>
            </w:tcBorders>
          </w:tcPr>
          <w:p w14:paraId="1099391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546C5AB4" w14:textId="77777777" w:rsidTr="0092319D">
        <w:tc>
          <w:tcPr>
            <w:tcW w:w="4106" w:type="dxa"/>
            <w:tcBorders>
              <w:right w:val="nil"/>
            </w:tcBorders>
          </w:tcPr>
          <w:p w14:paraId="13EB16C4"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tfbs_ablation</w:t>
            </w:r>
            <w:proofErr w:type="spellEnd"/>
          </w:p>
        </w:tc>
        <w:tc>
          <w:tcPr>
            <w:tcW w:w="851" w:type="dxa"/>
            <w:tcBorders>
              <w:left w:val="nil"/>
            </w:tcBorders>
          </w:tcPr>
          <w:p w14:paraId="3CD50D4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6771327" w14:textId="77777777" w:rsidTr="0092319D">
        <w:tc>
          <w:tcPr>
            <w:tcW w:w="4106" w:type="dxa"/>
            <w:tcBorders>
              <w:right w:val="nil"/>
            </w:tcBorders>
          </w:tcPr>
          <w:p w14:paraId="5BE07E69"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coding_sequence_variant</w:t>
            </w:r>
            <w:proofErr w:type="spellEnd"/>
          </w:p>
        </w:tc>
        <w:tc>
          <w:tcPr>
            <w:tcW w:w="851" w:type="dxa"/>
            <w:tcBorders>
              <w:left w:val="nil"/>
            </w:tcBorders>
          </w:tcPr>
          <w:p w14:paraId="4E5E65E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ACED824" w14:textId="77777777" w:rsidTr="0092319D">
        <w:tc>
          <w:tcPr>
            <w:tcW w:w="4106" w:type="dxa"/>
            <w:tcBorders>
              <w:right w:val="nil"/>
            </w:tcBorders>
          </w:tcPr>
          <w:p w14:paraId="71266B4C"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lastRenderedPageBreak/>
              <w:t>downstream_gene_variant</w:t>
            </w:r>
            <w:proofErr w:type="spellEnd"/>
          </w:p>
        </w:tc>
        <w:tc>
          <w:tcPr>
            <w:tcW w:w="851" w:type="dxa"/>
            <w:tcBorders>
              <w:left w:val="nil"/>
            </w:tcBorders>
          </w:tcPr>
          <w:p w14:paraId="69EF424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7425A6ED" w14:textId="77777777" w:rsidTr="0092319D">
        <w:tc>
          <w:tcPr>
            <w:tcW w:w="4106" w:type="dxa"/>
            <w:tcBorders>
              <w:right w:val="nil"/>
            </w:tcBorders>
          </w:tcPr>
          <w:p w14:paraId="0C46ACF5"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NMD_transcript_variant</w:t>
            </w:r>
            <w:proofErr w:type="spellEnd"/>
          </w:p>
        </w:tc>
        <w:tc>
          <w:tcPr>
            <w:tcW w:w="851" w:type="dxa"/>
            <w:tcBorders>
              <w:left w:val="nil"/>
            </w:tcBorders>
          </w:tcPr>
          <w:p w14:paraId="0E65D83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AC3FDE1" w14:textId="77777777" w:rsidTr="0092319D">
        <w:tc>
          <w:tcPr>
            <w:tcW w:w="4106" w:type="dxa"/>
            <w:tcBorders>
              <w:right w:val="nil"/>
            </w:tcBorders>
          </w:tcPr>
          <w:p w14:paraId="6381BB38" w14:textId="77777777" w:rsidR="00FA1D9C" w:rsidRPr="00D95AC0" w:rsidRDefault="00FA1D9C" w:rsidP="0092319D">
            <w:pPr>
              <w:rPr>
                <w:rFonts w:ascii="Times New Roman" w:hAnsi="Times New Roman" w:cs="Times New Roman"/>
                <w:lang w:val="en-GB"/>
              </w:rPr>
            </w:pPr>
            <w:proofErr w:type="spellStart"/>
            <w:r w:rsidRPr="00D95AC0">
              <w:rPr>
                <w:rFonts w:ascii="Times New Roman" w:hAnsi="Times New Roman" w:cs="Times New Roman"/>
                <w:lang w:val="en-GB"/>
              </w:rPr>
              <w:t>intergenic_variant</w:t>
            </w:r>
            <w:proofErr w:type="spellEnd"/>
          </w:p>
        </w:tc>
        <w:tc>
          <w:tcPr>
            <w:tcW w:w="851" w:type="dxa"/>
            <w:tcBorders>
              <w:left w:val="nil"/>
            </w:tcBorders>
          </w:tcPr>
          <w:p w14:paraId="02F84D8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F5CA6CC" w14:textId="77777777" w:rsidTr="0092319D">
        <w:tc>
          <w:tcPr>
            <w:tcW w:w="4106" w:type="dxa"/>
            <w:tcBorders>
              <w:right w:val="nil"/>
            </w:tcBorders>
          </w:tcPr>
          <w:p w14:paraId="1BEF6A8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left w:val="nil"/>
            </w:tcBorders>
          </w:tcPr>
          <w:p w14:paraId="4AD7441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bl>
    <w:p w14:paraId="6077C051" w14:textId="77777777" w:rsidR="00FA1D9C" w:rsidRPr="00D95AC0" w:rsidRDefault="00FA1D9C" w:rsidP="0092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val="en-GB"/>
        </w:rPr>
      </w:pPr>
    </w:p>
    <w:p w14:paraId="6D19C5F4"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4. Gene Intolerance Score</w:t>
      </w:r>
    </w:p>
    <w:p w14:paraId="10CC1C6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The Gene Intolerance Score was obtained from LoFtool,</w:t>
      </w:r>
      <w:r w:rsidRPr="00D95AC0">
        <w:rPr>
          <w:rFonts w:ascii="Times New Roman" w:hAnsi="Times New Roman" w:cs="Times New Roman"/>
          <w:noProof/>
          <w:vertAlign w:val="superscript"/>
          <w:lang w:val="en-GB"/>
        </w:rPr>
        <w:t>11</w:t>
      </w:r>
      <w:r w:rsidRPr="00D95AC0">
        <w:rPr>
          <w:rFonts w:ascii="Times New Roman" w:hAnsi="Times New Roman" w:cs="Times New Roman"/>
          <w:lang w:val="en-GB"/>
        </w:rPr>
        <w:t xml:space="preserve"> which predicts gene intolerance based on the ratio of loss of function to synonymous variants in subjects from the </w:t>
      </w:r>
      <w:proofErr w:type="spellStart"/>
      <w:r w:rsidRPr="00D95AC0">
        <w:rPr>
          <w:rFonts w:ascii="Times New Roman" w:hAnsi="Times New Roman" w:cs="Times New Roman"/>
          <w:lang w:val="en-GB"/>
        </w:rPr>
        <w:t>ExAC</w:t>
      </w:r>
      <w:proofErr w:type="spellEnd"/>
      <w:r w:rsidRPr="00D95AC0">
        <w:rPr>
          <w:rFonts w:ascii="Times New Roman" w:hAnsi="Times New Roman" w:cs="Times New Roman"/>
          <w:lang w:val="en-GB"/>
        </w:rPr>
        <w:t xml:space="preserve"> database. The </w:t>
      </w:r>
      <w:proofErr w:type="spellStart"/>
      <w:r w:rsidRPr="00D95AC0">
        <w:rPr>
          <w:rFonts w:ascii="Times New Roman" w:hAnsi="Times New Roman" w:cs="Times New Roman"/>
          <w:lang w:val="en-GB"/>
        </w:rPr>
        <w:t>LoFtool</w:t>
      </w:r>
      <w:proofErr w:type="spellEnd"/>
      <w:r w:rsidRPr="00D95AC0">
        <w:rPr>
          <w:rFonts w:ascii="Times New Roman" w:hAnsi="Times New Roman" w:cs="Times New Roman"/>
          <w:lang w:val="en-GB"/>
        </w:rPr>
        <w:t xml:space="preserve"> score was obtained using a plugin to VEP.</w:t>
      </w:r>
    </w:p>
    <w:tbl>
      <w:tblPr>
        <w:tblStyle w:val="TableGrid"/>
        <w:tblW w:w="0" w:type="auto"/>
        <w:tblLook w:val="04A0" w:firstRow="1" w:lastRow="0" w:firstColumn="1" w:lastColumn="0" w:noHBand="0" w:noVBand="1"/>
      </w:tblPr>
      <w:tblGrid>
        <w:gridCol w:w="4106"/>
        <w:gridCol w:w="851"/>
      </w:tblGrid>
      <w:tr w:rsidR="00FA1D9C" w:rsidRPr="00D95AC0" w14:paraId="156C99CD"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016956BC" w14:textId="77777777" w:rsidR="00FA1D9C" w:rsidRPr="00D95AC0" w:rsidRDefault="00FA1D9C" w:rsidP="0092319D">
            <w:pPr>
              <w:rPr>
                <w:rFonts w:ascii="Times New Roman" w:hAnsi="Times New Roman" w:cs="Times New Roman"/>
                <w:b/>
                <w:bCs/>
                <w:lang w:val="en-GB"/>
              </w:rPr>
            </w:pPr>
            <w:proofErr w:type="spellStart"/>
            <w:r w:rsidRPr="00D95AC0">
              <w:rPr>
                <w:rFonts w:ascii="Times New Roman" w:hAnsi="Times New Roman" w:cs="Times New Roman"/>
                <w:b/>
                <w:bCs/>
                <w:lang w:val="en-GB"/>
              </w:rPr>
              <w:t>LoFtool</w:t>
            </w:r>
            <w:proofErr w:type="spellEnd"/>
            <w:r w:rsidRPr="00D95AC0">
              <w:rPr>
                <w:rFonts w:ascii="Times New Roman" w:hAnsi="Times New Roman" w:cs="Times New Roman"/>
                <w:b/>
                <w:bCs/>
                <w:lang w:val="en-GB"/>
              </w:rPr>
              <w:t xml:space="preserve"> score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4131253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4070DA27" w14:textId="77777777" w:rsidTr="0092319D">
        <w:tc>
          <w:tcPr>
            <w:tcW w:w="4106" w:type="dxa"/>
            <w:tcBorders>
              <w:top w:val="single" w:sz="4" w:space="0" w:color="auto"/>
              <w:right w:val="nil"/>
            </w:tcBorders>
          </w:tcPr>
          <w:p w14:paraId="025519F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15D250C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7EC69127" w14:textId="77777777" w:rsidTr="0092319D">
        <w:tc>
          <w:tcPr>
            <w:tcW w:w="4106" w:type="dxa"/>
            <w:tcBorders>
              <w:right w:val="nil"/>
            </w:tcBorders>
          </w:tcPr>
          <w:p w14:paraId="446DD31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intolerance (≥0, ≤0.01)</w:t>
            </w:r>
          </w:p>
        </w:tc>
        <w:tc>
          <w:tcPr>
            <w:tcW w:w="851" w:type="dxa"/>
            <w:tcBorders>
              <w:left w:val="nil"/>
            </w:tcBorders>
            <w:vAlign w:val="center"/>
          </w:tcPr>
          <w:p w14:paraId="44474FA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4</w:t>
            </w:r>
          </w:p>
        </w:tc>
      </w:tr>
      <w:tr w:rsidR="00FA1D9C" w:rsidRPr="00D95AC0" w14:paraId="7BA431BD" w14:textId="77777777" w:rsidTr="0092319D">
        <w:tc>
          <w:tcPr>
            <w:tcW w:w="4106" w:type="dxa"/>
            <w:tcBorders>
              <w:right w:val="nil"/>
            </w:tcBorders>
          </w:tcPr>
          <w:p w14:paraId="22BB71D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intolerance (&gt;0.01, ≤0.1)</w:t>
            </w:r>
          </w:p>
        </w:tc>
        <w:tc>
          <w:tcPr>
            <w:tcW w:w="851" w:type="dxa"/>
            <w:tcBorders>
              <w:left w:val="nil"/>
            </w:tcBorders>
            <w:vAlign w:val="center"/>
          </w:tcPr>
          <w:p w14:paraId="0C0A211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3D7C89FB" w14:textId="77777777" w:rsidTr="0092319D">
        <w:tc>
          <w:tcPr>
            <w:tcW w:w="4106" w:type="dxa"/>
            <w:tcBorders>
              <w:right w:val="nil"/>
            </w:tcBorders>
          </w:tcPr>
          <w:p w14:paraId="65151D5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intolerance (&gt;0.1)</w:t>
            </w:r>
          </w:p>
        </w:tc>
        <w:tc>
          <w:tcPr>
            <w:tcW w:w="851" w:type="dxa"/>
            <w:tcBorders>
              <w:left w:val="nil"/>
            </w:tcBorders>
            <w:vAlign w:val="center"/>
          </w:tcPr>
          <w:p w14:paraId="7612776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bl>
    <w:p w14:paraId="6DC645E9" w14:textId="77777777" w:rsidR="00FA1D9C" w:rsidRPr="00D95AC0" w:rsidRDefault="00FA1D9C" w:rsidP="0092319D">
      <w:pPr>
        <w:rPr>
          <w:rFonts w:ascii="Times New Roman" w:hAnsi="Times New Roman" w:cs="Times New Roman"/>
          <w:lang w:val="en-GB"/>
        </w:rPr>
      </w:pPr>
    </w:p>
    <w:p w14:paraId="6A74F2C7"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5. Conservation Score</w:t>
      </w:r>
    </w:p>
    <w:p w14:paraId="2392B54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Evolutionary locus conservation was assessed using three models, GERP++_RS score,</w:t>
      </w:r>
      <w:r w:rsidRPr="00D95AC0">
        <w:rPr>
          <w:rFonts w:ascii="Times New Roman" w:hAnsi="Times New Roman" w:cs="Times New Roman"/>
          <w:noProof/>
          <w:vertAlign w:val="superscript"/>
          <w:lang w:val="en-GB"/>
        </w:rPr>
        <w:t>12</w:t>
      </w:r>
      <w:r w:rsidRPr="00D95AC0">
        <w:rPr>
          <w:rFonts w:ascii="Times New Roman" w:hAnsi="Times New Roman" w:cs="Times New Roman"/>
          <w:lang w:val="en-GB"/>
        </w:rPr>
        <w:t xml:space="preserve"> </w:t>
      </w:r>
      <w:proofErr w:type="spellStart"/>
      <w:r w:rsidRPr="00D95AC0">
        <w:rPr>
          <w:rFonts w:ascii="Times New Roman" w:hAnsi="Times New Roman" w:cs="Times New Roman"/>
          <w:lang w:val="en-GB"/>
        </w:rPr>
        <w:t>phastCons</w:t>
      </w:r>
      <w:proofErr w:type="spellEnd"/>
      <w:r w:rsidRPr="00D95AC0">
        <w:rPr>
          <w:rFonts w:ascii="Times New Roman" w:hAnsi="Times New Roman" w:cs="Times New Roman"/>
          <w:lang w:val="en-GB"/>
        </w:rPr>
        <w:t xml:space="preserve"> score,</w:t>
      </w:r>
      <w:r w:rsidRPr="00D95AC0">
        <w:rPr>
          <w:rFonts w:ascii="Times New Roman" w:hAnsi="Times New Roman" w:cs="Times New Roman"/>
          <w:noProof/>
          <w:vertAlign w:val="superscript"/>
          <w:lang w:val="en-GB"/>
        </w:rPr>
        <w:t>13</w:t>
      </w:r>
      <w:r w:rsidRPr="00D95AC0">
        <w:rPr>
          <w:rFonts w:ascii="Times New Roman" w:hAnsi="Times New Roman" w:cs="Times New Roman"/>
          <w:lang w:val="en-GB"/>
        </w:rPr>
        <w:t xml:space="preserve"> and </w:t>
      </w:r>
      <w:proofErr w:type="spellStart"/>
      <w:r w:rsidRPr="00D95AC0">
        <w:rPr>
          <w:rFonts w:ascii="Times New Roman" w:hAnsi="Times New Roman" w:cs="Times New Roman"/>
          <w:lang w:val="en-GB"/>
        </w:rPr>
        <w:t>phyloP</w:t>
      </w:r>
      <w:proofErr w:type="spellEnd"/>
      <w:r w:rsidRPr="00D95AC0">
        <w:rPr>
          <w:rFonts w:ascii="Times New Roman" w:hAnsi="Times New Roman" w:cs="Times New Roman"/>
          <w:lang w:val="en-GB"/>
        </w:rPr>
        <w:t xml:space="preserve"> score.</w:t>
      </w:r>
      <w:r w:rsidRPr="00D95AC0">
        <w:rPr>
          <w:rFonts w:ascii="Times New Roman" w:hAnsi="Times New Roman" w:cs="Times New Roman"/>
          <w:noProof/>
          <w:vertAlign w:val="superscript"/>
          <w:lang w:val="en-GB"/>
        </w:rPr>
        <w:t>14</w:t>
      </w:r>
      <w:r w:rsidRPr="00D95AC0">
        <w:rPr>
          <w:rFonts w:ascii="Times New Roman" w:hAnsi="Times New Roman" w:cs="Times New Roman"/>
          <w:lang w:val="en-GB"/>
        </w:rPr>
        <w:t xml:space="preserve"> All three scores were obtained from ANNOVAR. The sum of all three scores constitutes the Conservation Score.</w:t>
      </w:r>
    </w:p>
    <w:tbl>
      <w:tblPr>
        <w:tblStyle w:val="TableGrid"/>
        <w:tblW w:w="0" w:type="auto"/>
        <w:tblLook w:val="04A0" w:firstRow="1" w:lastRow="0" w:firstColumn="1" w:lastColumn="0" w:noHBand="0" w:noVBand="1"/>
      </w:tblPr>
      <w:tblGrid>
        <w:gridCol w:w="4106"/>
        <w:gridCol w:w="851"/>
      </w:tblGrid>
      <w:tr w:rsidR="00FA1D9C" w:rsidRPr="00D95AC0" w14:paraId="3F5D0E9E"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4E423239"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GERP++_RS score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5C8D9A1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588191F8" w14:textId="77777777" w:rsidTr="0092319D">
        <w:tc>
          <w:tcPr>
            <w:tcW w:w="4106" w:type="dxa"/>
            <w:tcBorders>
              <w:top w:val="single" w:sz="4" w:space="0" w:color="auto"/>
              <w:right w:val="nil"/>
            </w:tcBorders>
          </w:tcPr>
          <w:p w14:paraId="700687F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459AA38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0090B988" w14:textId="77777777" w:rsidTr="0092319D">
        <w:tc>
          <w:tcPr>
            <w:tcW w:w="4106" w:type="dxa"/>
            <w:tcBorders>
              <w:right w:val="nil"/>
            </w:tcBorders>
          </w:tcPr>
          <w:p w14:paraId="7DC9BBF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conserved (&lt;2)</w:t>
            </w:r>
          </w:p>
        </w:tc>
        <w:tc>
          <w:tcPr>
            <w:tcW w:w="851" w:type="dxa"/>
            <w:tcBorders>
              <w:left w:val="nil"/>
            </w:tcBorders>
            <w:vAlign w:val="center"/>
          </w:tcPr>
          <w:p w14:paraId="3F3C1F7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767B0D2D" w14:textId="77777777" w:rsidTr="0092319D">
        <w:tc>
          <w:tcPr>
            <w:tcW w:w="4106" w:type="dxa"/>
            <w:tcBorders>
              <w:right w:val="nil"/>
            </w:tcBorders>
          </w:tcPr>
          <w:p w14:paraId="4B2A55F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Conserved (≥2)</w:t>
            </w:r>
          </w:p>
        </w:tc>
        <w:tc>
          <w:tcPr>
            <w:tcW w:w="851" w:type="dxa"/>
            <w:tcBorders>
              <w:left w:val="nil"/>
            </w:tcBorders>
            <w:vAlign w:val="center"/>
          </w:tcPr>
          <w:p w14:paraId="322FFFF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bl>
    <w:p w14:paraId="69B579DF" w14:textId="77777777" w:rsidR="00FA1D9C" w:rsidRPr="00D95AC0" w:rsidRDefault="00FA1D9C" w:rsidP="0092319D">
      <w:pPr>
        <w:rPr>
          <w:rFonts w:ascii="Times New Roman" w:hAnsi="Times New Roman" w:cs="Times New Roman"/>
          <w:lang w:val="en-GB"/>
        </w:rPr>
      </w:pPr>
    </w:p>
    <w:tbl>
      <w:tblPr>
        <w:tblStyle w:val="TableGrid"/>
        <w:tblW w:w="0" w:type="auto"/>
        <w:tblLook w:val="04A0" w:firstRow="1" w:lastRow="0" w:firstColumn="1" w:lastColumn="0" w:noHBand="0" w:noVBand="1"/>
      </w:tblPr>
      <w:tblGrid>
        <w:gridCol w:w="4106"/>
        <w:gridCol w:w="851"/>
      </w:tblGrid>
      <w:tr w:rsidR="00FA1D9C" w:rsidRPr="00D95AC0" w14:paraId="14204393"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72114A08"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phastCons100way_vertebrate score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1C5215E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66D7B005" w14:textId="77777777" w:rsidTr="0092319D">
        <w:tc>
          <w:tcPr>
            <w:tcW w:w="4106" w:type="dxa"/>
            <w:tcBorders>
              <w:top w:val="single" w:sz="4" w:space="0" w:color="auto"/>
              <w:right w:val="nil"/>
            </w:tcBorders>
          </w:tcPr>
          <w:p w14:paraId="34CD186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3B2DCB2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B057B51" w14:textId="77777777" w:rsidTr="0092319D">
        <w:tc>
          <w:tcPr>
            <w:tcW w:w="4106" w:type="dxa"/>
            <w:tcBorders>
              <w:right w:val="nil"/>
            </w:tcBorders>
          </w:tcPr>
          <w:p w14:paraId="7B889EA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conserved (&lt;0.8)</w:t>
            </w:r>
          </w:p>
        </w:tc>
        <w:tc>
          <w:tcPr>
            <w:tcW w:w="851" w:type="dxa"/>
            <w:tcBorders>
              <w:left w:val="nil"/>
            </w:tcBorders>
            <w:vAlign w:val="center"/>
          </w:tcPr>
          <w:p w14:paraId="433A9F7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E7C93BE" w14:textId="77777777" w:rsidTr="0092319D">
        <w:tc>
          <w:tcPr>
            <w:tcW w:w="4106" w:type="dxa"/>
            <w:tcBorders>
              <w:right w:val="nil"/>
            </w:tcBorders>
          </w:tcPr>
          <w:p w14:paraId="5C58A46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Conserved (≥0.8)</w:t>
            </w:r>
          </w:p>
        </w:tc>
        <w:tc>
          <w:tcPr>
            <w:tcW w:w="851" w:type="dxa"/>
            <w:tcBorders>
              <w:left w:val="nil"/>
            </w:tcBorders>
            <w:vAlign w:val="center"/>
          </w:tcPr>
          <w:p w14:paraId="4FA7ABF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bl>
    <w:p w14:paraId="3C3CD3A3" w14:textId="77777777" w:rsidR="00FA1D9C" w:rsidRPr="00D95AC0" w:rsidRDefault="00FA1D9C" w:rsidP="0092319D">
      <w:pPr>
        <w:rPr>
          <w:rFonts w:ascii="Times New Roman" w:hAnsi="Times New Roman" w:cs="Times New Roman"/>
          <w:lang w:val="en-GB"/>
        </w:rPr>
      </w:pPr>
    </w:p>
    <w:tbl>
      <w:tblPr>
        <w:tblStyle w:val="TableGrid"/>
        <w:tblW w:w="0" w:type="auto"/>
        <w:tblLook w:val="04A0" w:firstRow="1" w:lastRow="0" w:firstColumn="1" w:lastColumn="0" w:noHBand="0" w:noVBand="1"/>
      </w:tblPr>
      <w:tblGrid>
        <w:gridCol w:w="4106"/>
        <w:gridCol w:w="851"/>
      </w:tblGrid>
      <w:tr w:rsidR="00FA1D9C" w:rsidRPr="00D95AC0" w14:paraId="5E8AB48F"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048FF88C"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phyloP100way_vertebrate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223ECEA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3CDE36DE" w14:textId="77777777" w:rsidTr="0092319D">
        <w:tc>
          <w:tcPr>
            <w:tcW w:w="4106" w:type="dxa"/>
            <w:tcBorders>
              <w:top w:val="single" w:sz="4" w:space="0" w:color="auto"/>
              <w:right w:val="nil"/>
            </w:tcBorders>
          </w:tcPr>
          <w:p w14:paraId="0A3DAE4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7B5311C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1A3CAB4" w14:textId="77777777" w:rsidTr="0092319D">
        <w:tc>
          <w:tcPr>
            <w:tcW w:w="4106" w:type="dxa"/>
            <w:tcBorders>
              <w:right w:val="nil"/>
            </w:tcBorders>
          </w:tcPr>
          <w:p w14:paraId="33EBBD6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conserved (&lt;2.5)</w:t>
            </w:r>
          </w:p>
        </w:tc>
        <w:tc>
          <w:tcPr>
            <w:tcW w:w="851" w:type="dxa"/>
            <w:tcBorders>
              <w:left w:val="nil"/>
            </w:tcBorders>
            <w:vAlign w:val="center"/>
          </w:tcPr>
          <w:p w14:paraId="75CD578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A0CCD7F" w14:textId="77777777" w:rsidTr="0092319D">
        <w:tc>
          <w:tcPr>
            <w:tcW w:w="4106" w:type="dxa"/>
            <w:tcBorders>
              <w:right w:val="nil"/>
            </w:tcBorders>
          </w:tcPr>
          <w:p w14:paraId="63A4548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Conserved (≥2.5)</w:t>
            </w:r>
          </w:p>
        </w:tc>
        <w:tc>
          <w:tcPr>
            <w:tcW w:w="851" w:type="dxa"/>
            <w:tcBorders>
              <w:left w:val="nil"/>
            </w:tcBorders>
            <w:vAlign w:val="center"/>
          </w:tcPr>
          <w:p w14:paraId="324C740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bl>
    <w:p w14:paraId="18345283" w14:textId="77777777" w:rsidR="00FA1D9C" w:rsidRPr="00D95AC0" w:rsidRDefault="00FA1D9C" w:rsidP="0092319D">
      <w:pPr>
        <w:rPr>
          <w:rFonts w:ascii="Times New Roman" w:hAnsi="Times New Roman" w:cs="Times New Roman"/>
          <w:lang w:val="en-GB"/>
        </w:rPr>
      </w:pPr>
    </w:p>
    <w:p w14:paraId="2A4E291C"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6. Protein Prediction Score</w:t>
      </w:r>
    </w:p>
    <w:p w14:paraId="138BCF8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Four prediction tools are used to assess variant deleteriousness, Polyphen,</w:t>
      </w:r>
      <w:r w:rsidRPr="00D95AC0">
        <w:rPr>
          <w:rFonts w:ascii="Times New Roman" w:hAnsi="Times New Roman" w:cs="Times New Roman"/>
          <w:noProof/>
          <w:vertAlign w:val="superscript"/>
          <w:lang w:val="en-GB"/>
        </w:rPr>
        <w:t>15</w:t>
      </w:r>
      <w:r w:rsidRPr="00D95AC0">
        <w:rPr>
          <w:rFonts w:ascii="Times New Roman" w:hAnsi="Times New Roman" w:cs="Times New Roman"/>
          <w:lang w:val="en-GB"/>
        </w:rPr>
        <w:t xml:space="preserve"> SIFT,</w:t>
      </w:r>
      <w:r w:rsidRPr="00D95AC0">
        <w:rPr>
          <w:rFonts w:ascii="Times New Roman" w:hAnsi="Times New Roman" w:cs="Times New Roman"/>
          <w:noProof/>
          <w:vertAlign w:val="superscript"/>
          <w:lang w:val="en-GB"/>
        </w:rPr>
        <w:t>16</w:t>
      </w:r>
      <w:r w:rsidRPr="00D95AC0">
        <w:rPr>
          <w:rFonts w:ascii="Times New Roman" w:hAnsi="Times New Roman" w:cs="Times New Roman"/>
          <w:lang w:val="en-GB"/>
        </w:rPr>
        <w:t xml:space="preserve"> REVEL,</w:t>
      </w:r>
      <w:r w:rsidRPr="00D95AC0">
        <w:rPr>
          <w:rFonts w:ascii="Times New Roman" w:hAnsi="Times New Roman" w:cs="Times New Roman"/>
          <w:noProof/>
          <w:vertAlign w:val="superscript"/>
          <w:lang w:val="en-GB"/>
        </w:rPr>
        <w:t>17</w:t>
      </w:r>
      <w:r w:rsidRPr="00D95AC0">
        <w:rPr>
          <w:rFonts w:ascii="Times New Roman" w:hAnsi="Times New Roman" w:cs="Times New Roman"/>
          <w:lang w:val="en-GB"/>
        </w:rPr>
        <w:t xml:space="preserve"> and CADD.</w:t>
      </w:r>
      <w:r w:rsidRPr="00D95AC0">
        <w:rPr>
          <w:rFonts w:ascii="Times New Roman" w:hAnsi="Times New Roman" w:cs="Times New Roman"/>
          <w:noProof/>
          <w:vertAlign w:val="superscript"/>
          <w:lang w:val="en-GB"/>
        </w:rPr>
        <w:t>18</w:t>
      </w:r>
      <w:r w:rsidRPr="00D95AC0">
        <w:rPr>
          <w:rFonts w:ascii="Times New Roman" w:hAnsi="Times New Roman" w:cs="Times New Roman"/>
          <w:lang w:val="en-GB"/>
        </w:rPr>
        <w:t xml:space="preserve"> The sum of the individual scores constitutes the Protein Prediction Score. </w:t>
      </w:r>
      <w:proofErr w:type="spellStart"/>
      <w:r w:rsidRPr="00D95AC0">
        <w:rPr>
          <w:rFonts w:ascii="Times New Roman" w:hAnsi="Times New Roman" w:cs="Times New Roman"/>
          <w:lang w:val="en-GB"/>
        </w:rPr>
        <w:t>Polyphen</w:t>
      </w:r>
      <w:proofErr w:type="spellEnd"/>
      <w:r w:rsidRPr="00D95AC0">
        <w:rPr>
          <w:rFonts w:ascii="Times New Roman" w:hAnsi="Times New Roman" w:cs="Times New Roman"/>
          <w:lang w:val="en-GB"/>
        </w:rPr>
        <w:t xml:space="preserve">, SIFT and CADD </w:t>
      </w:r>
      <w:proofErr w:type="spellStart"/>
      <w:r w:rsidRPr="00D95AC0">
        <w:rPr>
          <w:rFonts w:ascii="Times New Roman" w:hAnsi="Times New Roman" w:cs="Times New Roman"/>
          <w:lang w:val="en-GB"/>
        </w:rPr>
        <w:t>phred</w:t>
      </w:r>
      <w:proofErr w:type="spellEnd"/>
      <w:r w:rsidRPr="00D95AC0">
        <w:rPr>
          <w:rFonts w:ascii="Times New Roman" w:hAnsi="Times New Roman" w:cs="Times New Roman"/>
          <w:lang w:val="en-GB"/>
        </w:rPr>
        <w:t xml:space="preserve"> scores were annotated using the CADD tool, REVEL was annotated using the REVEL plugin in VEP.</w:t>
      </w:r>
    </w:p>
    <w:tbl>
      <w:tblPr>
        <w:tblStyle w:val="TableGrid"/>
        <w:tblW w:w="0" w:type="auto"/>
        <w:tblLook w:val="04A0" w:firstRow="1" w:lastRow="0" w:firstColumn="1" w:lastColumn="0" w:noHBand="0" w:noVBand="1"/>
      </w:tblPr>
      <w:tblGrid>
        <w:gridCol w:w="4106"/>
        <w:gridCol w:w="851"/>
      </w:tblGrid>
      <w:tr w:rsidR="00FA1D9C" w:rsidRPr="00D95AC0" w14:paraId="136C3E2D"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75A4EB91" w14:textId="77777777" w:rsidR="00FA1D9C" w:rsidRPr="00D95AC0" w:rsidRDefault="00FA1D9C" w:rsidP="0092319D">
            <w:pPr>
              <w:rPr>
                <w:rFonts w:ascii="Times New Roman" w:hAnsi="Times New Roman" w:cs="Times New Roman"/>
                <w:b/>
                <w:bCs/>
                <w:lang w:val="en-GB"/>
              </w:rPr>
            </w:pPr>
            <w:proofErr w:type="spellStart"/>
            <w:r w:rsidRPr="00D95AC0">
              <w:rPr>
                <w:rFonts w:ascii="Times New Roman" w:hAnsi="Times New Roman" w:cs="Times New Roman"/>
                <w:b/>
                <w:bCs/>
                <w:lang w:val="en-GB"/>
              </w:rPr>
              <w:t>Polyphen</w:t>
            </w:r>
            <w:proofErr w:type="spellEnd"/>
            <w:r w:rsidRPr="00D95AC0">
              <w:rPr>
                <w:rFonts w:ascii="Times New Roman" w:hAnsi="Times New Roman" w:cs="Times New Roman"/>
                <w:b/>
                <w:bCs/>
                <w:lang w:val="en-GB"/>
              </w:rPr>
              <w:t xml:space="preserve"> value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52EE1A1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003C1CE8" w14:textId="77777777" w:rsidTr="0092319D">
        <w:tc>
          <w:tcPr>
            <w:tcW w:w="4106" w:type="dxa"/>
            <w:tcBorders>
              <w:top w:val="single" w:sz="4" w:space="0" w:color="auto"/>
              <w:right w:val="nil"/>
            </w:tcBorders>
          </w:tcPr>
          <w:p w14:paraId="3A99F8F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3FF0496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724D5153" w14:textId="77777777" w:rsidTr="0092319D">
        <w:tc>
          <w:tcPr>
            <w:tcW w:w="4106" w:type="dxa"/>
            <w:tcBorders>
              <w:right w:val="nil"/>
            </w:tcBorders>
          </w:tcPr>
          <w:p w14:paraId="1D2D9DC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Benign (≤ 0.446)</w:t>
            </w:r>
          </w:p>
        </w:tc>
        <w:tc>
          <w:tcPr>
            <w:tcW w:w="851" w:type="dxa"/>
            <w:tcBorders>
              <w:left w:val="nil"/>
            </w:tcBorders>
            <w:vAlign w:val="center"/>
          </w:tcPr>
          <w:p w14:paraId="7A0A257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C4B8FC9" w14:textId="77777777" w:rsidTr="0092319D">
        <w:tc>
          <w:tcPr>
            <w:tcW w:w="4106" w:type="dxa"/>
            <w:tcBorders>
              <w:right w:val="nil"/>
            </w:tcBorders>
          </w:tcPr>
          <w:p w14:paraId="1B35D56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lastRenderedPageBreak/>
              <w:t>Possibly damaging (&gt; 0.446, &lt; 0.908)</w:t>
            </w:r>
          </w:p>
        </w:tc>
        <w:tc>
          <w:tcPr>
            <w:tcW w:w="851" w:type="dxa"/>
            <w:tcBorders>
              <w:left w:val="nil"/>
            </w:tcBorders>
            <w:vAlign w:val="center"/>
          </w:tcPr>
          <w:p w14:paraId="7B490B8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37EBD98A" w14:textId="77777777" w:rsidTr="0092319D">
        <w:tc>
          <w:tcPr>
            <w:tcW w:w="4106" w:type="dxa"/>
            <w:tcBorders>
              <w:right w:val="nil"/>
            </w:tcBorders>
          </w:tcPr>
          <w:p w14:paraId="39D7DAC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Probably damaging (≥ 0.908)</w:t>
            </w:r>
          </w:p>
        </w:tc>
        <w:tc>
          <w:tcPr>
            <w:tcW w:w="851" w:type="dxa"/>
            <w:tcBorders>
              <w:left w:val="nil"/>
            </w:tcBorders>
            <w:vAlign w:val="center"/>
          </w:tcPr>
          <w:p w14:paraId="28F0C61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bl>
    <w:p w14:paraId="6E0548AA" w14:textId="77777777" w:rsidR="00FA1D9C" w:rsidRPr="00D95AC0" w:rsidRDefault="00FA1D9C" w:rsidP="0092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val="en-GB"/>
        </w:rPr>
      </w:pPr>
    </w:p>
    <w:p w14:paraId="5BC1912D" w14:textId="77777777" w:rsidR="00FA1D9C" w:rsidRPr="00D95AC0" w:rsidRDefault="00FA1D9C" w:rsidP="00923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lang w:val="en-GB"/>
        </w:rPr>
      </w:pPr>
    </w:p>
    <w:tbl>
      <w:tblPr>
        <w:tblStyle w:val="TableGrid"/>
        <w:tblW w:w="0" w:type="auto"/>
        <w:tblLook w:val="04A0" w:firstRow="1" w:lastRow="0" w:firstColumn="1" w:lastColumn="0" w:noHBand="0" w:noVBand="1"/>
      </w:tblPr>
      <w:tblGrid>
        <w:gridCol w:w="4106"/>
        <w:gridCol w:w="851"/>
      </w:tblGrid>
      <w:tr w:rsidR="00FA1D9C" w:rsidRPr="00D95AC0" w14:paraId="78BFD1DF"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2BEB4916"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SIFT</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7C5F8D6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26A9236A" w14:textId="77777777" w:rsidTr="0092319D">
        <w:tc>
          <w:tcPr>
            <w:tcW w:w="4106" w:type="dxa"/>
            <w:tcBorders>
              <w:top w:val="single" w:sz="4" w:space="0" w:color="auto"/>
              <w:right w:val="nil"/>
            </w:tcBorders>
          </w:tcPr>
          <w:p w14:paraId="71E3602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3AECBA0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243DF94" w14:textId="77777777" w:rsidTr="0092319D">
        <w:tc>
          <w:tcPr>
            <w:tcW w:w="4106" w:type="dxa"/>
            <w:tcBorders>
              <w:right w:val="nil"/>
            </w:tcBorders>
          </w:tcPr>
          <w:p w14:paraId="41C06BE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Tolerated (≥ 0.05)</w:t>
            </w:r>
          </w:p>
        </w:tc>
        <w:tc>
          <w:tcPr>
            <w:tcW w:w="851" w:type="dxa"/>
            <w:tcBorders>
              <w:left w:val="nil"/>
            </w:tcBorders>
            <w:vAlign w:val="center"/>
          </w:tcPr>
          <w:p w14:paraId="0DF95BC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112E3AAA" w14:textId="77777777" w:rsidTr="0092319D">
        <w:tc>
          <w:tcPr>
            <w:tcW w:w="4106" w:type="dxa"/>
            <w:tcBorders>
              <w:right w:val="nil"/>
            </w:tcBorders>
          </w:tcPr>
          <w:p w14:paraId="70E5004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Deleterious (&lt; 0.05)</w:t>
            </w:r>
          </w:p>
        </w:tc>
        <w:tc>
          <w:tcPr>
            <w:tcW w:w="851" w:type="dxa"/>
            <w:tcBorders>
              <w:left w:val="nil"/>
            </w:tcBorders>
            <w:vAlign w:val="center"/>
          </w:tcPr>
          <w:p w14:paraId="1C47FFD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bl>
    <w:p w14:paraId="358D4CA6" w14:textId="77777777" w:rsidR="00FA1D9C" w:rsidRPr="00D95AC0" w:rsidRDefault="00FA1D9C" w:rsidP="0092319D">
      <w:pPr>
        <w:rPr>
          <w:rFonts w:ascii="Times New Roman" w:hAnsi="Times New Roman" w:cs="Times New Roman"/>
          <w:lang w:val="en-GB"/>
        </w:rPr>
      </w:pPr>
    </w:p>
    <w:tbl>
      <w:tblPr>
        <w:tblStyle w:val="TableGrid"/>
        <w:tblW w:w="0" w:type="auto"/>
        <w:tblLook w:val="04A0" w:firstRow="1" w:lastRow="0" w:firstColumn="1" w:lastColumn="0" w:noHBand="0" w:noVBand="1"/>
      </w:tblPr>
      <w:tblGrid>
        <w:gridCol w:w="4106"/>
        <w:gridCol w:w="851"/>
      </w:tblGrid>
      <w:tr w:rsidR="00FA1D9C" w:rsidRPr="00D95AC0" w14:paraId="78266C10"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08C23B53"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REVEL</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1E6A896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63B31091" w14:textId="77777777" w:rsidTr="0092319D">
        <w:tc>
          <w:tcPr>
            <w:tcW w:w="4106" w:type="dxa"/>
            <w:tcBorders>
              <w:top w:val="single" w:sz="4" w:space="0" w:color="auto"/>
              <w:right w:val="nil"/>
            </w:tcBorders>
          </w:tcPr>
          <w:p w14:paraId="750CA9B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01D857F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8E6454F" w14:textId="77777777" w:rsidTr="0092319D">
        <w:tc>
          <w:tcPr>
            <w:tcW w:w="4106" w:type="dxa"/>
            <w:tcBorders>
              <w:right w:val="nil"/>
            </w:tcBorders>
          </w:tcPr>
          <w:p w14:paraId="678F7E3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Tolerated (&lt; 0.5)</w:t>
            </w:r>
          </w:p>
        </w:tc>
        <w:tc>
          <w:tcPr>
            <w:tcW w:w="851" w:type="dxa"/>
            <w:tcBorders>
              <w:left w:val="nil"/>
            </w:tcBorders>
            <w:vAlign w:val="center"/>
          </w:tcPr>
          <w:p w14:paraId="06E9F84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48ADE66" w14:textId="77777777" w:rsidTr="0092319D">
        <w:tc>
          <w:tcPr>
            <w:tcW w:w="4106" w:type="dxa"/>
            <w:tcBorders>
              <w:right w:val="nil"/>
            </w:tcBorders>
          </w:tcPr>
          <w:p w14:paraId="14FDC42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Probably damaging (≥ 0.5, &lt; 0.75)</w:t>
            </w:r>
          </w:p>
        </w:tc>
        <w:tc>
          <w:tcPr>
            <w:tcW w:w="851" w:type="dxa"/>
            <w:tcBorders>
              <w:left w:val="nil"/>
            </w:tcBorders>
            <w:vAlign w:val="center"/>
          </w:tcPr>
          <w:p w14:paraId="665B384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22309FA4" w14:textId="77777777" w:rsidTr="0092319D">
        <w:tc>
          <w:tcPr>
            <w:tcW w:w="4106" w:type="dxa"/>
            <w:tcBorders>
              <w:right w:val="nil"/>
            </w:tcBorders>
          </w:tcPr>
          <w:p w14:paraId="6E82CA6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Damaging (≥ 0.75)</w:t>
            </w:r>
          </w:p>
        </w:tc>
        <w:tc>
          <w:tcPr>
            <w:tcW w:w="851" w:type="dxa"/>
            <w:tcBorders>
              <w:left w:val="nil"/>
            </w:tcBorders>
            <w:vAlign w:val="center"/>
          </w:tcPr>
          <w:p w14:paraId="2A9B484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3E6913DF" w14:textId="77777777" w:rsidR="00FA1D9C" w:rsidRPr="00D95AC0" w:rsidRDefault="00FA1D9C">
      <w:pPr>
        <w:rPr>
          <w:rFonts w:ascii="Times New Roman" w:hAnsi="Times New Roman" w:cs="Times New Roman"/>
          <w:lang w:val="en-GB"/>
        </w:rPr>
      </w:pPr>
    </w:p>
    <w:tbl>
      <w:tblPr>
        <w:tblStyle w:val="TableGrid"/>
        <w:tblW w:w="0" w:type="auto"/>
        <w:tblLook w:val="04A0" w:firstRow="1" w:lastRow="0" w:firstColumn="1" w:lastColumn="0" w:noHBand="0" w:noVBand="1"/>
      </w:tblPr>
      <w:tblGrid>
        <w:gridCol w:w="4106"/>
        <w:gridCol w:w="851"/>
      </w:tblGrid>
      <w:tr w:rsidR="00FA1D9C" w:rsidRPr="00D95AC0" w14:paraId="3FAC6870"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602C1BD0"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CADD</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1733F78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7924B7D8" w14:textId="77777777" w:rsidTr="0092319D">
        <w:tc>
          <w:tcPr>
            <w:tcW w:w="4106" w:type="dxa"/>
            <w:tcBorders>
              <w:top w:val="single" w:sz="4" w:space="0" w:color="auto"/>
              <w:right w:val="nil"/>
            </w:tcBorders>
          </w:tcPr>
          <w:p w14:paraId="542F5B7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37D4C8B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75F70FA9" w14:textId="77777777" w:rsidTr="0092319D">
        <w:tc>
          <w:tcPr>
            <w:tcW w:w="4106" w:type="dxa"/>
            <w:tcBorders>
              <w:right w:val="nil"/>
            </w:tcBorders>
          </w:tcPr>
          <w:p w14:paraId="10ADCF7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Low (&lt; 10)</w:t>
            </w:r>
          </w:p>
        </w:tc>
        <w:tc>
          <w:tcPr>
            <w:tcW w:w="851" w:type="dxa"/>
            <w:tcBorders>
              <w:left w:val="nil"/>
            </w:tcBorders>
            <w:vAlign w:val="center"/>
          </w:tcPr>
          <w:p w14:paraId="76FD7ED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05EDC8FD" w14:textId="77777777" w:rsidTr="0092319D">
        <w:tc>
          <w:tcPr>
            <w:tcW w:w="4106" w:type="dxa"/>
            <w:tcBorders>
              <w:right w:val="nil"/>
            </w:tcBorders>
          </w:tcPr>
          <w:p w14:paraId="2220AA6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Medium (≥ 10, &lt; 20)</w:t>
            </w:r>
          </w:p>
        </w:tc>
        <w:tc>
          <w:tcPr>
            <w:tcW w:w="851" w:type="dxa"/>
            <w:tcBorders>
              <w:left w:val="nil"/>
            </w:tcBorders>
            <w:vAlign w:val="center"/>
          </w:tcPr>
          <w:p w14:paraId="5A36DDF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0CF8BF33" w14:textId="77777777" w:rsidTr="0092319D">
        <w:tc>
          <w:tcPr>
            <w:tcW w:w="4106" w:type="dxa"/>
            <w:tcBorders>
              <w:right w:val="nil"/>
            </w:tcBorders>
          </w:tcPr>
          <w:p w14:paraId="0E44423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 (≥ 20, &lt; 30)</w:t>
            </w:r>
          </w:p>
        </w:tc>
        <w:tc>
          <w:tcPr>
            <w:tcW w:w="851" w:type="dxa"/>
            <w:tcBorders>
              <w:left w:val="nil"/>
            </w:tcBorders>
            <w:vAlign w:val="center"/>
          </w:tcPr>
          <w:p w14:paraId="6BADFE1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0F4E557B" w14:textId="77777777" w:rsidTr="0092319D">
        <w:tc>
          <w:tcPr>
            <w:tcW w:w="4106" w:type="dxa"/>
            <w:tcBorders>
              <w:right w:val="nil"/>
            </w:tcBorders>
          </w:tcPr>
          <w:p w14:paraId="3DCBC61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Higher (≥ 30, &lt; 40)</w:t>
            </w:r>
          </w:p>
        </w:tc>
        <w:tc>
          <w:tcPr>
            <w:tcW w:w="851" w:type="dxa"/>
            <w:tcBorders>
              <w:left w:val="nil"/>
              <w:bottom w:val="single" w:sz="4" w:space="0" w:color="auto"/>
            </w:tcBorders>
            <w:vAlign w:val="center"/>
          </w:tcPr>
          <w:p w14:paraId="4D7B53E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4</w:t>
            </w:r>
          </w:p>
        </w:tc>
      </w:tr>
      <w:tr w:rsidR="00FA1D9C" w:rsidRPr="00D95AC0" w14:paraId="67197F15" w14:textId="77777777" w:rsidTr="0092319D">
        <w:tc>
          <w:tcPr>
            <w:tcW w:w="4106" w:type="dxa"/>
            <w:tcBorders>
              <w:right w:val="nil"/>
            </w:tcBorders>
          </w:tcPr>
          <w:p w14:paraId="4B3208A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Highest (≥ 40)</w:t>
            </w:r>
          </w:p>
        </w:tc>
        <w:tc>
          <w:tcPr>
            <w:tcW w:w="851" w:type="dxa"/>
            <w:tcBorders>
              <w:left w:val="nil"/>
            </w:tcBorders>
          </w:tcPr>
          <w:p w14:paraId="5981E42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582D3234" w14:textId="77777777" w:rsidR="00FA1D9C" w:rsidRPr="00D95AC0" w:rsidRDefault="00FA1D9C" w:rsidP="0092319D">
      <w:pPr>
        <w:spacing w:after="0" w:line="240" w:lineRule="auto"/>
        <w:rPr>
          <w:rFonts w:ascii="Times New Roman" w:eastAsia="Times New Roman" w:hAnsi="Times New Roman" w:cs="Times New Roman"/>
          <w:sz w:val="20"/>
          <w:szCs w:val="20"/>
          <w:lang w:val="en-GB" w:eastAsia="sv-SE"/>
        </w:rPr>
      </w:pPr>
    </w:p>
    <w:p w14:paraId="58EBCC1B"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7. Allele Frequency Score</w:t>
      </w:r>
    </w:p>
    <w:p w14:paraId="6902122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We obtained allele frequencies from three reference cohorts using VEP (the 1000 genomes project, exome sequencing project of the National Heart Lung and Blood Institute (ESP), and gnomAD</w:t>
      </w:r>
      <w:r w:rsidRPr="00D95AC0">
        <w:rPr>
          <w:rFonts w:ascii="Times New Roman" w:hAnsi="Times New Roman" w:cs="Times New Roman"/>
          <w:noProof/>
          <w:vertAlign w:val="superscript"/>
          <w:lang w:val="en-GB"/>
        </w:rPr>
        <w:t>19</w:t>
      </w:r>
      <w:r w:rsidRPr="00D95AC0">
        <w:rPr>
          <w:rFonts w:ascii="Times New Roman" w:hAnsi="Times New Roman" w:cs="Times New Roman"/>
          <w:lang w:val="en-GB"/>
        </w:rPr>
        <w:t>). The maximum allele frequencies in African, admixed American, East Asian, European, and South Asian were used. We also obtained allele frequencies from exome sequencing of our local reference cohort (Malmö Diet and Cancer, MDCS). The minimum score of either the international cohorts (1000 genomes, ESP, gnomAD) or the MDCS was used as the Allele frequency score. Higher allele frequencies yielded lower scores as outlined below.</w:t>
      </w:r>
    </w:p>
    <w:tbl>
      <w:tblPr>
        <w:tblStyle w:val="TableGrid"/>
        <w:tblW w:w="0" w:type="auto"/>
        <w:tblLook w:val="04A0" w:firstRow="1" w:lastRow="0" w:firstColumn="1" w:lastColumn="0" w:noHBand="0" w:noVBand="1"/>
      </w:tblPr>
      <w:tblGrid>
        <w:gridCol w:w="4106"/>
        <w:gridCol w:w="851"/>
      </w:tblGrid>
      <w:tr w:rsidR="00FA1D9C" w:rsidRPr="00D95AC0" w14:paraId="6DE7E073"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0F7E7287"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gnomAD allele frequency</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00FC662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792CBF77" w14:textId="77777777" w:rsidTr="0092319D">
        <w:tc>
          <w:tcPr>
            <w:tcW w:w="4106" w:type="dxa"/>
            <w:tcBorders>
              <w:top w:val="single" w:sz="4" w:space="0" w:color="auto"/>
              <w:right w:val="nil"/>
            </w:tcBorders>
          </w:tcPr>
          <w:p w14:paraId="739A866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0A22EEB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4</w:t>
            </w:r>
          </w:p>
        </w:tc>
      </w:tr>
      <w:tr w:rsidR="00FA1D9C" w:rsidRPr="00D95AC0" w14:paraId="414821B8" w14:textId="77777777" w:rsidTr="0092319D">
        <w:tc>
          <w:tcPr>
            <w:tcW w:w="4106" w:type="dxa"/>
            <w:tcBorders>
              <w:right w:val="nil"/>
            </w:tcBorders>
          </w:tcPr>
          <w:p w14:paraId="44BA220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Very rare (&gt; 0, ≤ 0.0005)</w:t>
            </w:r>
          </w:p>
        </w:tc>
        <w:tc>
          <w:tcPr>
            <w:tcW w:w="851" w:type="dxa"/>
            <w:tcBorders>
              <w:left w:val="nil"/>
            </w:tcBorders>
            <w:vAlign w:val="center"/>
          </w:tcPr>
          <w:p w14:paraId="33B852A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3A3592BE" w14:textId="77777777" w:rsidTr="0092319D">
        <w:tc>
          <w:tcPr>
            <w:tcW w:w="4106" w:type="dxa"/>
            <w:tcBorders>
              <w:right w:val="nil"/>
            </w:tcBorders>
          </w:tcPr>
          <w:p w14:paraId="0742612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Rare (&gt; 0.0005, ≤ 0.005)</w:t>
            </w:r>
          </w:p>
        </w:tc>
        <w:tc>
          <w:tcPr>
            <w:tcW w:w="851" w:type="dxa"/>
            <w:tcBorders>
              <w:left w:val="nil"/>
            </w:tcBorders>
            <w:vAlign w:val="center"/>
          </w:tcPr>
          <w:p w14:paraId="18957EF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61DC84AE" w14:textId="77777777" w:rsidTr="0092319D">
        <w:tc>
          <w:tcPr>
            <w:tcW w:w="4106" w:type="dxa"/>
            <w:tcBorders>
              <w:right w:val="nil"/>
            </w:tcBorders>
          </w:tcPr>
          <w:p w14:paraId="344B4CE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Intermediate (&gt; 0.005, ≤ 0.02)</w:t>
            </w:r>
          </w:p>
        </w:tc>
        <w:tc>
          <w:tcPr>
            <w:tcW w:w="851" w:type="dxa"/>
            <w:tcBorders>
              <w:left w:val="nil"/>
            </w:tcBorders>
            <w:vAlign w:val="center"/>
          </w:tcPr>
          <w:p w14:paraId="47D2178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1D738E88" w14:textId="77777777" w:rsidTr="0092319D">
        <w:tc>
          <w:tcPr>
            <w:tcW w:w="4106" w:type="dxa"/>
            <w:tcBorders>
              <w:right w:val="nil"/>
            </w:tcBorders>
          </w:tcPr>
          <w:p w14:paraId="63DAF8B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Common (&gt; 0.02)</w:t>
            </w:r>
          </w:p>
        </w:tc>
        <w:tc>
          <w:tcPr>
            <w:tcW w:w="851" w:type="dxa"/>
            <w:tcBorders>
              <w:left w:val="nil"/>
            </w:tcBorders>
            <w:vAlign w:val="center"/>
          </w:tcPr>
          <w:p w14:paraId="6284D88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-12</w:t>
            </w:r>
          </w:p>
        </w:tc>
      </w:tr>
    </w:tbl>
    <w:p w14:paraId="752FC8ED" w14:textId="77777777" w:rsidR="00FA1D9C" w:rsidRPr="00D95AC0" w:rsidRDefault="00FA1D9C" w:rsidP="0092319D">
      <w:pPr>
        <w:rPr>
          <w:rFonts w:ascii="Times New Roman" w:hAnsi="Times New Roman" w:cs="Times New Roman"/>
          <w:lang w:val="en-GB"/>
        </w:rPr>
      </w:pPr>
    </w:p>
    <w:tbl>
      <w:tblPr>
        <w:tblStyle w:val="TableGrid"/>
        <w:tblW w:w="0" w:type="auto"/>
        <w:tblLook w:val="04A0" w:firstRow="1" w:lastRow="0" w:firstColumn="1" w:lastColumn="0" w:noHBand="0" w:noVBand="1"/>
      </w:tblPr>
      <w:tblGrid>
        <w:gridCol w:w="4106"/>
        <w:gridCol w:w="851"/>
      </w:tblGrid>
      <w:tr w:rsidR="00FA1D9C" w:rsidRPr="00D95AC0" w14:paraId="786EA331"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453C1DEA"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MDC allele frequency</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2E54708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09E10D7F" w14:textId="77777777" w:rsidTr="0092319D">
        <w:tc>
          <w:tcPr>
            <w:tcW w:w="4106" w:type="dxa"/>
            <w:tcBorders>
              <w:top w:val="single" w:sz="4" w:space="0" w:color="auto"/>
              <w:right w:val="nil"/>
            </w:tcBorders>
          </w:tcPr>
          <w:p w14:paraId="47778410"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4F123DF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4</w:t>
            </w:r>
          </w:p>
        </w:tc>
      </w:tr>
      <w:tr w:rsidR="00FA1D9C" w:rsidRPr="00D95AC0" w14:paraId="040CC3F7" w14:textId="77777777" w:rsidTr="0092319D">
        <w:tc>
          <w:tcPr>
            <w:tcW w:w="4106" w:type="dxa"/>
            <w:tcBorders>
              <w:right w:val="nil"/>
            </w:tcBorders>
          </w:tcPr>
          <w:p w14:paraId="19CF7AE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Very rare (&gt; 0, ≤ 0.0005)</w:t>
            </w:r>
          </w:p>
        </w:tc>
        <w:tc>
          <w:tcPr>
            <w:tcW w:w="851" w:type="dxa"/>
            <w:tcBorders>
              <w:left w:val="nil"/>
            </w:tcBorders>
            <w:vAlign w:val="center"/>
          </w:tcPr>
          <w:p w14:paraId="47AAF1D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7D522A91" w14:textId="77777777" w:rsidTr="0092319D">
        <w:tc>
          <w:tcPr>
            <w:tcW w:w="4106" w:type="dxa"/>
            <w:tcBorders>
              <w:right w:val="nil"/>
            </w:tcBorders>
          </w:tcPr>
          <w:p w14:paraId="78C67BB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Rare (&gt; 0.0005, ≤ 0.005)</w:t>
            </w:r>
          </w:p>
        </w:tc>
        <w:tc>
          <w:tcPr>
            <w:tcW w:w="851" w:type="dxa"/>
            <w:tcBorders>
              <w:left w:val="nil"/>
            </w:tcBorders>
            <w:vAlign w:val="center"/>
          </w:tcPr>
          <w:p w14:paraId="718458D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318D9425" w14:textId="77777777" w:rsidTr="0092319D">
        <w:tc>
          <w:tcPr>
            <w:tcW w:w="4106" w:type="dxa"/>
            <w:tcBorders>
              <w:right w:val="nil"/>
            </w:tcBorders>
          </w:tcPr>
          <w:p w14:paraId="5437E87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Intermediate (&gt; 0.005, ≤ 0.02)</w:t>
            </w:r>
          </w:p>
        </w:tc>
        <w:tc>
          <w:tcPr>
            <w:tcW w:w="851" w:type="dxa"/>
            <w:tcBorders>
              <w:left w:val="nil"/>
            </w:tcBorders>
            <w:vAlign w:val="center"/>
          </w:tcPr>
          <w:p w14:paraId="7FDF38A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6B5AE1E7" w14:textId="77777777" w:rsidTr="0092319D">
        <w:tc>
          <w:tcPr>
            <w:tcW w:w="4106" w:type="dxa"/>
            <w:tcBorders>
              <w:right w:val="nil"/>
            </w:tcBorders>
          </w:tcPr>
          <w:p w14:paraId="1F7926E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lastRenderedPageBreak/>
              <w:t>Common (&gt; 0.02)</w:t>
            </w:r>
          </w:p>
        </w:tc>
        <w:tc>
          <w:tcPr>
            <w:tcW w:w="851" w:type="dxa"/>
            <w:tcBorders>
              <w:left w:val="nil"/>
            </w:tcBorders>
            <w:vAlign w:val="center"/>
          </w:tcPr>
          <w:p w14:paraId="05D584F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-12</w:t>
            </w:r>
          </w:p>
        </w:tc>
      </w:tr>
    </w:tbl>
    <w:p w14:paraId="18994385" w14:textId="77777777" w:rsidR="00FA1D9C" w:rsidRPr="00D95AC0" w:rsidRDefault="00FA1D9C" w:rsidP="0092319D">
      <w:pPr>
        <w:rPr>
          <w:rFonts w:ascii="Times New Roman" w:hAnsi="Times New Roman" w:cs="Times New Roman"/>
          <w:lang w:val="en-GB"/>
        </w:rPr>
      </w:pPr>
    </w:p>
    <w:p w14:paraId="4AC00EAC" w14:textId="77777777" w:rsidR="00FA1D9C" w:rsidRPr="00D95AC0" w:rsidRDefault="00FA1D9C" w:rsidP="0092319D">
      <w:pPr>
        <w:pStyle w:val="Heading4"/>
        <w:rPr>
          <w:rFonts w:ascii="Times New Roman" w:hAnsi="Times New Roman" w:cs="Times New Roman"/>
          <w:color w:val="auto"/>
          <w:lang w:val="en-GB"/>
        </w:rPr>
      </w:pPr>
      <w:r w:rsidRPr="00D95AC0">
        <w:rPr>
          <w:rFonts w:ascii="Times New Roman" w:hAnsi="Times New Roman" w:cs="Times New Roman"/>
          <w:color w:val="auto"/>
          <w:lang w:val="en-GB"/>
        </w:rPr>
        <w:t>8. ClinVar Score</w:t>
      </w:r>
    </w:p>
    <w:p w14:paraId="44FFAFA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All variants with a previous submission to ClinVar</w:t>
      </w:r>
      <w:r w:rsidRPr="00D95AC0">
        <w:rPr>
          <w:rFonts w:ascii="Times New Roman" w:hAnsi="Times New Roman" w:cs="Times New Roman"/>
          <w:noProof/>
          <w:vertAlign w:val="superscript"/>
          <w:lang w:val="en-GB"/>
        </w:rPr>
        <w:t>20</w:t>
      </w:r>
      <w:r w:rsidRPr="00D95AC0">
        <w:rPr>
          <w:rFonts w:ascii="Times New Roman" w:hAnsi="Times New Roman" w:cs="Times New Roman"/>
          <w:lang w:val="en-GB"/>
        </w:rPr>
        <w:t xml:space="preserve"> obtained a score based on a) clinical significance (the maximum value) and b) clinical review status (the maximum value). ClinVar variants were extracted on April 30</w:t>
      </w:r>
      <w:r w:rsidRPr="00D95AC0">
        <w:rPr>
          <w:rFonts w:ascii="Times New Roman" w:hAnsi="Times New Roman" w:cs="Times New Roman"/>
          <w:vertAlign w:val="superscript"/>
          <w:lang w:val="en-GB"/>
        </w:rPr>
        <w:t>th</w:t>
      </w:r>
      <w:r w:rsidRPr="00D95AC0">
        <w:rPr>
          <w:rFonts w:ascii="Times New Roman" w:hAnsi="Times New Roman" w:cs="Times New Roman"/>
          <w:lang w:val="en-GB"/>
        </w:rPr>
        <w:t>, 2022. The Clinical Review Status Score corresponds to the number of gold stars as assigned by ClinVar. The sum of the Clinical Significance Score and the Clinical Review Status Score constitutes the ClinVar Score.</w:t>
      </w:r>
    </w:p>
    <w:p w14:paraId="20028B56" w14:textId="77777777" w:rsidR="00FA1D9C" w:rsidRPr="00D95AC0" w:rsidRDefault="00FA1D9C" w:rsidP="0092319D">
      <w:pPr>
        <w:spacing w:after="0" w:line="240" w:lineRule="auto"/>
        <w:rPr>
          <w:rFonts w:ascii="Times New Roman" w:eastAsia="Times New Roman" w:hAnsi="Times New Roman" w:cs="Times New Roman"/>
          <w:sz w:val="20"/>
          <w:szCs w:val="20"/>
          <w:lang w:val="en-GB" w:eastAsia="sv-SE"/>
        </w:rPr>
      </w:pPr>
    </w:p>
    <w:tbl>
      <w:tblPr>
        <w:tblStyle w:val="TableGrid"/>
        <w:tblW w:w="0" w:type="auto"/>
        <w:tblLook w:val="04A0" w:firstRow="1" w:lastRow="0" w:firstColumn="1" w:lastColumn="0" w:noHBand="0" w:noVBand="1"/>
      </w:tblPr>
      <w:tblGrid>
        <w:gridCol w:w="4106"/>
        <w:gridCol w:w="851"/>
      </w:tblGrid>
      <w:tr w:rsidR="00FA1D9C" w:rsidRPr="00D95AC0" w14:paraId="4568AD9E"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1CA82AC6"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ClinVar Clinical Significance</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7A7DC12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24C774D7" w14:textId="77777777" w:rsidTr="0092319D">
        <w:tc>
          <w:tcPr>
            <w:tcW w:w="4106" w:type="dxa"/>
            <w:tcBorders>
              <w:top w:val="single" w:sz="4" w:space="0" w:color="auto"/>
              <w:right w:val="nil"/>
            </w:tcBorders>
          </w:tcPr>
          <w:p w14:paraId="5BD9715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provided</w:t>
            </w:r>
          </w:p>
        </w:tc>
        <w:tc>
          <w:tcPr>
            <w:tcW w:w="851" w:type="dxa"/>
            <w:tcBorders>
              <w:top w:val="single" w:sz="4" w:space="0" w:color="auto"/>
              <w:left w:val="nil"/>
              <w:bottom w:val="single" w:sz="4" w:space="0" w:color="auto"/>
            </w:tcBorders>
            <w:vAlign w:val="center"/>
          </w:tcPr>
          <w:p w14:paraId="3FDD385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9D07025" w14:textId="77777777" w:rsidTr="0092319D">
        <w:tc>
          <w:tcPr>
            <w:tcW w:w="4106" w:type="dxa"/>
            <w:tcBorders>
              <w:right w:val="nil"/>
            </w:tcBorders>
          </w:tcPr>
          <w:p w14:paraId="12DA330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Drug response</w:t>
            </w:r>
          </w:p>
        </w:tc>
        <w:tc>
          <w:tcPr>
            <w:tcW w:w="851" w:type="dxa"/>
            <w:tcBorders>
              <w:left w:val="nil"/>
            </w:tcBorders>
            <w:vAlign w:val="center"/>
          </w:tcPr>
          <w:p w14:paraId="57E43BA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25E56CB2" w14:textId="77777777" w:rsidTr="0092319D">
        <w:tc>
          <w:tcPr>
            <w:tcW w:w="4106" w:type="dxa"/>
            <w:tcBorders>
              <w:right w:val="nil"/>
            </w:tcBorders>
          </w:tcPr>
          <w:p w14:paraId="7C6B216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Other</w:t>
            </w:r>
          </w:p>
        </w:tc>
        <w:tc>
          <w:tcPr>
            <w:tcW w:w="851" w:type="dxa"/>
            <w:tcBorders>
              <w:left w:val="nil"/>
            </w:tcBorders>
            <w:vAlign w:val="center"/>
          </w:tcPr>
          <w:p w14:paraId="34EDE7E1"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3FC5DF94" w14:textId="77777777" w:rsidTr="0092319D">
        <w:tc>
          <w:tcPr>
            <w:tcW w:w="4106" w:type="dxa"/>
            <w:tcBorders>
              <w:right w:val="nil"/>
            </w:tcBorders>
          </w:tcPr>
          <w:p w14:paraId="6D87A6D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Uncertain significance</w:t>
            </w:r>
          </w:p>
        </w:tc>
        <w:tc>
          <w:tcPr>
            <w:tcW w:w="851" w:type="dxa"/>
            <w:tcBorders>
              <w:left w:val="nil"/>
            </w:tcBorders>
            <w:vAlign w:val="center"/>
          </w:tcPr>
          <w:p w14:paraId="0818F04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1375A229" w14:textId="77777777" w:rsidTr="0092319D">
        <w:tc>
          <w:tcPr>
            <w:tcW w:w="4106" w:type="dxa"/>
            <w:tcBorders>
              <w:right w:val="nil"/>
            </w:tcBorders>
          </w:tcPr>
          <w:p w14:paraId="251F152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Benign</w:t>
            </w:r>
          </w:p>
        </w:tc>
        <w:tc>
          <w:tcPr>
            <w:tcW w:w="851" w:type="dxa"/>
            <w:tcBorders>
              <w:left w:val="nil"/>
            </w:tcBorders>
            <w:vAlign w:val="center"/>
          </w:tcPr>
          <w:p w14:paraId="347BFBB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778F744E" w14:textId="77777777" w:rsidTr="0092319D">
        <w:tc>
          <w:tcPr>
            <w:tcW w:w="4106" w:type="dxa"/>
            <w:tcBorders>
              <w:right w:val="nil"/>
            </w:tcBorders>
          </w:tcPr>
          <w:p w14:paraId="22DAB538"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Likely benign</w:t>
            </w:r>
          </w:p>
        </w:tc>
        <w:tc>
          <w:tcPr>
            <w:tcW w:w="851" w:type="dxa"/>
            <w:tcBorders>
              <w:left w:val="nil"/>
            </w:tcBorders>
            <w:vAlign w:val="center"/>
          </w:tcPr>
          <w:p w14:paraId="3B66F345"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7968924" w14:textId="77777777" w:rsidTr="0092319D">
        <w:tc>
          <w:tcPr>
            <w:tcW w:w="4106" w:type="dxa"/>
            <w:tcBorders>
              <w:right w:val="nil"/>
            </w:tcBorders>
          </w:tcPr>
          <w:p w14:paraId="556DD72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Likely pathogenic</w:t>
            </w:r>
          </w:p>
        </w:tc>
        <w:tc>
          <w:tcPr>
            <w:tcW w:w="851" w:type="dxa"/>
            <w:tcBorders>
              <w:left w:val="nil"/>
            </w:tcBorders>
            <w:vAlign w:val="center"/>
          </w:tcPr>
          <w:p w14:paraId="71E41F6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r w:rsidR="00FA1D9C" w:rsidRPr="00D95AC0" w14:paraId="6BB4B901" w14:textId="77777777" w:rsidTr="0092319D">
        <w:tc>
          <w:tcPr>
            <w:tcW w:w="4106" w:type="dxa"/>
            <w:tcBorders>
              <w:right w:val="nil"/>
            </w:tcBorders>
          </w:tcPr>
          <w:p w14:paraId="4517FD5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Pathogenic</w:t>
            </w:r>
          </w:p>
        </w:tc>
        <w:tc>
          <w:tcPr>
            <w:tcW w:w="851" w:type="dxa"/>
            <w:tcBorders>
              <w:left w:val="nil"/>
            </w:tcBorders>
            <w:vAlign w:val="center"/>
          </w:tcPr>
          <w:p w14:paraId="445E2B6C"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5</w:t>
            </w:r>
          </w:p>
        </w:tc>
      </w:tr>
    </w:tbl>
    <w:p w14:paraId="0F2A555A" w14:textId="77777777" w:rsidR="00FA1D9C" w:rsidRPr="00D95AC0" w:rsidRDefault="00FA1D9C" w:rsidP="0092319D">
      <w:pPr>
        <w:spacing w:after="0" w:line="240" w:lineRule="auto"/>
        <w:rPr>
          <w:rFonts w:ascii="Times New Roman" w:eastAsia="Times New Roman" w:hAnsi="Times New Roman" w:cs="Times New Roman"/>
          <w:sz w:val="20"/>
          <w:szCs w:val="20"/>
          <w:lang w:val="en-GB" w:eastAsia="sv-SE"/>
        </w:rPr>
      </w:pPr>
    </w:p>
    <w:tbl>
      <w:tblPr>
        <w:tblStyle w:val="TableGrid"/>
        <w:tblW w:w="0" w:type="auto"/>
        <w:tblLook w:val="04A0" w:firstRow="1" w:lastRow="0" w:firstColumn="1" w:lastColumn="0" w:noHBand="0" w:noVBand="1"/>
      </w:tblPr>
      <w:tblGrid>
        <w:gridCol w:w="4106"/>
        <w:gridCol w:w="851"/>
      </w:tblGrid>
      <w:tr w:rsidR="00FA1D9C" w:rsidRPr="00D95AC0" w14:paraId="6C4F4C9A" w14:textId="77777777" w:rsidTr="0092319D">
        <w:trPr>
          <w:trHeight w:val="397"/>
        </w:trPr>
        <w:tc>
          <w:tcPr>
            <w:tcW w:w="4106" w:type="dxa"/>
            <w:tcBorders>
              <w:top w:val="single" w:sz="4" w:space="0" w:color="auto"/>
              <w:left w:val="single" w:sz="4" w:space="0" w:color="auto"/>
              <w:bottom w:val="single" w:sz="4" w:space="0" w:color="auto"/>
              <w:right w:val="nil"/>
            </w:tcBorders>
            <w:shd w:val="clear" w:color="auto" w:fill="0A2F41" w:themeFill="accent1" w:themeFillShade="80"/>
            <w:vAlign w:val="center"/>
          </w:tcPr>
          <w:p w14:paraId="66190614" w14:textId="77777777" w:rsidR="00FA1D9C" w:rsidRPr="00D95AC0" w:rsidRDefault="00FA1D9C" w:rsidP="0092319D">
            <w:pPr>
              <w:rPr>
                <w:rFonts w:ascii="Times New Roman" w:hAnsi="Times New Roman" w:cs="Times New Roman"/>
                <w:b/>
                <w:bCs/>
                <w:lang w:val="en-GB"/>
              </w:rPr>
            </w:pPr>
            <w:r w:rsidRPr="00D95AC0">
              <w:rPr>
                <w:rFonts w:ascii="Times New Roman" w:hAnsi="Times New Roman" w:cs="Times New Roman"/>
                <w:b/>
                <w:bCs/>
                <w:lang w:val="en-GB"/>
              </w:rPr>
              <w:t>ClinVar Clinical Review Status</w:t>
            </w:r>
          </w:p>
        </w:tc>
        <w:tc>
          <w:tcPr>
            <w:tcW w:w="851" w:type="dxa"/>
            <w:tcBorders>
              <w:top w:val="single" w:sz="4" w:space="0" w:color="auto"/>
              <w:left w:val="nil"/>
              <w:bottom w:val="single" w:sz="4" w:space="0" w:color="auto"/>
              <w:right w:val="single" w:sz="4" w:space="0" w:color="auto"/>
            </w:tcBorders>
            <w:shd w:val="clear" w:color="auto" w:fill="0A2F41" w:themeFill="accent1" w:themeFillShade="80"/>
            <w:vAlign w:val="center"/>
          </w:tcPr>
          <w:p w14:paraId="690B29C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t>Score</w:t>
            </w:r>
          </w:p>
        </w:tc>
      </w:tr>
      <w:tr w:rsidR="00FA1D9C" w:rsidRPr="00D95AC0" w14:paraId="47F67C96" w14:textId="77777777" w:rsidTr="0092319D">
        <w:tc>
          <w:tcPr>
            <w:tcW w:w="4106" w:type="dxa"/>
            <w:tcBorders>
              <w:top w:val="single" w:sz="4" w:space="0" w:color="auto"/>
              <w:right w:val="nil"/>
            </w:tcBorders>
          </w:tcPr>
          <w:p w14:paraId="393A937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Not reported</w:t>
            </w:r>
          </w:p>
        </w:tc>
        <w:tc>
          <w:tcPr>
            <w:tcW w:w="851" w:type="dxa"/>
            <w:tcBorders>
              <w:top w:val="single" w:sz="4" w:space="0" w:color="auto"/>
              <w:left w:val="nil"/>
              <w:bottom w:val="single" w:sz="4" w:space="0" w:color="auto"/>
            </w:tcBorders>
            <w:vAlign w:val="center"/>
          </w:tcPr>
          <w:p w14:paraId="1737850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00E2D706" w14:textId="77777777" w:rsidTr="0092319D">
        <w:tc>
          <w:tcPr>
            <w:tcW w:w="4106" w:type="dxa"/>
            <w:tcBorders>
              <w:right w:val="nil"/>
            </w:tcBorders>
          </w:tcPr>
          <w:p w14:paraId="56165EAF"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 assertion provided</w:t>
            </w:r>
          </w:p>
        </w:tc>
        <w:tc>
          <w:tcPr>
            <w:tcW w:w="851" w:type="dxa"/>
            <w:tcBorders>
              <w:left w:val="nil"/>
            </w:tcBorders>
            <w:vAlign w:val="center"/>
          </w:tcPr>
          <w:p w14:paraId="333B3166"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4CDDB41" w14:textId="77777777" w:rsidTr="0092319D">
        <w:tc>
          <w:tcPr>
            <w:tcW w:w="4106" w:type="dxa"/>
            <w:tcBorders>
              <w:right w:val="nil"/>
            </w:tcBorders>
          </w:tcPr>
          <w:p w14:paraId="195FA0C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 assertion criteria provided</w:t>
            </w:r>
          </w:p>
        </w:tc>
        <w:tc>
          <w:tcPr>
            <w:tcW w:w="851" w:type="dxa"/>
            <w:tcBorders>
              <w:left w:val="nil"/>
            </w:tcBorders>
            <w:vAlign w:val="center"/>
          </w:tcPr>
          <w:p w14:paraId="04A8A4F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5E39D963" w14:textId="77777777" w:rsidTr="0092319D">
        <w:tc>
          <w:tcPr>
            <w:tcW w:w="4106" w:type="dxa"/>
            <w:tcBorders>
              <w:right w:val="nil"/>
            </w:tcBorders>
          </w:tcPr>
          <w:p w14:paraId="7861394B"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No interpretation for the single variant</w:t>
            </w:r>
          </w:p>
        </w:tc>
        <w:tc>
          <w:tcPr>
            <w:tcW w:w="851" w:type="dxa"/>
            <w:tcBorders>
              <w:left w:val="nil"/>
            </w:tcBorders>
            <w:vAlign w:val="center"/>
          </w:tcPr>
          <w:p w14:paraId="44DFF15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0</w:t>
            </w:r>
          </w:p>
        </w:tc>
      </w:tr>
      <w:tr w:rsidR="00FA1D9C" w:rsidRPr="00D95AC0" w14:paraId="6228E51F" w14:textId="77777777" w:rsidTr="0092319D">
        <w:tc>
          <w:tcPr>
            <w:tcW w:w="4106" w:type="dxa"/>
            <w:tcBorders>
              <w:right w:val="nil"/>
            </w:tcBorders>
          </w:tcPr>
          <w:p w14:paraId="6C559BC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Criteria provided, single submitter</w:t>
            </w:r>
          </w:p>
        </w:tc>
        <w:tc>
          <w:tcPr>
            <w:tcW w:w="851" w:type="dxa"/>
            <w:tcBorders>
              <w:left w:val="nil"/>
            </w:tcBorders>
            <w:vAlign w:val="center"/>
          </w:tcPr>
          <w:p w14:paraId="2B471CC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5E01BC32" w14:textId="77777777" w:rsidTr="0092319D">
        <w:tc>
          <w:tcPr>
            <w:tcW w:w="4106" w:type="dxa"/>
            <w:tcBorders>
              <w:right w:val="nil"/>
            </w:tcBorders>
          </w:tcPr>
          <w:p w14:paraId="55EAD1BE"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Criteria provided, conflicting interpretations</w:t>
            </w:r>
          </w:p>
        </w:tc>
        <w:tc>
          <w:tcPr>
            <w:tcW w:w="851" w:type="dxa"/>
            <w:tcBorders>
              <w:left w:val="nil"/>
            </w:tcBorders>
            <w:vAlign w:val="center"/>
          </w:tcPr>
          <w:p w14:paraId="2C7D4D0D"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1</w:t>
            </w:r>
          </w:p>
        </w:tc>
      </w:tr>
      <w:tr w:rsidR="00FA1D9C" w:rsidRPr="00D95AC0" w14:paraId="07FB6E12" w14:textId="77777777" w:rsidTr="0092319D">
        <w:tc>
          <w:tcPr>
            <w:tcW w:w="4106" w:type="dxa"/>
            <w:tcBorders>
              <w:right w:val="nil"/>
            </w:tcBorders>
          </w:tcPr>
          <w:p w14:paraId="039DA72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Criteria provided, multiple submitters, no conflicts</w:t>
            </w:r>
          </w:p>
        </w:tc>
        <w:tc>
          <w:tcPr>
            <w:tcW w:w="851" w:type="dxa"/>
            <w:tcBorders>
              <w:left w:val="nil"/>
            </w:tcBorders>
            <w:vAlign w:val="center"/>
          </w:tcPr>
          <w:p w14:paraId="5222469A"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2</w:t>
            </w:r>
          </w:p>
        </w:tc>
      </w:tr>
      <w:tr w:rsidR="00FA1D9C" w:rsidRPr="00D95AC0" w14:paraId="15328001" w14:textId="77777777" w:rsidTr="0092319D">
        <w:tc>
          <w:tcPr>
            <w:tcW w:w="4106" w:type="dxa"/>
            <w:tcBorders>
              <w:right w:val="nil"/>
            </w:tcBorders>
          </w:tcPr>
          <w:p w14:paraId="53BA602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Reviewed by expert panel</w:t>
            </w:r>
          </w:p>
        </w:tc>
        <w:tc>
          <w:tcPr>
            <w:tcW w:w="851" w:type="dxa"/>
            <w:tcBorders>
              <w:left w:val="nil"/>
            </w:tcBorders>
            <w:vAlign w:val="center"/>
          </w:tcPr>
          <w:p w14:paraId="3006F003"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3</w:t>
            </w:r>
          </w:p>
        </w:tc>
      </w:tr>
      <w:tr w:rsidR="00FA1D9C" w:rsidRPr="00D95AC0" w14:paraId="59267490" w14:textId="77777777" w:rsidTr="0092319D">
        <w:tc>
          <w:tcPr>
            <w:tcW w:w="4106" w:type="dxa"/>
            <w:tcBorders>
              <w:right w:val="nil"/>
            </w:tcBorders>
          </w:tcPr>
          <w:p w14:paraId="4D6562D4"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Practice guideline</w:t>
            </w:r>
          </w:p>
        </w:tc>
        <w:tc>
          <w:tcPr>
            <w:tcW w:w="851" w:type="dxa"/>
            <w:tcBorders>
              <w:left w:val="nil"/>
            </w:tcBorders>
            <w:vAlign w:val="center"/>
          </w:tcPr>
          <w:p w14:paraId="458D4F42"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lang w:val="en-GB"/>
              </w:rPr>
              <w:t xml:space="preserve">  4</w:t>
            </w:r>
          </w:p>
        </w:tc>
      </w:tr>
      <w:bookmarkEnd w:id="4"/>
    </w:tbl>
    <w:p w14:paraId="33528D22" w14:textId="77777777" w:rsidR="00FA1D9C" w:rsidRPr="00D95AC0" w:rsidRDefault="00FA1D9C" w:rsidP="0092319D">
      <w:pPr>
        <w:rPr>
          <w:rFonts w:ascii="Times New Roman" w:hAnsi="Times New Roman" w:cs="Times New Roman"/>
          <w:lang w:val="en-GB"/>
        </w:rPr>
      </w:pPr>
    </w:p>
    <w:p w14:paraId="00FD1C82" w14:textId="77777777" w:rsidR="00FA1D9C" w:rsidRPr="00776A3B" w:rsidRDefault="00FA1D9C" w:rsidP="00776A3B">
      <w:pPr>
        <w:pStyle w:val="Heading2"/>
        <w:spacing w:line="480" w:lineRule="auto"/>
        <w:rPr>
          <w:rFonts w:ascii="Times New Roman" w:hAnsi="Times New Roman" w:cs="Times New Roman"/>
          <w:b/>
          <w:bCs/>
          <w:lang w:val="en-GB"/>
        </w:rPr>
      </w:pPr>
      <w:r w:rsidRPr="00776A3B">
        <w:rPr>
          <w:rFonts w:ascii="Times New Roman" w:hAnsi="Times New Roman" w:cs="Times New Roman"/>
          <w:b/>
          <w:bCs/>
          <w:color w:val="auto"/>
          <w:lang w:val="en-GB"/>
        </w:rPr>
        <w:t>Gene collation</w:t>
      </w:r>
    </w:p>
    <w:p w14:paraId="093B61D3" w14:textId="58067993"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 xml:space="preserve">We aimed to establish a gene list incorporating a broad set of genes that may be relevant to genetic forms of heart failure. Genes were collated from three main sources: curated genes by ClinGen, curated genes by PanelApp, and a systematic review of the literature. First, we compiled a list of genes curated by ClinGen as having moderate, strong, or definitive evidence (hereafter referred to as potentially pathogenic) for hypertrophic cardiomyopathy (HCM, including genes associated with clinical syndromes and genes causing HCM </w:t>
      </w:r>
      <w:r w:rsidRPr="00D95AC0">
        <w:rPr>
          <w:rFonts w:ascii="Times New Roman" w:hAnsi="Times New Roman" w:cs="Times New Roman"/>
          <w:lang w:val="en-GB"/>
        </w:rPr>
        <w:lastRenderedPageBreak/>
        <w:t>phenocopies),</w:t>
      </w:r>
      <w:r w:rsidRPr="00D95AC0">
        <w:rPr>
          <w:rFonts w:ascii="Times New Roman" w:hAnsi="Times New Roman" w:cs="Times New Roman"/>
          <w:noProof/>
          <w:vertAlign w:val="superscript"/>
          <w:lang w:val="en-GB"/>
        </w:rPr>
        <w:t>21</w:t>
      </w:r>
      <w:r w:rsidRPr="00D95AC0">
        <w:rPr>
          <w:rFonts w:ascii="Times New Roman" w:hAnsi="Times New Roman" w:cs="Times New Roman"/>
          <w:lang w:val="en-GB"/>
        </w:rPr>
        <w:t xml:space="preserve"> dilated cardiomyopathy (DCM),</w:t>
      </w:r>
      <w:r w:rsidRPr="00D95AC0">
        <w:rPr>
          <w:rFonts w:ascii="Times New Roman" w:hAnsi="Times New Roman" w:cs="Times New Roman"/>
          <w:noProof/>
          <w:vertAlign w:val="superscript"/>
          <w:lang w:val="en-GB"/>
        </w:rPr>
        <w:t>22</w:t>
      </w:r>
      <w:r w:rsidRPr="00D95AC0">
        <w:rPr>
          <w:rFonts w:ascii="Times New Roman" w:hAnsi="Times New Roman" w:cs="Times New Roman"/>
          <w:lang w:val="en-GB"/>
        </w:rPr>
        <w:t xml:space="preserve"> arrhythmogenic right ventricular cardiomyopathy (ARVC),</w:t>
      </w:r>
      <w:r w:rsidRPr="00D95AC0">
        <w:rPr>
          <w:rFonts w:ascii="Times New Roman" w:hAnsi="Times New Roman" w:cs="Times New Roman"/>
          <w:noProof/>
          <w:vertAlign w:val="superscript"/>
          <w:lang w:val="en-GB"/>
        </w:rPr>
        <w:t>23</w:t>
      </w:r>
      <w:r w:rsidRPr="00D95AC0">
        <w:rPr>
          <w:rFonts w:ascii="Times New Roman" w:hAnsi="Times New Roman" w:cs="Times New Roman"/>
          <w:lang w:val="en-GB"/>
        </w:rPr>
        <w:t xml:space="preserve"> and familial hypercholesterolemia (FH).</w:t>
      </w:r>
      <w:r w:rsidRPr="00D95AC0">
        <w:rPr>
          <w:rFonts w:ascii="Times New Roman" w:hAnsi="Times New Roman" w:cs="Times New Roman"/>
          <w:noProof/>
          <w:vertAlign w:val="superscript"/>
          <w:lang w:val="en-GB"/>
        </w:rPr>
        <w:t>24</w:t>
      </w:r>
      <w:r w:rsidRPr="00D95AC0">
        <w:rPr>
          <w:rFonts w:ascii="Times New Roman" w:hAnsi="Times New Roman" w:cs="Times New Roman"/>
          <w:lang w:val="en-GB"/>
        </w:rPr>
        <w:t xml:space="preserve"> </w:t>
      </w:r>
      <w:r w:rsidR="00776A3B">
        <w:rPr>
          <w:rFonts w:ascii="Times New Roman" w:hAnsi="Times New Roman" w:cs="Times New Roman"/>
          <w:lang w:val="en-GB"/>
        </w:rPr>
        <w:t>Since we originally planned to</w:t>
      </w:r>
      <w:r>
        <w:rPr>
          <w:rFonts w:ascii="Times New Roman" w:hAnsi="Times New Roman" w:cs="Times New Roman"/>
          <w:lang w:val="en-GB"/>
        </w:rPr>
        <w:t xml:space="preserve"> analyse left ventricular non-compaction (LVNC) as a separate clinical entity, we also included articles with this subject as well. </w:t>
      </w:r>
      <w:r w:rsidRPr="00D95AC0">
        <w:rPr>
          <w:rFonts w:ascii="Times New Roman" w:hAnsi="Times New Roman" w:cs="Times New Roman"/>
          <w:lang w:val="en-GB"/>
        </w:rPr>
        <w:t>ClinGen has currently not published any gene curation for monogenic hypertension (MGH), LVNC, or restrictive cardiomyopathy (RCM). We supplemented this list with genes from PanelApp, an online crowd-sourcing tool created and moderated by Genomics England.</w:t>
      </w:r>
      <w:r w:rsidRPr="00D95AC0">
        <w:rPr>
          <w:rFonts w:ascii="Times New Roman" w:hAnsi="Times New Roman" w:cs="Times New Roman"/>
          <w:noProof/>
          <w:vertAlign w:val="superscript"/>
          <w:lang w:val="en-GB"/>
        </w:rPr>
        <w:t>25</w:t>
      </w:r>
      <w:r w:rsidRPr="00D95AC0">
        <w:rPr>
          <w:rFonts w:ascii="Times New Roman" w:hAnsi="Times New Roman" w:cs="Times New Roman"/>
          <w:lang w:val="en-GB"/>
        </w:rPr>
        <w:t xml:space="preserve"> Genes curated as amber or green (hereafter referred to as potentially pathogenic) were abstracted from the following panels: </w:t>
      </w:r>
    </w:p>
    <w:p w14:paraId="462490C7"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Hypertrophic cardiomyopathy - teen and adult (v. 2.32), accessed 2021-11-18</w:t>
      </w:r>
    </w:p>
    <w:p w14:paraId="03D2FF52"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Dilated cardiomyopathy - adult and teen (v. 1.26), accessed 2021-11-18</w:t>
      </w:r>
    </w:p>
    <w:p w14:paraId="5099A07D"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Arrhythmogenic cardiomyopathy (v 2.13), accessed 2021-11-18</w:t>
      </w:r>
    </w:p>
    <w:p w14:paraId="30AEC1FD"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Left Ventricular Noncompaction Cardiomyopathy (v. 1.4), accessed 2021-11-18</w:t>
      </w:r>
    </w:p>
    <w:p w14:paraId="3B54D3F0"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Cardiomyopathies - including childhood onset (v 1.59), accessed 2021-12-20</w:t>
      </w:r>
    </w:p>
    <w:p w14:paraId="40536D89" w14:textId="77777777" w:rsidR="00FA1D9C" w:rsidRPr="00D95AC0" w:rsidRDefault="00FA1D9C" w:rsidP="0092319D">
      <w:pPr>
        <w:pStyle w:val="ListParagraph"/>
        <w:numPr>
          <w:ilvl w:val="0"/>
          <w:numId w:val="9"/>
        </w:numPr>
        <w:spacing w:line="480" w:lineRule="auto"/>
        <w:rPr>
          <w:rFonts w:ascii="Times New Roman" w:hAnsi="Times New Roman" w:cs="Times New Roman"/>
          <w:lang w:val="en-GB"/>
        </w:rPr>
      </w:pPr>
      <w:r w:rsidRPr="00D95AC0">
        <w:rPr>
          <w:rFonts w:ascii="Times New Roman" w:hAnsi="Times New Roman" w:cs="Times New Roman"/>
          <w:lang w:val="en-GB"/>
        </w:rPr>
        <w:t>Familial hypercholesterolaemia - targeted panel (v. 1.9), accessed 2021-11-18</w:t>
      </w:r>
    </w:p>
    <w:p w14:paraId="5B9E0852"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All genes that were classified as potentially pathogenic by either ClinGen or PanelApp were included. This list was supplemented with additional genes from a systematic literature review for genes associated with DCM, HCM, ARVC, LVNC, RCM, and MGH. Search phrases used are detailed below. All searches were performed with PubMed on November 1, 2021. Titles and abstracts yielded by the search were screened and articles that applied a systematic approach to review genes for each condition were included and genes included into the gene list. The following phrases were used:</w:t>
      </w:r>
    </w:p>
    <w:p w14:paraId="58B20CAD" w14:textId="77777777" w:rsidR="00FA1D9C" w:rsidRPr="00D95AC0" w:rsidRDefault="00FA1D9C" w:rsidP="0092319D">
      <w:pPr>
        <w:pStyle w:val="ListParagraph"/>
        <w:numPr>
          <w:ilvl w:val="0"/>
          <w:numId w:val="10"/>
        </w:numPr>
        <w:spacing w:line="480" w:lineRule="auto"/>
        <w:rPr>
          <w:rFonts w:ascii="Times New Roman" w:hAnsi="Times New Roman" w:cs="Times New Roman"/>
          <w:lang w:val="en-GB"/>
        </w:rPr>
      </w:pPr>
      <w:r w:rsidRPr="00D95AC0">
        <w:rPr>
          <w:rFonts w:ascii="Times New Roman" w:hAnsi="Times New Roman" w:cs="Times New Roman"/>
          <w:lang w:val="en-GB"/>
        </w:rPr>
        <w:t xml:space="preserve">Search for DCM: </w:t>
      </w:r>
      <w:r w:rsidRPr="00D95AC0">
        <w:rPr>
          <w:rFonts w:ascii="Times New Roman" w:hAnsi="Times New Roman" w:cs="Times New Roman"/>
          <w:i/>
          <w:iCs/>
          <w:lang w:val="en-GB"/>
        </w:rPr>
        <w:t>"Cardiomyopathy, Dilated"[Mesh] AND (((gene) OR (genes)) OR (genet*))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137 results of which 32 articles included a structured gene presentation and were included.</w:t>
      </w:r>
    </w:p>
    <w:p w14:paraId="419D2F5A" w14:textId="77777777" w:rsidR="00FA1D9C" w:rsidRPr="00D95AC0" w:rsidRDefault="00FA1D9C" w:rsidP="0092319D">
      <w:pPr>
        <w:pStyle w:val="ListParagraph"/>
        <w:numPr>
          <w:ilvl w:val="0"/>
          <w:numId w:val="10"/>
        </w:numPr>
        <w:spacing w:line="480" w:lineRule="auto"/>
        <w:rPr>
          <w:rFonts w:ascii="Times New Roman" w:hAnsi="Times New Roman" w:cs="Times New Roman"/>
          <w:i/>
          <w:iCs/>
          <w:lang w:val="en-GB"/>
        </w:rPr>
      </w:pPr>
      <w:r w:rsidRPr="00D95AC0">
        <w:rPr>
          <w:rFonts w:ascii="Times New Roman" w:hAnsi="Times New Roman" w:cs="Times New Roman"/>
          <w:lang w:val="en-GB"/>
        </w:rPr>
        <w:lastRenderedPageBreak/>
        <w:t xml:space="preserve">Search for HCM: </w:t>
      </w:r>
      <w:r w:rsidRPr="00D95AC0">
        <w:rPr>
          <w:rFonts w:ascii="Times New Roman" w:hAnsi="Times New Roman" w:cs="Times New Roman"/>
          <w:i/>
          <w:iCs/>
          <w:lang w:val="en-GB"/>
        </w:rPr>
        <w:t>"Cardiomyopathy, Hypertrophic"[Mesh] AND (((gene) OR (genes)) OR (genet*))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184 results of which 32 articles included a structured gene presentation and were included.</w:t>
      </w:r>
    </w:p>
    <w:p w14:paraId="462E55C1" w14:textId="77777777" w:rsidR="00FA1D9C" w:rsidRPr="00D95AC0" w:rsidRDefault="00FA1D9C" w:rsidP="0092319D">
      <w:pPr>
        <w:pStyle w:val="ListParagraph"/>
        <w:numPr>
          <w:ilvl w:val="0"/>
          <w:numId w:val="10"/>
        </w:numPr>
        <w:spacing w:line="480" w:lineRule="auto"/>
        <w:rPr>
          <w:rFonts w:ascii="Times New Roman" w:hAnsi="Times New Roman" w:cs="Times New Roman"/>
          <w:i/>
          <w:iCs/>
          <w:lang w:val="en-GB"/>
        </w:rPr>
      </w:pPr>
      <w:r w:rsidRPr="00D95AC0">
        <w:rPr>
          <w:rFonts w:ascii="Times New Roman" w:hAnsi="Times New Roman" w:cs="Times New Roman"/>
          <w:lang w:val="en-GB"/>
        </w:rPr>
        <w:t xml:space="preserve">Search for ARVC: </w:t>
      </w:r>
      <w:r w:rsidRPr="00D95AC0">
        <w:rPr>
          <w:rFonts w:ascii="Times New Roman" w:hAnsi="Times New Roman" w:cs="Times New Roman"/>
          <w:i/>
          <w:iCs/>
          <w:lang w:val="en-GB"/>
        </w:rPr>
        <w:t>"Arrhythmogenic Right Ventricular Dysplasia"[Mesh] AND (((gene) OR (genes)) OR (genet*))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91 results of which 28 articles included a structured gene presentation and were included.</w:t>
      </w:r>
    </w:p>
    <w:p w14:paraId="7A9CA095" w14:textId="77777777" w:rsidR="00FA1D9C" w:rsidRPr="00D95AC0" w:rsidRDefault="00FA1D9C" w:rsidP="0092319D">
      <w:pPr>
        <w:pStyle w:val="ListParagraph"/>
        <w:numPr>
          <w:ilvl w:val="0"/>
          <w:numId w:val="10"/>
        </w:numPr>
        <w:spacing w:line="480" w:lineRule="auto"/>
        <w:rPr>
          <w:rFonts w:ascii="Times New Roman" w:hAnsi="Times New Roman" w:cs="Times New Roman"/>
          <w:i/>
          <w:iCs/>
          <w:lang w:val="en-GB"/>
        </w:rPr>
      </w:pPr>
      <w:r w:rsidRPr="00D95AC0">
        <w:rPr>
          <w:rFonts w:ascii="Times New Roman" w:hAnsi="Times New Roman" w:cs="Times New Roman"/>
          <w:lang w:val="en-GB"/>
        </w:rPr>
        <w:t xml:space="preserve">Search for RCM: </w:t>
      </w:r>
      <w:r w:rsidRPr="00D95AC0">
        <w:rPr>
          <w:rFonts w:ascii="Times New Roman" w:hAnsi="Times New Roman" w:cs="Times New Roman"/>
          <w:i/>
          <w:iCs/>
          <w:lang w:val="en-GB"/>
        </w:rPr>
        <w:t>"Cardiomyopathy, Restrictive"[Mesh] AND (((gene) OR (genes)) OR (genet*))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14 results of which 3 articles included a structured gene presentation and were included.</w:t>
      </w:r>
    </w:p>
    <w:p w14:paraId="65C95B4E" w14:textId="77777777" w:rsidR="00FA1D9C" w:rsidRPr="00D95AC0" w:rsidRDefault="00FA1D9C" w:rsidP="0092319D">
      <w:pPr>
        <w:pStyle w:val="ListParagraph"/>
        <w:numPr>
          <w:ilvl w:val="0"/>
          <w:numId w:val="10"/>
        </w:numPr>
        <w:spacing w:line="480" w:lineRule="auto"/>
        <w:rPr>
          <w:rFonts w:ascii="Times New Roman" w:hAnsi="Times New Roman" w:cs="Times New Roman"/>
          <w:lang w:val="en-GB"/>
        </w:rPr>
      </w:pPr>
      <w:r w:rsidRPr="00D95AC0">
        <w:rPr>
          <w:rFonts w:ascii="Times New Roman" w:hAnsi="Times New Roman" w:cs="Times New Roman"/>
          <w:lang w:val="en-GB"/>
        </w:rPr>
        <w:t xml:space="preserve">Search for LVNC: </w:t>
      </w:r>
      <w:r w:rsidRPr="00D95AC0">
        <w:rPr>
          <w:rFonts w:ascii="Times New Roman" w:hAnsi="Times New Roman" w:cs="Times New Roman"/>
          <w:i/>
          <w:iCs/>
          <w:lang w:val="en-GB"/>
        </w:rPr>
        <w:t>"Isolated Noncompaction of the Ventricular Myocardium"[Mesh] AND (((gene) OR (genes)) OR (genet*))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22 results of which 11 articles included a structured gene presentation and were included.</w:t>
      </w:r>
    </w:p>
    <w:p w14:paraId="78C09DD1" w14:textId="77777777" w:rsidR="00FA1D9C" w:rsidRPr="00D95AC0" w:rsidRDefault="00FA1D9C" w:rsidP="0092319D">
      <w:pPr>
        <w:pStyle w:val="ListParagraph"/>
        <w:numPr>
          <w:ilvl w:val="0"/>
          <w:numId w:val="10"/>
        </w:numPr>
        <w:spacing w:line="480" w:lineRule="auto"/>
        <w:rPr>
          <w:rFonts w:ascii="Times New Roman" w:hAnsi="Times New Roman" w:cs="Times New Roman"/>
          <w:lang w:val="en-GB"/>
        </w:rPr>
      </w:pPr>
      <w:r w:rsidRPr="00D95AC0">
        <w:rPr>
          <w:rFonts w:ascii="Times New Roman" w:hAnsi="Times New Roman" w:cs="Times New Roman"/>
          <w:lang w:val="en-GB"/>
        </w:rPr>
        <w:t xml:space="preserve">Search for MGH: </w:t>
      </w:r>
      <w:r w:rsidRPr="00D95AC0">
        <w:rPr>
          <w:rFonts w:ascii="Times New Roman" w:hAnsi="Times New Roman" w:cs="Times New Roman"/>
          <w:i/>
          <w:iCs/>
          <w:lang w:val="en-GB"/>
        </w:rPr>
        <w:t>("Hypertension"[Mesh]) AND ((monogenic) OR (Mendelian) OR (autosomal) OR (recessive)) AND (</w:t>
      </w:r>
      <w:proofErr w:type="gramStart"/>
      <w:r w:rsidRPr="00D95AC0">
        <w:rPr>
          <w:rFonts w:ascii="Times New Roman" w:hAnsi="Times New Roman" w:cs="Times New Roman"/>
          <w:i/>
          <w:iCs/>
          <w:lang w:val="en-GB"/>
        </w:rPr>
        <w:t>review[</w:t>
      </w:r>
      <w:proofErr w:type="gramEnd"/>
      <w:r w:rsidRPr="00D95AC0">
        <w:rPr>
          <w:rFonts w:ascii="Times New Roman" w:hAnsi="Times New Roman" w:cs="Times New Roman"/>
          <w:i/>
          <w:iCs/>
          <w:lang w:val="en-GB"/>
        </w:rPr>
        <w:t>Filter]) AND (2015:2021/11/1[</w:t>
      </w:r>
      <w:proofErr w:type="spellStart"/>
      <w:r w:rsidRPr="00D95AC0">
        <w:rPr>
          <w:rFonts w:ascii="Times New Roman" w:hAnsi="Times New Roman" w:cs="Times New Roman"/>
          <w:i/>
          <w:iCs/>
          <w:lang w:val="en-GB"/>
        </w:rPr>
        <w:t>pdat</w:t>
      </w:r>
      <w:proofErr w:type="spellEnd"/>
      <w:r w:rsidRPr="00D95AC0">
        <w:rPr>
          <w:rFonts w:ascii="Times New Roman" w:hAnsi="Times New Roman" w:cs="Times New Roman"/>
          <w:i/>
          <w:iCs/>
          <w:lang w:val="en-GB"/>
        </w:rPr>
        <w:t xml:space="preserve">]). </w:t>
      </w:r>
      <w:r w:rsidRPr="00D95AC0">
        <w:rPr>
          <w:rFonts w:ascii="Times New Roman" w:hAnsi="Times New Roman" w:cs="Times New Roman"/>
          <w:lang w:val="en-GB"/>
        </w:rPr>
        <w:t>Search yielded 105 results of which 16 articles included a structured gene presentation and were included.</w:t>
      </w:r>
    </w:p>
    <w:p w14:paraId="10735D01" w14:textId="76887330" w:rsidR="00FA1D9C"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 xml:space="preserve">In total, 105 unique articles were included from which 368 genes were extracted. In addition, one participant in our study had a prior diagnosis of glycogen storage disease type IV, carrying a variant in the gene </w:t>
      </w:r>
      <w:r w:rsidRPr="00D95AC0">
        <w:rPr>
          <w:rFonts w:ascii="Times New Roman" w:hAnsi="Times New Roman" w:cs="Times New Roman"/>
          <w:i/>
          <w:iCs/>
          <w:lang w:val="en-GB"/>
        </w:rPr>
        <w:t>GBE1</w:t>
      </w:r>
      <w:r w:rsidRPr="00D95AC0">
        <w:rPr>
          <w:rFonts w:ascii="Times New Roman" w:hAnsi="Times New Roman" w:cs="Times New Roman"/>
          <w:lang w:val="en-GB"/>
        </w:rPr>
        <w:t xml:space="preserve"> which was added to the list also for a total of 369 genes (listed below in </w:t>
      </w:r>
      <w:r w:rsidRPr="00D95AC0">
        <w:rPr>
          <w:rFonts w:ascii="Times New Roman" w:hAnsi="Times New Roman" w:cs="Times New Roman"/>
          <w:b/>
          <w:bCs/>
          <w:lang w:val="en-GB"/>
        </w:rPr>
        <w:t>Supplementary Fig</w:t>
      </w:r>
      <w:r w:rsidR="00776A3B">
        <w:rPr>
          <w:rFonts w:ascii="Times New Roman" w:hAnsi="Times New Roman" w:cs="Times New Roman"/>
          <w:b/>
          <w:bCs/>
          <w:lang w:val="en-GB"/>
        </w:rPr>
        <w:t>.</w:t>
      </w:r>
      <w:r w:rsidRPr="00D95AC0">
        <w:rPr>
          <w:rFonts w:ascii="Times New Roman" w:hAnsi="Times New Roman" w:cs="Times New Roman"/>
          <w:lang w:val="en-GB"/>
        </w:rPr>
        <w:t xml:space="preserve"> and </w:t>
      </w:r>
      <w:r w:rsidRPr="00D95AC0">
        <w:rPr>
          <w:rFonts w:ascii="Times New Roman" w:hAnsi="Times New Roman" w:cs="Times New Roman"/>
          <w:b/>
          <w:bCs/>
          <w:lang w:val="en-GB"/>
        </w:rPr>
        <w:t xml:space="preserve">Supplementary Table </w:t>
      </w:r>
      <w:r>
        <w:rPr>
          <w:rFonts w:ascii="Times New Roman" w:hAnsi="Times New Roman" w:cs="Times New Roman"/>
          <w:b/>
          <w:bCs/>
          <w:lang w:val="en-GB"/>
        </w:rPr>
        <w:t>S</w:t>
      </w:r>
      <w:r w:rsidRPr="00D95AC0">
        <w:rPr>
          <w:rFonts w:ascii="Times New Roman" w:hAnsi="Times New Roman" w:cs="Times New Roman"/>
          <w:b/>
          <w:bCs/>
          <w:lang w:val="en-GB"/>
        </w:rPr>
        <w:t>1</w:t>
      </w:r>
      <w:r w:rsidRPr="00D95AC0">
        <w:rPr>
          <w:rFonts w:ascii="Times New Roman" w:hAnsi="Times New Roman" w:cs="Times New Roman"/>
          <w:lang w:val="en-GB"/>
        </w:rPr>
        <w:t xml:space="preserve">). </w:t>
      </w:r>
    </w:p>
    <w:p w14:paraId="522DCE0D" w14:textId="77777777" w:rsidR="00FA1D9C" w:rsidRPr="00D95AC0" w:rsidRDefault="00FA1D9C" w:rsidP="00B676ED">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t>Variant classification</w:t>
      </w:r>
    </w:p>
    <w:p w14:paraId="4246A050" w14:textId="77777777" w:rsidR="00FA1D9C" w:rsidRPr="00D95AC0" w:rsidRDefault="00FA1D9C" w:rsidP="006A439B">
      <w:pPr>
        <w:spacing w:line="480" w:lineRule="auto"/>
        <w:rPr>
          <w:rFonts w:ascii="Times New Roman" w:hAnsi="Times New Roman" w:cs="Times New Roman"/>
          <w:lang w:val="en-GB"/>
        </w:rPr>
      </w:pPr>
      <w:r w:rsidRPr="00D95AC0">
        <w:rPr>
          <w:rFonts w:ascii="Times New Roman" w:hAnsi="Times New Roman" w:cs="Times New Roman"/>
          <w:lang w:val="en-GB"/>
        </w:rPr>
        <w:t>Manual classification was conducted in accordance with the American College of Medical Genetics (ACMG) criteria using gene- and condition-specific criteria when available.</w:t>
      </w:r>
      <w:r w:rsidRPr="00D95AC0">
        <w:rPr>
          <w:rFonts w:ascii="Times New Roman" w:hAnsi="Times New Roman" w:cs="Times New Roman"/>
          <w:noProof/>
          <w:vertAlign w:val="superscript"/>
          <w:lang w:val="en-GB"/>
        </w:rPr>
        <w:t>8,26-28</w:t>
      </w:r>
      <w:r w:rsidRPr="00D95AC0">
        <w:rPr>
          <w:rFonts w:ascii="Times New Roman" w:hAnsi="Times New Roman" w:cs="Times New Roman"/>
          <w:lang w:val="en-GB"/>
        </w:rPr>
        <w:t xml:space="preserve"> </w:t>
      </w:r>
      <w:r w:rsidRPr="00D95AC0">
        <w:rPr>
          <w:rFonts w:ascii="Times New Roman" w:hAnsi="Times New Roman" w:cs="Times New Roman"/>
          <w:lang w:val="en-GB"/>
        </w:rPr>
        <w:lastRenderedPageBreak/>
        <w:t xml:space="preserve">Variants were classified as benign/likely benign (B/LB), variant of uncertain significance (VUS), likely pathogenic (LP) and pathogenic (P). Variant interpretation was aided by the Alamut Visual Plus browser (Interactive </w:t>
      </w:r>
      <w:proofErr w:type="spellStart"/>
      <w:r w:rsidRPr="00D95AC0">
        <w:rPr>
          <w:rFonts w:ascii="Times New Roman" w:hAnsi="Times New Roman" w:cs="Times New Roman"/>
          <w:lang w:val="en-GB"/>
        </w:rPr>
        <w:t>Biosoftware</w:t>
      </w:r>
      <w:proofErr w:type="spellEnd"/>
      <w:r w:rsidRPr="00D95AC0">
        <w:rPr>
          <w:rFonts w:ascii="Times New Roman" w:hAnsi="Times New Roman" w:cs="Times New Roman"/>
          <w:lang w:val="en-GB"/>
        </w:rPr>
        <w:t>, Rouen, France). All variants presented in this article were classified by board-certified clinical geneticists (MH and HE) in accordance with ACMG recommendations.</w:t>
      </w:r>
      <w:r w:rsidRPr="00D95AC0">
        <w:rPr>
          <w:rFonts w:ascii="Times New Roman" w:hAnsi="Times New Roman" w:cs="Times New Roman"/>
          <w:noProof/>
          <w:vertAlign w:val="superscript"/>
          <w:lang w:val="en-GB"/>
        </w:rPr>
        <w:t>8</w:t>
      </w:r>
    </w:p>
    <w:p w14:paraId="2A8103DE" w14:textId="77777777" w:rsidR="00FA1D9C" w:rsidRPr="00D95AC0" w:rsidRDefault="00FA1D9C" w:rsidP="0092319D">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t>Polygenic risk score derivation</w:t>
      </w:r>
    </w:p>
    <w:p w14:paraId="327E1738"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The HERMES dataset used for development of the risk score included 153,174 HF cases and 1,793,175 controls from a meta-analysis of longitudinal population-based cohorts, hospital-based electronic health record cohorts, case-control studies, and clinical trials. Protocols for quality control and meta-analysis in this consortium have been described previously.</w:t>
      </w:r>
      <w:r w:rsidRPr="00D95AC0">
        <w:rPr>
          <w:rFonts w:ascii="Times New Roman" w:hAnsi="Times New Roman" w:cs="Times New Roman"/>
          <w:noProof/>
          <w:vertAlign w:val="superscript"/>
          <w:lang w:val="en-GB"/>
        </w:rPr>
        <w:t>29</w:t>
      </w:r>
    </w:p>
    <w:p w14:paraId="2A4D8255" w14:textId="77777777" w:rsidR="00FA1D9C" w:rsidRPr="00D95AC0" w:rsidRDefault="00FA1D9C" w:rsidP="0092319D">
      <w:pPr>
        <w:spacing w:line="480" w:lineRule="auto"/>
        <w:rPr>
          <w:rFonts w:ascii="Times New Roman" w:hAnsi="Times New Roman" w:cs="Times New Roman"/>
          <w:lang w:val="en-GB"/>
        </w:rPr>
      </w:pPr>
      <w:r w:rsidRPr="00D95AC0">
        <w:rPr>
          <w:rFonts w:ascii="Times New Roman" w:hAnsi="Times New Roman" w:cs="Times New Roman"/>
          <w:lang w:val="en-GB"/>
        </w:rPr>
        <w:t xml:space="preserve">Polygenic risk scores were derived based on summary statistics from the HERMES dataset using the LDpred2 algorithm as implemented in the R package </w:t>
      </w:r>
      <w:proofErr w:type="spellStart"/>
      <w:r w:rsidRPr="00D95AC0">
        <w:rPr>
          <w:rFonts w:ascii="Times New Roman" w:hAnsi="Times New Roman" w:cs="Times New Roman"/>
          <w:lang w:val="en-GB"/>
        </w:rPr>
        <w:t>bigsnpr</w:t>
      </w:r>
      <w:proofErr w:type="spellEnd"/>
      <w:r w:rsidRPr="00D95AC0">
        <w:rPr>
          <w:rFonts w:ascii="Times New Roman" w:hAnsi="Times New Roman" w:cs="Times New Roman"/>
          <w:lang w:val="en-GB"/>
        </w:rPr>
        <w:t xml:space="preserve"> 1.8.1 in R version 3.6.0 (R Foundation, Vienna, Austria).</w:t>
      </w:r>
      <w:r w:rsidRPr="00D95AC0">
        <w:rPr>
          <w:rFonts w:ascii="Times New Roman" w:hAnsi="Times New Roman" w:cs="Times New Roman"/>
          <w:noProof/>
          <w:vertAlign w:val="superscript"/>
          <w:lang w:val="en-GB"/>
        </w:rPr>
        <w:t>30</w:t>
      </w:r>
      <w:r w:rsidRPr="00D95AC0">
        <w:rPr>
          <w:rFonts w:ascii="Times New Roman" w:hAnsi="Times New Roman" w:cs="Times New Roman"/>
          <w:lang w:val="en-GB"/>
        </w:rPr>
        <w:t xml:space="preserve"> The ‘auto’ option in LDpred2 was used, which directly learns the two LDpred2 parameters (sparsity and SNP heritability) from the dataset. The correlation of polymorphisms (linkage disequilibrium) was obtained from a reference panel provided by the software which is based on the UK Biobank and 1000 Genomes Project samples. Analyses were restricted to variants with minor allele frequency&gt;0.01, and Hardy-Weinberg equilibrium </w:t>
      </w:r>
      <w:r w:rsidRPr="00D95AC0">
        <w:rPr>
          <w:rFonts w:ascii="Times New Roman" w:hAnsi="Times New Roman" w:cs="Times New Roman"/>
          <w:i/>
          <w:iCs/>
          <w:lang w:val="en-GB"/>
        </w:rPr>
        <w:t>P</w:t>
      </w:r>
      <w:r w:rsidRPr="00D95AC0">
        <w:rPr>
          <w:rFonts w:ascii="Times New Roman" w:hAnsi="Times New Roman" w:cs="Times New Roman"/>
          <w:lang w:val="en-GB"/>
        </w:rPr>
        <w:t>&lt;10</w:t>
      </w:r>
      <w:r w:rsidRPr="00D95AC0">
        <w:rPr>
          <w:rFonts w:ascii="Times New Roman" w:hAnsi="Times New Roman" w:cs="Times New Roman"/>
          <w:vertAlign w:val="superscript"/>
          <w:lang w:val="en-GB"/>
        </w:rPr>
        <w:t>-10</w:t>
      </w:r>
      <w:r w:rsidRPr="00D95AC0">
        <w:rPr>
          <w:rFonts w:ascii="Times New Roman" w:hAnsi="Times New Roman" w:cs="Times New Roman"/>
          <w:lang w:val="en-GB"/>
        </w:rPr>
        <w:t>.</w:t>
      </w:r>
    </w:p>
    <w:p w14:paraId="7A8DB930" w14:textId="77777777" w:rsidR="00FA1D9C" w:rsidRPr="00D95AC0" w:rsidRDefault="00FA1D9C">
      <w:pPr>
        <w:rPr>
          <w:rFonts w:ascii="Times New Roman" w:hAnsi="Times New Roman" w:cs="Times New Roman"/>
          <w:lang w:val="en-GB"/>
        </w:rPr>
      </w:pPr>
      <w:r w:rsidRPr="00D95AC0">
        <w:rPr>
          <w:rFonts w:ascii="Times New Roman" w:hAnsi="Times New Roman" w:cs="Times New Roman"/>
          <w:lang w:val="en-GB"/>
        </w:rPr>
        <w:br w:type="page"/>
      </w:r>
    </w:p>
    <w:p w14:paraId="2A065D20" w14:textId="77777777" w:rsidR="00FA1D9C" w:rsidRPr="00D95AC0" w:rsidRDefault="00FA1D9C" w:rsidP="006A439B">
      <w:pPr>
        <w:pStyle w:val="Heading1"/>
        <w:spacing w:line="480" w:lineRule="auto"/>
        <w:rPr>
          <w:rFonts w:ascii="Times New Roman" w:hAnsi="Times New Roman" w:cs="Times New Roman"/>
          <w:b/>
          <w:bCs/>
          <w:lang w:val="en-GB"/>
        </w:rPr>
      </w:pPr>
      <w:r w:rsidRPr="00D95AC0">
        <w:rPr>
          <w:rFonts w:ascii="Times New Roman" w:hAnsi="Times New Roman" w:cs="Times New Roman"/>
          <w:b/>
          <w:bCs/>
          <w:lang w:val="en-GB"/>
        </w:rPr>
        <w:lastRenderedPageBreak/>
        <w:t>Supplementary results</w:t>
      </w:r>
    </w:p>
    <w:p w14:paraId="512F63AC" w14:textId="77777777" w:rsidR="00FA1D9C" w:rsidRPr="00D95AC0" w:rsidRDefault="00FA1D9C" w:rsidP="00E023FA">
      <w:pPr>
        <w:pStyle w:val="Heading2"/>
        <w:spacing w:line="480" w:lineRule="auto"/>
        <w:rPr>
          <w:rFonts w:ascii="Times New Roman" w:hAnsi="Times New Roman" w:cs="Times New Roman"/>
          <w:b/>
          <w:bCs/>
          <w:color w:val="auto"/>
          <w:lang w:val="en-GB"/>
        </w:rPr>
      </w:pPr>
      <w:r w:rsidRPr="00D95AC0">
        <w:rPr>
          <w:rFonts w:ascii="Times New Roman" w:hAnsi="Times New Roman" w:cs="Times New Roman"/>
          <w:b/>
          <w:bCs/>
          <w:color w:val="auto"/>
          <w:lang w:val="en-GB"/>
        </w:rPr>
        <w:t>Overall yield of genetic testing for monogenic variants</w:t>
      </w:r>
    </w:p>
    <w:p w14:paraId="220FAF87" w14:textId="77777777" w:rsidR="00FA1D9C" w:rsidRPr="00D95AC0" w:rsidRDefault="00FA1D9C" w:rsidP="00E023FA">
      <w:pPr>
        <w:spacing w:line="480" w:lineRule="auto"/>
        <w:rPr>
          <w:rFonts w:ascii="Times New Roman" w:hAnsi="Times New Roman" w:cs="Times New Roman"/>
          <w:lang w:val="en-GB"/>
        </w:rPr>
      </w:pPr>
      <w:r w:rsidRPr="00D95AC0">
        <w:rPr>
          <w:rFonts w:ascii="Times New Roman" w:hAnsi="Times New Roman" w:cs="Times New Roman"/>
          <w:lang w:val="en-GB"/>
        </w:rPr>
        <w:t>A total of 22,393,708 single nucleotide variants and indels were identified from WGS in the 10</w:t>
      </w:r>
      <w:r>
        <w:rPr>
          <w:rFonts w:ascii="Times New Roman" w:hAnsi="Times New Roman" w:cs="Times New Roman"/>
          <w:lang w:val="en-GB"/>
        </w:rPr>
        <w:t>1</w:t>
      </w:r>
      <w:r w:rsidRPr="00D95AC0">
        <w:rPr>
          <w:rFonts w:ascii="Times New Roman" w:hAnsi="Times New Roman" w:cs="Times New Roman"/>
          <w:lang w:val="en-GB"/>
        </w:rPr>
        <w:t xml:space="preserve"> early-onset HF cases, with a median of 5,028,520 variants per individual (interquartile range 5,007,377-5,057,396). Of these, 243,634 variants </w:t>
      </w:r>
      <w:proofErr w:type="gramStart"/>
      <w:r w:rsidRPr="00D95AC0">
        <w:rPr>
          <w:rFonts w:ascii="Times New Roman" w:hAnsi="Times New Roman" w:cs="Times New Roman"/>
          <w:lang w:val="en-GB"/>
        </w:rPr>
        <w:t>were located in</w:t>
      </w:r>
      <w:proofErr w:type="gramEnd"/>
      <w:r w:rsidRPr="00D95AC0">
        <w:rPr>
          <w:rFonts w:ascii="Times New Roman" w:hAnsi="Times New Roman" w:cs="Times New Roman"/>
          <w:lang w:val="en-GB"/>
        </w:rPr>
        <w:t xml:space="preserve"> the 369 genes from our early-onset HF list with a median of 50,673 per individual (49,816-51,353). Our pathogenicity annotation pipeline identified 1,059 of these variants with a pathogenicity score of 15 or higher that were prioritized for manual classification. </w:t>
      </w:r>
      <w:bookmarkStart w:id="5" w:name="_Hlk146567942"/>
      <w:r w:rsidRPr="00D95AC0">
        <w:rPr>
          <w:rFonts w:ascii="Times New Roman" w:hAnsi="Times New Roman" w:cs="Times New Roman"/>
          <w:lang w:val="en-GB"/>
        </w:rPr>
        <w:t>Of these, manual classification according to ACMG criteria resulted in 71 (6.7%) being classified as LP/P, out of which 39 (3.7%) were categorized as contributing to the observed phenotype whereas the other 32 (3.0%) were heterozygous variants in autosomal recessive genes or pathogenic variants not consistent with exhibited phenotype. Conversely, 450 variants (42.4%) were classified as LB/B. The remaining 538 variants were classified as VUS (50.8%), of which 1</w:t>
      </w:r>
      <w:r>
        <w:rPr>
          <w:rFonts w:ascii="Times New Roman" w:hAnsi="Times New Roman" w:cs="Times New Roman"/>
          <w:lang w:val="en-GB"/>
        </w:rPr>
        <w:t>3</w:t>
      </w:r>
      <w:r w:rsidRPr="00D95AC0">
        <w:rPr>
          <w:rFonts w:ascii="Times New Roman" w:hAnsi="Times New Roman" w:cs="Times New Roman"/>
          <w:lang w:val="en-GB"/>
        </w:rPr>
        <w:t xml:space="preserve"> (1.</w:t>
      </w:r>
      <w:r>
        <w:rPr>
          <w:rFonts w:ascii="Times New Roman" w:hAnsi="Times New Roman" w:cs="Times New Roman"/>
          <w:lang w:val="en-GB"/>
        </w:rPr>
        <w:t>2</w:t>
      </w:r>
      <w:r w:rsidRPr="00D95AC0">
        <w:rPr>
          <w:rFonts w:ascii="Times New Roman" w:hAnsi="Times New Roman" w:cs="Times New Roman"/>
          <w:lang w:val="en-GB"/>
        </w:rPr>
        <w:t xml:space="preserve">%) were identified as having suggestive evidence of contributing to phenotype during manual curation. From the VUS group, 103 were missense variants in the </w:t>
      </w:r>
      <w:r w:rsidRPr="00D95AC0">
        <w:rPr>
          <w:rFonts w:ascii="Times New Roman" w:hAnsi="Times New Roman" w:cs="Times New Roman"/>
          <w:i/>
          <w:iCs/>
          <w:lang w:val="en-GB"/>
        </w:rPr>
        <w:t>TTN</w:t>
      </w:r>
      <w:r w:rsidRPr="00D95AC0">
        <w:rPr>
          <w:rFonts w:ascii="Times New Roman" w:hAnsi="Times New Roman" w:cs="Times New Roman"/>
          <w:lang w:val="en-GB"/>
        </w:rPr>
        <w:t xml:space="preserve"> gene.</w:t>
      </w:r>
      <w:bookmarkEnd w:id="5"/>
    </w:p>
    <w:p w14:paraId="4ECD930D" w14:textId="47EE84B3" w:rsidR="00FA1D9C" w:rsidRPr="00D95AC0" w:rsidRDefault="00FA1D9C" w:rsidP="00E023FA">
      <w:pPr>
        <w:spacing w:line="480" w:lineRule="auto"/>
        <w:rPr>
          <w:rFonts w:ascii="Times New Roman" w:hAnsi="Times New Roman" w:cs="Times New Roman"/>
          <w:lang w:val="en-GB"/>
        </w:rPr>
      </w:pPr>
      <w:r w:rsidRPr="00D95AC0">
        <w:rPr>
          <w:rFonts w:ascii="Times New Roman" w:hAnsi="Times New Roman" w:cs="Times New Roman"/>
          <w:lang w:val="en-GB"/>
        </w:rPr>
        <w:t>Of the 39 LP/P variants, at least one was identified in each of 34 individuals (3</w:t>
      </w:r>
      <w:r>
        <w:rPr>
          <w:rFonts w:ascii="Times New Roman" w:hAnsi="Times New Roman" w:cs="Times New Roman"/>
          <w:lang w:val="en-GB"/>
        </w:rPr>
        <w:t>4</w:t>
      </w:r>
      <w:r w:rsidRPr="00D95AC0">
        <w:rPr>
          <w:rFonts w:ascii="Times New Roman" w:hAnsi="Times New Roman" w:cs="Times New Roman"/>
          <w:lang w:val="en-GB"/>
        </w:rPr>
        <w:t>%), while at least one VUS was present in almost all (10</w:t>
      </w:r>
      <w:r>
        <w:rPr>
          <w:rFonts w:ascii="Times New Roman" w:hAnsi="Times New Roman" w:cs="Times New Roman"/>
          <w:lang w:val="en-GB"/>
        </w:rPr>
        <w:t>0</w:t>
      </w:r>
      <w:r w:rsidRPr="00D95AC0">
        <w:rPr>
          <w:rFonts w:ascii="Times New Roman" w:hAnsi="Times New Roman" w:cs="Times New Roman"/>
          <w:lang w:val="en-GB"/>
        </w:rPr>
        <w:t>, 99%) and at least one VUS with suggestive evidence of pathogenicity in 1</w:t>
      </w:r>
      <w:r>
        <w:rPr>
          <w:rFonts w:ascii="Times New Roman" w:hAnsi="Times New Roman" w:cs="Times New Roman"/>
          <w:lang w:val="en-GB"/>
        </w:rPr>
        <w:t>1</w:t>
      </w:r>
      <w:r w:rsidRPr="00D95AC0">
        <w:rPr>
          <w:rFonts w:ascii="Times New Roman" w:hAnsi="Times New Roman" w:cs="Times New Roman"/>
          <w:lang w:val="en-GB"/>
        </w:rPr>
        <w:t xml:space="preserve"> individuals (1</w:t>
      </w:r>
      <w:r>
        <w:rPr>
          <w:rFonts w:ascii="Times New Roman" w:hAnsi="Times New Roman" w:cs="Times New Roman"/>
          <w:lang w:val="en-GB"/>
        </w:rPr>
        <w:t>1</w:t>
      </w:r>
      <w:r w:rsidRPr="00D95AC0">
        <w:rPr>
          <w:rFonts w:ascii="Times New Roman" w:hAnsi="Times New Roman" w:cs="Times New Roman"/>
          <w:lang w:val="en-GB"/>
        </w:rPr>
        <w:t xml:space="preserve">%). All LP/P and VUS variants with suggestive evidence are listed in </w:t>
      </w:r>
      <w:r w:rsidRPr="00D95AC0">
        <w:rPr>
          <w:rFonts w:ascii="Times New Roman" w:hAnsi="Times New Roman" w:cs="Times New Roman"/>
          <w:b/>
          <w:bCs/>
          <w:lang w:val="en-GB"/>
        </w:rPr>
        <w:t>Supplementary Table S</w:t>
      </w:r>
      <w:r>
        <w:rPr>
          <w:rFonts w:ascii="Times New Roman" w:hAnsi="Times New Roman" w:cs="Times New Roman"/>
          <w:b/>
          <w:bCs/>
          <w:lang w:val="en-GB"/>
        </w:rPr>
        <w:t>4</w:t>
      </w:r>
      <w:r w:rsidRPr="00D95AC0">
        <w:rPr>
          <w:rFonts w:ascii="Times New Roman" w:hAnsi="Times New Roman" w:cs="Times New Roman"/>
          <w:lang w:val="en-GB"/>
        </w:rPr>
        <w:t xml:space="preserve"> (manually curated variants classified as not significant are not presented). Four of the 39 LP/P variants (two in </w:t>
      </w:r>
      <w:r w:rsidRPr="00D95AC0">
        <w:rPr>
          <w:rFonts w:ascii="Times New Roman" w:hAnsi="Times New Roman" w:cs="Times New Roman"/>
          <w:i/>
          <w:iCs/>
          <w:lang w:val="en-GB"/>
        </w:rPr>
        <w:t>POLG</w:t>
      </w:r>
      <w:r w:rsidRPr="00D95AC0">
        <w:rPr>
          <w:rFonts w:ascii="Times New Roman" w:hAnsi="Times New Roman" w:cs="Times New Roman"/>
          <w:lang w:val="en-GB"/>
        </w:rPr>
        <w:t xml:space="preserve">, one in </w:t>
      </w:r>
      <w:r w:rsidRPr="00D95AC0">
        <w:rPr>
          <w:rFonts w:ascii="Times New Roman" w:hAnsi="Times New Roman" w:cs="Times New Roman"/>
          <w:i/>
          <w:iCs/>
          <w:lang w:val="en-GB"/>
        </w:rPr>
        <w:t>TTR</w:t>
      </w:r>
      <w:r w:rsidRPr="00D95AC0">
        <w:rPr>
          <w:rFonts w:ascii="Times New Roman" w:hAnsi="Times New Roman" w:cs="Times New Roman"/>
          <w:lang w:val="en-GB"/>
        </w:rPr>
        <w:t xml:space="preserve">, and one in </w:t>
      </w:r>
      <w:r w:rsidRPr="00D95AC0">
        <w:rPr>
          <w:rFonts w:ascii="Times New Roman" w:hAnsi="Times New Roman" w:cs="Times New Roman"/>
          <w:i/>
          <w:iCs/>
          <w:lang w:val="en-GB"/>
        </w:rPr>
        <w:t>KCNQ1</w:t>
      </w:r>
      <w:r w:rsidRPr="00D95AC0">
        <w:rPr>
          <w:rFonts w:ascii="Times New Roman" w:hAnsi="Times New Roman" w:cs="Times New Roman"/>
          <w:lang w:val="en-GB"/>
        </w:rPr>
        <w:t xml:space="preserve">) and </w:t>
      </w:r>
      <w:r>
        <w:rPr>
          <w:rFonts w:ascii="Times New Roman" w:hAnsi="Times New Roman" w:cs="Times New Roman"/>
          <w:lang w:val="en-GB"/>
        </w:rPr>
        <w:t>n</w:t>
      </w:r>
      <w:r w:rsidRPr="00D95AC0">
        <w:rPr>
          <w:rFonts w:ascii="Times New Roman" w:hAnsi="Times New Roman" w:cs="Times New Roman"/>
          <w:lang w:val="en-GB"/>
        </w:rPr>
        <w:t>one of the 1</w:t>
      </w:r>
      <w:r>
        <w:rPr>
          <w:rFonts w:ascii="Times New Roman" w:hAnsi="Times New Roman" w:cs="Times New Roman"/>
          <w:lang w:val="en-GB"/>
        </w:rPr>
        <w:t>1</w:t>
      </w:r>
      <w:r w:rsidRPr="00D95AC0">
        <w:rPr>
          <w:rFonts w:ascii="Times New Roman" w:hAnsi="Times New Roman" w:cs="Times New Roman"/>
          <w:lang w:val="en-GB"/>
        </w:rPr>
        <w:t xml:space="preserve"> VUS variants with suggestive evidence of pathogenicity (</w:t>
      </w:r>
      <w:r w:rsidRPr="00D95AC0">
        <w:rPr>
          <w:rFonts w:ascii="Times New Roman" w:hAnsi="Times New Roman" w:cs="Times New Roman"/>
          <w:i/>
          <w:iCs/>
          <w:lang w:val="en-GB"/>
        </w:rPr>
        <w:t>DSG2</w:t>
      </w:r>
      <w:r w:rsidRPr="00D95AC0">
        <w:rPr>
          <w:rFonts w:ascii="Times New Roman" w:hAnsi="Times New Roman" w:cs="Times New Roman"/>
          <w:lang w:val="en-GB"/>
        </w:rPr>
        <w:t>) were present in the local population-based cohort MDCS, although at sufficiently low frequency to not reduce pathogenicity scores and with a lower prevalence than the maximum ancestry-based allele frequency in gnomAD.</w:t>
      </w:r>
    </w:p>
    <w:p w14:paraId="3F8F3EBA" w14:textId="77777777" w:rsidR="00FA1D9C" w:rsidRPr="00D95AC0" w:rsidRDefault="00FA1D9C" w:rsidP="00E023FA">
      <w:pPr>
        <w:spacing w:line="480" w:lineRule="auto"/>
        <w:rPr>
          <w:rFonts w:ascii="Times New Roman" w:hAnsi="Times New Roman" w:cs="Times New Roman"/>
          <w:lang w:val="en-GB"/>
        </w:rPr>
      </w:pPr>
      <w:r w:rsidRPr="00D95AC0">
        <w:rPr>
          <w:rFonts w:ascii="Times New Roman" w:hAnsi="Times New Roman" w:cs="Times New Roman"/>
          <w:lang w:val="en-GB"/>
        </w:rPr>
        <w:lastRenderedPageBreak/>
        <w:t xml:space="preserve">Four individuals had more than one LP/P variant concurrently, however, in three of these cases, one or two of the variants was interpreted as non-Mendelian, low-penetrance risk factors (in </w:t>
      </w:r>
      <w:r w:rsidRPr="00D95AC0">
        <w:rPr>
          <w:rFonts w:ascii="Times New Roman" w:hAnsi="Times New Roman" w:cs="Times New Roman"/>
          <w:i/>
          <w:iCs/>
          <w:lang w:val="en-GB"/>
        </w:rPr>
        <w:t>MYL3</w:t>
      </w:r>
      <w:r w:rsidRPr="00D95AC0">
        <w:rPr>
          <w:rFonts w:ascii="Times New Roman" w:hAnsi="Times New Roman" w:cs="Times New Roman"/>
          <w:lang w:val="en-GB"/>
        </w:rPr>
        <w:t xml:space="preserve">, </w:t>
      </w:r>
      <w:r w:rsidRPr="00D95AC0">
        <w:rPr>
          <w:rFonts w:ascii="Times New Roman" w:hAnsi="Times New Roman" w:cs="Times New Roman"/>
          <w:i/>
          <w:iCs/>
          <w:lang w:val="en-GB"/>
        </w:rPr>
        <w:t>MYBPC3</w:t>
      </w:r>
      <w:r w:rsidRPr="00D95AC0">
        <w:rPr>
          <w:rFonts w:ascii="Times New Roman" w:hAnsi="Times New Roman" w:cs="Times New Roman"/>
          <w:lang w:val="en-GB"/>
        </w:rPr>
        <w:t xml:space="preserve"> and </w:t>
      </w:r>
      <w:r w:rsidRPr="00D95AC0">
        <w:rPr>
          <w:rFonts w:ascii="Times New Roman" w:hAnsi="Times New Roman" w:cs="Times New Roman"/>
          <w:i/>
          <w:iCs/>
          <w:lang w:val="en-GB"/>
        </w:rPr>
        <w:t xml:space="preserve">POLG </w:t>
      </w:r>
      <w:r w:rsidRPr="00D95AC0">
        <w:rPr>
          <w:rFonts w:ascii="Times New Roman" w:hAnsi="Times New Roman" w:cs="Times New Roman"/>
          <w:lang w:val="en-GB"/>
        </w:rPr>
        <w:t xml:space="preserve">in carriers of pathogenic </w:t>
      </w:r>
      <w:r w:rsidRPr="00D95AC0">
        <w:rPr>
          <w:rFonts w:ascii="Times New Roman" w:hAnsi="Times New Roman" w:cs="Times New Roman"/>
          <w:i/>
          <w:iCs/>
          <w:lang w:val="en-GB"/>
        </w:rPr>
        <w:t>TNNT2</w:t>
      </w:r>
      <w:r w:rsidRPr="00D95AC0">
        <w:rPr>
          <w:rFonts w:ascii="Times New Roman" w:hAnsi="Times New Roman" w:cs="Times New Roman"/>
          <w:lang w:val="en-GB"/>
        </w:rPr>
        <w:t xml:space="preserve">, </w:t>
      </w:r>
      <w:r w:rsidRPr="00D95AC0">
        <w:rPr>
          <w:rFonts w:ascii="Times New Roman" w:hAnsi="Times New Roman" w:cs="Times New Roman"/>
          <w:i/>
          <w:iCs/>
          <w:lang w:val="en-GB"/>
        </w:rPr>
        <w:t>MYBPC3</w:t>
      </w:r>
      <w:r w:rsidRPr="00D95AC0">
        <w:rPr>
          <w:rFonts w:ascii="Times New Roman" w:hAnsi="Times New Roman" w:cs="Times New Roman"/>
          <w:lang w:val="en-GB"/>
        </w:rPr>
        <w:t xml:space="preserve"> and </w:t>
      </w:r>
      <w:r w:rsidRPr="00D95AC0">
        <w:rPr>
          <w:rFonts w:ascii="Times New Roman" w:hAnsi="Times New Roman" w:cs="Times New Roman"/>
          <w:i/>
          <w:iCs/>
          <w:lang w:val="en-GB"/>
        </w:rPr>
        <w:t>TTR</w:t>
      </w:r>
      <w:r w:rsidRPr="00D95AC0">
        <w:rPr>
          <w:rFonts w:ascii="Times New Roman" w:hAnsi="Times New Roman" w:cs="Times New Roman"/>
          <w:lang w:val="en-GB"/>
        </w:rPr>
        <w:t xml:space="preserve"> variants respectively) while in one case two </w:t>
      </w:r>
      <w:r w:rsidRPr="00D95AC0">
        <w:rPr>
          <w:rFonts w:ascii="Times New Roman" w:hAnsi="Times New Roman" w:cs="Times New Roman"/>
          <w:i/>
          <w:iCs/>
          <w:lang w:val="en-GB"/>
        </w:rPr>
        <w:t>GYG1</w:t>
      </w:r>
      <w:r w:rsidRPr="00D95AC0">
        <w:rPr>
          <w:rFonts w:ascii="Times New Roman" w:hAnsi="Times New Roman" w:cs="Times New Roman"/>
          <w:lang w:val="en-GB"/>
        </w:rPr>
        <w:t xml:space="preserve"> variants were interpreted as compound heterozygous. </w:t>
      </w:r>
    </w:p>
    <w:p w14:paraId="756639B6" w14:textId="77777777" w:rsidR="00FA1D9C" w:rsidRPr="00D95AC0" w:rsidRDefault="00FA1D9C" w:rsidP="00E023FA">
      <w:pPr>
        <w:spacing w:line="480" w:lineRule="auto"/>
        <w:rPr>
          <w:rFonts w:ascii="Times New Roman" w:hAnsi="Times New Roman" w:cs="Times New Roman"/>
          <w:lang w:val="en-GB"/>
        </w:rPr>
      </w:pPr>
      <w:r w:rsidRPr="00D95AC0">
        <w:rPr>
          <w:rFonts w:ascii="Times New Roman" w:hAnsi="Times New Roman" w:cs="Times New Roman"/>
          <w:lang w:val="en-GB"/>
        </w:rPr>
        <w:t xml:space="preserve">Two individuals had one pathogenic variant and one VUS of suggestive evidence: the patient with a previous diagnosis of glycogen storage disease IV and a pathogenic variant in </w:t>
      </w:r>
      <w:r w:rsidRPr="00D95AC0">
        <w:rPr>
          <w:rFonts w:ascii="Times New Roman" w:hAnsi="Times New Roman" w:cs="Times New Roman"/>
          <w:i/>
          <w:iCs/>
          <w:lang w:val="en-GB"/>
        </w:rPr>
        <w:t>GBE1</w:t>
      </w:r>
      <w:r w:rsidRPr="00D95AC0">
        <w:rPr>
          <w:rFonts w:ascii="Times New Roman" w:hAnsi="Times New Roman" w:cs="Times New Roman"/>
          <w:lang w:val="en-GB"/>
        </w:rPr>
        <w:t xml:space="preserve"> carried a VUS in the same gene, and one patient with ARVC and a pathogenic variant in </w:t>
      </w:r>
      <w:r w:rsidRPr="00D95AC0">
        <w:rPr>
          <w:rFonts w:ascii="Times New Roman" w:hAnsi="Times New Roman" w:cs="Times New Roman"/>
          <w:i/>
          <w:iCs/>
          <w:lang w:val="en-GB"/>
        </w:rPr>
        <w:t>DSG2</w:t>
      </w:r>
      <w:r w:rsidRPr="00D95AC0">
        <w:rPr>
          <w:rFonts w:ascii="Times New Roman" w:hAnsi="Times New Roman" w:cs="Times New Roman"/>
          <w:lang w:val="en-GB"/>
        </w:rPr>
        <w:t xml:space="preserve"> carried a VUS in the same gene. </w:t>
      </w:r>
    </w:p>
    <w:p w14:paraId="6DC0FAA5" w14:textId="77777777" w:rsidR="00FA1D9C" w:rsidRPr="00D95AC0" w:rsidRDefault="00FA1D9C" w:rsidP="0092319D">
      <w:pPr>
        <w:spacing w:line="480" w:lineRule="auto"/>
        <w:rPr>
          <w:rFonts w:ascii="Times New Roman" w:hAnsi="Times New Roman" w:cs="Times New Roman"/>
          <w:lang w:val="en-GB"/>
        </w:rPr>
      </w:pPr>
    </w:p>
    <w:p w14:paraId="1F5C6BC7" w14:textId="77777777" w:rsidR="00FA1D9C" w:rsidRPr="00D95AC0" w:rsidRDefault="00FA1D9C" w:rsidP="0092319D">
      <w:pPr>
        <w:spacing w:line="480" w:lineRule="auto"/>
        <w:rPr>
          <w:rFonts w:ascii="Times New Roman" w:hAnsi="Times New Roman" w:cs="Times New Roman"/>
          <w:lang w:val="en-GB"/>
        </w:rPr>
      </w:pPr>
    </w:p>
    <w:p w14:paraId="379F710F" w14:textId="77777777" w:rsidR="00FA1D9C" w:rsidRPr="00D95AC0" w:rsidRDefault="00FA1D9C">
      <w:pPr>
        <w:rPr>
          <w:rFonts w:ascii="Times New Roman" w:hAnsi="Times New Roman" w:cs="Times New Roman"/>
          <w:b/>
          <w:bCs/>
          <w:lang w:val="en-GB"/>
        </w:rPr>
      </w:pPr>
      <w:r w:rsidRPr="00D95AC0">
        <w:rPr>
          <w:rFonts w:ascii="Times New Roman" w:hAnsi="Times New Roman" w:cs="Times New Roman"/>
          <w:b/>
          <w:bCs/>
          <w:lang w:val="en-GB"/>
        </w:rPr>
        <w:br w:type="page"/>
      </w:r>
    </w:p>
    <w:p w14:paraId="7AC11607" w14:textId="77777777" w:rsidR="00FA1D9C" w:rsidRPr="00D95AC0" w:rsidRDefault="00FA1D9C" w:rsidP="009C28E4">
      <w:pPr>
        <w:pStyle w:val="Heading1"/>
        <w:rPr>
          <w:rFonts w:ascii="Times New Roman" w:hAnsi="Times New Roman" w:cs="Times New Roman"/>
          <w:b/>
          <w:bCs/>
          <w:lang w:val="en-GB"/>
        </w:rPr>
      </w:pPr>
      <w:r w:rsidRPr="00D95AC0">
        <w:rPr>
          <w:rFonts w:ascii="Times New Roman" w:hAnsi="Times New Roman" w:cs="Times New Roman"/>
          <w:b/>
          <w:bCs/>
          <w:lang w:val="en-GB"/>
        </w:rPr>
        <w:lastRenderedPageBreak/>
        <w:t>References</w:t>
      </w:r>
    </w:p>
    <w:p w14:paraId="5C76F29E"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w:t>
      </w:r>
      <w:r w:rsidRPr="00310CC2">
        <w:rPr>
          <w:rFonts w:ascii="Times New Roman" w:hAnsi="Times New Roman" w:cs="Times New Roman"/>
          <w:szCs w:val="24"/>
          <w:lang w:val="en-GB"/>
        </w:rPr>
        <w:tab/>
        <w:t xml:space="preserve">Smith JG, Platonov PG, Hedblad B, Engstrom G, Melander O. Atrial fibrillation in the Malmo Diet and Cancer study: a study of occurrence, risk factors and diagnostic validity. </w:t>
      </w:r>
      <w:r w:rsidRPr="00310CC2">
        <w:rPr>
          <w:rFonts w:ascii="Times New Roman" w:hAnsi="Times New Roman" w:cs="Times New Roman"/>
          <w:i/>
          <w:szCs w:val="24"/>
          <w:lang w:val="en-GB"/>
        </w:rPr>
        <w:t xml:space="preserve">Eur J Epidemiol </w:t>
      </w:r>
      <w:r w:rsidRPr="00310CC2">
        <w:rPr>
          <w:rFonts w:ascii="Times New Roman" w:hAnsi="Times New Roman" w:cs="Times New Roman"/>
          <w:szCs w:val="24"/>
          <w:lang w:val="en-GB"/>
        </w:rPr>
        <w:t>2010;</w:t>
      </w:r>
      <w:r w:rsidRPr="00310CC2">
        <w:rPr>
          <w:rFonts w:ascii="Times New Roman" w:hAnsi="Times New Roman" w:cs="Times New Roman"/>
          <w:b/>
          <w:szCs w:val="24"/>
          <w:lang w:val="en-GB"/>
        </w:rPr>
        <w:t>25</w:t>
      </w:r>
      <w:r w:rsidRPr="00310CC2">
        <w:rPr>
          <w:rFonts w:ascii="Times New Roman" w:hAnsi="Times New Roman" w:cs="Times New Roman"/>
          <w:szCs w:val="24"/>
          <w:lang w:val="en-GB"/>
        </w:rPr>
        <w:t>:95-102. doi: 10.1007/s10654-009-9404-1</w:t>
      </w:r>
    </w:p>
    <w:p w14:paraId="5A467CC6"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2.</w:t>
      </w:r>
      <w:r w:rsidRPr="00310CC2">
        <w:rPr>
          <w:rFonts w:ascii="Times New Roman" w:hAnsi="Times New Roman" w:cs="Times New Roman"/>
          <w:szCs w:val="24"/>
          <w:lang w:val="en-GB"/>
        </w:rPr>
        <w:tab/>
        <w:t>Garcia M, Juhos S, Larsson M</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Sarek: A portable workflow for whole-genome sequencing analysis of germline and somatic variants. </w:t>
      </w:r>
      <w:r w:rsidRPr="00310CC2">
        <w:rPr>
          <w:rFonts w:ascii="Times New Roman" w:hAnsi="Times New Roman" w:cs="Times New Roman"/>
          <w:i/>
          <w:szCs w:val="24"/>
          <w:lang w:val="en-GB"/>
        </w:rPr>
        <w:t xml:space="preserve">F1000Res </w:t>
      </w:r>
      <w:r w:rsidRPr="00310CC2">
        <w:rPr>
          <w:rFonts w:ascii="Times New Roman" w:hAnsi="Times New Roman" w:cs="Times New Roman"/>
          <w:szCs w:val="24"/>
          <w:lang w:val="en-GB"/>
        </w:rPr>
        <w:t>2020;</w:t>
      </w:r>
      <w:r w:rsidRPr="00310CC2">
        <w:rPr>
          <w:rFonts w:ascii="Times New Roman" w:hAnsi="Times New Roman" w:cs="Times New Roman"/>
          <w:b/>
          <w:szCs w:val="24"/>
          <w:lang w:val="en-GB"/>
        </w:rPr>
        <w:t>9</w:t>
      </w:r>
      <w:r w:rsidRPr="00310CC2">
        <w:rPr>
          <w:rFonts w:ascii="Times New Roman" w:hAnsi="Times New Roman" w:cs="Times New Roman"/>
          <w:szCs w:val="24"/>
          <w:lang w:val="en-GB"/>
        </w:rPr>
        <w:t>:63. doi: 10.12688/f1000research.16665.2</w:t>
      </w:r>
    </w:p>
    <w:p w14:paraId="5D2DAEEA" w14:textId="77777777" w:rsidR="00FA1D9C" w:rsidRPr="007E6892" w:rsidRDefault="00FA1D9C" w:rsidP="006A439B">
      <w:pPr>
        <w:pStyle w:val="EndNoteBibliography"/>
        <w:spacing w:after="0" w:line="480" w:lineRule="auto"/>
        <w:rPr>
          <w:rFonts w:ascii="Times New Roman" w:hAnsi="Times New Roman" w:cs="Times New Roman"/>
          <w:szCs w:val="24"/>
          <w:lang w:val="sv-SE"/>
        </w:rPr>
      </w:pPr>
      <w:r w:rsidRPr="00310CC2">
        <w:rPr>
          <w:rFonts w:ascii="Times New Roman" w:hAnsi="Times New Roman" w:cs="Times New Roman"/>
          <w:szCs w:val="24"/>
          <w:lang w:val="en-GB"/>
        </w:rPr>
        <w:t>3.</w:t>
      </w:r>
      <w:r w:rsidRPr="00310CC2">
        <w:rPr>
          <w:rFonts w:ascii="Times New Roman" w:hAnsi="Times New Roman" w:cs="Times New Roman"/>
          <w:szCs w:val="24"/>
          <w:lang w:val="en-GB"/>
        </w:rPr>
        <w:tab/>
        <w:t>McKenna A, Hanna M, Banks E</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The Genome Analysis Toolkit: a MapReduce framework for analyzing next-generation DNA sequencing data. </w:t>
      </w:r>
      <w:r w:rsidRPr="007E6892">
        <w:rPr>
          <w:rFonts w:ascii="Times New Roman" w:hAnsi="Times New Roman" w:cs="Times New Roman"/>
          <w:i/>
          <w:szCs w:val="24"/>
          <w:lang w:val="sv-SE"/>
        </w:rPr>
        <w:t xml:space="preserve">Genome Res </w:t>
      </w:r>
      <w:r w:rsidRPr="007E6892">
        <w:rPr>
          <w:rFonts w:ascii="Times New Roman" w:hAnsi="Times New Roman" w:cs="Times New Roman"/>
          <w:szCs w:val="24"/>
          <w:lang w:val="sv-SE"/>
        </w:rPr>
        <w:t>2010;</w:t>
      </w:r>
      <w:r w:rsidRPr="007E6892">
        <w:rPr>
          <w:rFonts w:ascii="Times New Roman" w:hAnsi="Times New Roman" w:cs="Times New Roman"/>
          <w:b/>
          <w:szCs w:val="24"/>
          <w:lang w:val="sv-SE"/>
        </w:rPr>
        <w:t>20</w:t>
      </w:r>
      <w:r w:rsidRPr="007E6892">
        <w:rPr>
          <w:rFonts w:ascii="Times New Roman" w:hAnsi="Times New Roman" w:cs="Times New Roman"/>
          <w:szCs w:val="24"/>
          <w:lang w:val="sv-SE"/>
        </w:rPr>
        <w:t>:1297-1303. doi: 10.1101/gr.107524.110</w:t>
      </w:r>
    </w:p>
    <w:p w14:paraId="3C9C31EE"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7E6892">
        <w:rPr>
          <w:rFonts w:ascii="Times New Roman" w:hAnsi="Times New Roman" w:cs="Times New Roman"/>
          <w:szCs w:val="24"/>
          <w:lang w:val="sv-SE"/>
        </w:rPr>
        <w:t>4.</w:t>
      </w:r>
      <w:r w:rsidRPr="007E6892">
        <w:rPr>
          <w:rFonts w:ascii="Times New Roman" w:hAnsi="Times New Roman" w:cs="Times New Roman"/>
          <w:szCs w:val="24"/>
          <w:lang w:val="sv-SE"/>
        </w:rPr>
        <w:tab/>
        <w:t>Stranneheim H, Engvall M, Naess K</w:t>
      </w:r>
      <w:r w:rsidRPr="007E6892">
        <w:rPr>
          <w:rFonts w:ascii="Times New Roman" w:hAnsi="Times New Roman" w:cs="Times New Roman"/>
          <w:i/>
          <w:szCs w:val="24"/>
          <w:lang w:val="sv-SE"/>
        </w:rPr>
        <w:t>, et al.</w:t>
      </w:r>
      <w:r w:rsidRPr="007E6892">
        <w:rPr>
          <w:rFonts w:ascii="Times New Roman" w:hAnsi="Times New Roman" w:cs="Times New Roman"/>
          <w:szCs w:val="24"/>
          <w:lang w:val="sv-SE"/>
        </w:rPr>
        <w:t xml:space="preserve"> </w:t>
      </w:r>
      <w:r w:rsidRPr="00310CC2">
        <w:rPr>
          <w:rFonts w:ascii="Times New Roman" w:hAnsi="Times New Roman" w:cs="Times New Roman"/>
          <w:szCs w:val="24"/>
          <w:lang w:val="en-GB"/>
        </w:rPr>
        <w:t xml:space="preserve">Rapid pulsed whole genome sequencing for comprehensive acute diagnostics of inborn errors of metabolism. </w:t>
      </w:r>
      <w:r w:rsidRPr="00310CC2">
        <w:rPr>
          <w:rFonts w:ascii="Times New Roman" w:hAnsi="Times New Roman" w:cs="Times New Roman"/>
          <w:i/>
          <w:szCs w:val="24"/>
          <w:lang w:val="en-GB"/>
        </w:rPr>
        <w:t xml:space="preserve">BMC Genomics </w:t>
      </w:r>
      <w:r w:rsidRPr="00310CC2">
        <w:rPr>
          <w:rFonts w:ascii="Times New Roman" w:hAnsi="Times New Roman" w:cs="Times New Roman"/>
          <w:szCs w:val="24"/>
          <w:lang w:val="en-GB"/>
        </w:rPr>
        <w:t>2014;</w:t>
      </w:r>
      <w:r w:rsidRPr="00310CC2">
        <w:rPr>
          <w:rFonts w:ascii="Times New Roman" w:hAnsi="Times New Roman" w:cs="Times New Roman"/>
          <w:b/>
          <w:szCs w:val="24"/>
          <w:lang w:val="en-GB"/>
        </w:rPr>
        <w:t>15</w:t>
      </w:r>
      <w:r w:rsidRPr="00310CC2">
        <w:rPr>
          <w:rFonts w:ascii="Times New Roman" w:hAnsi="Times New Roman" w:cs="Times New Roman"/>
          <w:szCs w:val="24"/>
          <w:lang w:val="en-GB"/>
        </w:rPr>
        <w:t>:1090. doi: 10.1186/1471-2164-15-1090</w:t>
      </w:r>
    </w:p>
    <w:p w14:paraId="4F345904"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5.</w:t>
      </w:r>
      <w:r w:rsidRPr="00310CC2">
        <w:rPr>
          <w:rFonts w:ascii="Times New Roman" w:hAnsi="Times New Roman" w:cs="Times New Roman"/>
          <w:szCs w:val="24"/>
          <w:lang w:val="en-GB"/>
        </w:rPr>
        <w:tab/>
        <w:t>Stranneheim H, Lagerstedt-Robinson K, Magnusson M</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Integration of whole genome sequencing into a healthcare setting: high diagnostic rates across multiple clinical entities in 3219 rare disease patients. </w:t>
      </w:r>
      <w:r w:rsidRPr="00310CC2">
        <w:rPr>
          <w:rFonts w:ascii="Times New Roman" w:hAnsi="Times New Roman" w:cs="Times New Roman"/>
          <w:i/>
          <w:szCs w:val="24"/>
          <w:lang w:val="en-GB"/>
        </w:rPr>
        <w:t xml:space="preserve">Genome Med </w:t>
      </w:r>
      <w:r w:rsidRPr="00310CC2">
        <w:rPr>
          <w:rFonts w:ascii="Times New Roman" w:hAnsi="Times New Roman" w:cs="Times New Roman"/>
          <w:szCs w:val="24"/>
          <w:lang w:val="en-GB"/>
        </w:rPr>
        <w:t>2021;</w:t>
      </w:r>
      <w:r w:rsidRPr="00310CC2">
        <w:rPr>
          <w:rFonts w:ascii="Times New Roman" w:hAnsi="Times New Roman" w:cs="Times New Roman"/>
          <w:b/>
          <w:szCs w:val="24"/>
          <w:lang w:val="en-GB"/>
        </w:rPr>
        <w:t>13</w:t>
      </w:r>
      <w:r w:rsidRPr="00310CC2">
        <w:rPr>
          <w:rFonts w:ascii="Times New Roman" w:hAnsi="Times New Roman" w:cs="Times New Roman"/>
          <w:szCs w:val="24"/>
          <w:lang w:val="en-GB"/>
        </w:rPr>
        <w:t>:40. doi: 10.1186/s13073-021-00855-5</w:t>
      </w:r>
    </w:p>
    <w:p w14:paraId="2647DB53"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6.</w:t>
      </w:r>
      <w:r w:rsidRPr="00310CC2">
        <w:rPr>
          <w:rFonts w:ascii="Times New Roman" w:hAnsi="Times New Roman" w:cs="Times New Roman"/>
          <w:szCs w:val="24"/>
          <w:lang w:val="en-GB"/>
        </w:rPr>
        <w:tab/>
        <w:t>Haack TB, Ignatius E, Calvo-Garrido J</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Absence of the Autophagy Adaptor SQSTM1/p62 Causes Childhood-Onset Neurodegeneration with Ataxia, Dystonia, and Gaze Palsy. </w:t>
      </w:r>
      <w:r w:rsidRPr="00310CC2">
        <w:rPr>
          <w:rFonts w:ascii="Times New Roman" w:hAnsi="Times New Roman" w:cs="Times New Roman"/>
          <w:i/>
          <w:szCs w:val="24"/>
          <w:lang w:val="en-GB"/>
        </w:rPr>
        <w:t xml:space="preserve">Am J Hum Genet </w:t>
      </w:r>
      <w:r w:rsidRPr="00310CC2">
        <w:rPr>
          <w:rFonts w:ascii="Times New Roman" w:hAnsi="Times New Roman" w:cs="Times New Roman"/>
          <w:szCs w:val="24"/>
          <w:lang w:val="en-GB"/>
        </w:rPr>
        <w:t>2016;</w:t>
      </w:r>
      <w:r w:rsidRPr="00310CC2">
        <w:rPr>
          <w:rFonts w:ascii="Times New Roman" w:hAnsi="Times New Roman" w:cs="Times New Roman"/>
          <w:b/>
          <w:szCs w:val="24"/>
          <w:lang w:val="en-GB"/>
        </w:rPr>
        <w:t>99</w:t>
      </w:r>
      <w:r w:rsidRPr="00310CC2">
        <w:rPr>
          <w:rFonts w:ascii="Times New Roman" w:hAnsi="Times New Roman" w:cs="Times New Roman"/>
          <w:szCs w:val="24"/>
          <w:lang w:val="en-GB"/>
        </w:rPr>
        <w:t>:735-743. doi: 10.1016/j.ajhg.2016.06.026</w:t>
      </w:r>
    </w:p>
    <w:p w14:paraId="2DB5D612"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7.</w:t>
      </w:r>
      <w:r w:rsidRPr="00310CC2">
        <w:rPr>
          <w:rFonts w:ascii="Times New Roman" w:hAnsi="Times New Roman" w:cs="Times New Roman"/>
          <w:szCs w:val="24"/>
          <w:lang w:val="en-GB"/>
        </w:rPr>
        <w:tab/>
        <w:t>Zhao S, Zhang Y, Hallgrimsdottir S</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Expanding the mutation and phenotype spectrum of MYH3-associated skeletal disorders. </w:t>
      </w:r>
      <w:r w:rsidRPr="00310CC2">
        <w:rPr>
          <w:rFonts w:ascii="Times New Roman" w:hAnsi="Times New Roman" w:cs="Times New Roman"/>
          <w:i/>
          <w:szCs w:val="24"/>
          <w:lang w:val="en-GB"/>
        </w:rPr>
        <w:t xml:space="preserve">NPJ Genom Med </w:t>
      </w:r>
      <w:r w:rsidRPr="00310CC2">
        <w:rPr>
          <w:rFonts w:ascii="Times New Roman" w:hAnsi="Times New Roman" w:cs="Times New Roman"/>
          <w:szCs w:val="24"/>
          <w:lang w:val="en-GB"/>
        </w:rPr>
        <w:t>2022;</w:t>
      </w:r>
      <w:r w:rsidRPr="00310CC2">
        <w:rPr>
          <w:rFonts w:ascii="Times New Roman" w:hAnsi="Times New Roman" w:cs="Times New Roman"/>
          <w:b/>
          <w:szCs w:val="24"/>
          <w:lang w:val="en-GB"/>
        </w:rPr>
        <w:t>7</w:t>
      </w:r>
      <w:r w:rsidRPr="00310CC2">
        <w:rPr>
          <w:rFonts w:ascii="Times New Roman" w:hAnsi="Times New Roman" w:cs="Times New Roman"/>
          <w:szCs w:val="24"/>
          <w:lang w:val="en-GB"/>
        </w:rPr>
        <w:t>:11. doi: 10.1038/s41525-021-00273-x</w:t>
      </w:r>
    </w:p>
    <w:p w14:paraId="33E23EFD"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8.</w:t>
      </w:r>
      <w:r w:rsidRPr="00310CC2">
        <w:rPr>
          <w:rFonts w:ascii="Times New Roman" w:hAnsi="Times New Roman" w:cs="Times New Roman"/>
          <w:szCs w:val="24"/>
          <w:lang w:val="en-GB"/>
        </w:rPr>
        <w:tab/>
        <w:t>Richards S, Aziz N, Bale S</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Standards and guidelines for the interpretation of sequence variants: a joint consensus recommendation of the American College of Medical </w:t>
      </w:r>
      <w:r w:rsidRPr="00310CC2">
        <w:rPr>
          <w:rFonts w:ascii="Times New Roman" w:hAnsi="Times New Roman" w:cs="Times New Roman"/>
          <w:szCs w:val="24"/>
          <w:lang w:val="en-GB"/>
        </w:rPr>
        <w:lastRenderedPageBreak/>
        <w:t xml:space="preserve">Genetics and Genomics and the Association for Molecular Pathology. </w:t>
      </w:r>
      <w:r w:rsidRPr="00310CC2">
        <w:rPr>
          <w:rFonts w:ascii="Times New Roman" w:hAnsi="Times New Roman" w:cs="Times New Roman"/>
          <w:i/>
          <w:szCs w:val="24"/>
          <w:lang w:val="en-GB"/>
        </w:rPr>
        <w:t xml:space="preserve">Genet Med </w:t>
      </w:r>
      <w:r w:rsidRPr="00310CC2">
        <w:rPr>
          <w:rFonts w:ascii="Times New Roman" w:hAnsi="Times New Roman" w:cs="Times New Roman"/>
          <w:szCs w:val="24"/>
          <w:lang w:val="en-GB"/>
        </w:rPr>
        <w:t>2015;</w:t>
      </w:r>
      <w:r w:rsidRPr="00310CC2">
        <w:rPr>
          <w:rFonts w:ascii="Times New Roman" w:hAnsi="Times New Roman" w:cs="Times New Roman"/>
          <w:b/>
          <w:szCs w:val="24"/>
          <w:lang w:val="en-GB"/>
        </w:rPr>
        <w:t>17</w:t>
      </w:r>
      <w:r w:rsidRPr="00310CC2">
        <w:rPr>
          <w:rFonts w:ascii="Times New Roman" w:hAnsi="Times New Roman" w:cs="Times New Roman"/>
          <w:szCs w:val="24"/>
          <w:lang w:val="en-GB"/>
        </w:rPr>
        <w:t>:405-424. doi: 10.1038/gim.2015.30</w:t>
      </w:r>
    </w:p>
    <w:p w14:paraId="09975092"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9.</w:t>
      </w:r>
      <w:r w:rsidRPr="00310CC2">
        <w:rPr>
          <w:rFonts w:ascii="Times New Roman" w:hAnsi="Times New Roman" w:cs="Times New Roman"/>
          <w:szCs w:val="24"/>
          <w:lang w:val="en-GB"/>
        </w:rPr>
        <w:tab/>
        <w:t>Shamsani J, Kazakoff SH, Armean IM</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A plugin for the Ensembl Variant Effect Predictor that uses MaxEntScan to predict variant spliceogenicity. </w:t>
      </w:r>
      <w:r w:rsidRPr="00310CC2">
        <w:rPr>
          <w:rFonts w:ascii="Times New Roman" w:hAnsi="Times New Roman" w:cs="Times New Roman"/>
          <w:i/>
          <w:szCs w:val="24"/>
          <w:lang w:val="en-GB"/>
        </w:rPr>
        <w:t xml:space="preserve">Bioinformatics </w:t>
      </w:r>
      <w:r w:rsidRPr="00310CC2">
        <w:rPr>
          <w:rFonts w:ascii="Times New Roman" w:hAnsi="Times New Roman" w:cs="Times New Roman"/>
          <w:szCs w:val="24"/>
          <w:lang w:val="en-GB"/>
        </w:rPr>
        <w:t>2019;</w:t>
      </w:r>
      <w:r w:rsidRPr="00310CC2">
        <w:rPr>
          <w:rFonts w:ascii="Times New Roman" w:hAnsi="Times New Roman" w:cs="Times New Roman"/>
          <w:b/>
          <w:szCs w:val="24"/>
          <w:lang w:val="en-GB"/>
        </w:rPr>
        <w:t>35</w:t>
      </w:r>
      <w:r w:rsidRPr="00310CC2">
        <w:rPr>
          <w:rFonts w:ascii="Times New Roman" w:hAnsi="Times New Roman" w:cs="Times New Roman"/>
          <w:szCs w:val="24"/>
          <w:lang w:val="en-GB"/>
        </w:rPr>
        <w:t>:2315-2317. doi: 10.1093/bioinformatics/bty960</w:t>
      </w:r>
    </w:p>
    <w:p w14:paraId="0CFAB0A8"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10.</w:t>
      </w:r>
      <w:r w:rsidRPr="00310CC2">
        <w:rPr>
          <w:rFonts w:ascii="Times New Roman" w:hAnsi="Times New Roman" w:cs="Times New Roman"/>
          <w:szCs w:val="24"/>
          <w:lang w:val="en-GB"/>
        </w:rPr>
        <w:tab/>
        <w:t>Jaganathan K, Kyriazopoulou Panagiotopoulou S, McRae JF</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Predicting Splicing from Primary Sequence with Deep Learning. </w:t>
      </w:r>
      <w:r w:rsidRPr="00310CC2">
        <w:rPr>
          <w:rFonts w:ascii="Times New Roman" w:hAnsi="Times New Roman" w:cs="Times New Roman"/>
          <w:i/>
          <w:szCs w:val="24"/>
          <w:lang w:val="en-GB"/>
        </w:rPr>
        <w:t xml:space="preserve">Cell </w:t>
      </w:r>
      <w:r w:rsidRPr="00310CC2">
        <w:rPr>
          <w:rFonts w:ascii="Times New Roman" w:hAnsi="Times New Roman" w:cs="Times New Roman"/>
          <w:szCs w:val="24"/>
          <w:lang w:val="en-GB"/>
        </w:rPr>
        <w:t>2019;</w:t>
      </w:r>
      <w:r w:rsidRPr="00310CC2">
        <w:rPr>
          <w:rFonts w:ascii="Times New Roman" w:hAnsi="Times New Roman" w:cs="Times New Roman"/>
          <w:b/>
          <w:szCs w:val="24"/>
          <w:lang w:val="en-GB"/>
        </w:rPr>
        <w:t>176</w:t>
      </w:r>
      <w:r w:rsidRPr="00310CC2">
        <w:rPr>
          <w:rFonts w:ascii="Times New Roman" w:hAnsi="Times New Roman" w:cs="Times New Roman"/>
          <w:szCs w:val="24"/>
          <w:lang w:val="en-GB"/>
        </w:rPr>
        <w:t>:535-548 e524. doi: 10.1016/j.cell.2018.12.015</w:t>
      </w:r>
    </w:p>
    <w:p w14:paraId="0857D8AE"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11.</w:t>
      </w:r>
      <w:r w:rsidRPr="00310CC2">
        <w:rPr>
          <w:rFonts w:ascii="Times New Roman" w:hAnsi="Times New Roman" w:cs="Times New Roman"/>
          <w:szCs w:val="24"/>
          <w:lang w:val="en-GB"/>
        </w:rPr>
        <w:tab/>
        <w:t xml:space="preserve">Fadista J, Oskolkov N, Hansson O, Groop L. LoFtool: a gene intolerance score based on loss-of-function variants in 60 706 individuals. </w:t>
      </w:r>
      <w:r w:rsidRPr="00310CC2">
        <w:rPr>
          <w:rFonts w:ascii="Times New Roman" w:hAnsi="Times New Roman" w:cs="Times New Roman"/>
          <w:i/>
          <w:szCs w:val="24"/>
          <w:lang w:val="en-GB"/>
        </w:rPr>
        <w:t xml:space="preserve">Bioinformatics </w:t>
      </w:r>
      <w:r w:rsidRPr="00310CC2">
        <w:rPr>
          <w:rFonts w:ascii="Times New Roman" w:hAnsi="Times New Roman" w:cs="Times New Roman"/>
          <w:szCs w:val="24"/>
          <w:lang w:val="en-GB"/>
        </w:rPr>
        <w:t>2017;</w:t>
      </w:r>
      <w:r w:rsidRPr="00310CC2">
        <w:rPr>
          <w:rFonts w:ascii="Times New Roman" w:hAnsi="Times New Roman" w:cs="Times New Roman"/>
          <w:b/>
          <w:szCs w:val="24"/>
          <w:lang w:val="en-GB"/>
        </w:rPr>
        <w:t>33</w:t>
      </w:r>
      <w:r w:rsidRPr="00310CC2">
        <w:rPr>
          <w:rFonts w:ascii="Times New Roman" w:hAnsi="Times New Roman" w:cs="Times New Roman"/>
          <w:szCs w:val="24"/>
          <w:lang w:val="en-GB"/>
        </w:rPr>
        <w:t>:471-474. doi: 10.1093/bioinformatics/btv602</w:t>
      </w:r>
    </w:p>
    <w:p w14:paraId="2D202ECE"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12.</w:t>
      </w:r>
      <w:r w:rsidRPr="00310CC2">
        <w:rPr>
          <w:rFonts w:ascii="Times New Roman" w:hAnsi="Times New Roman" w:cs="Times New Roman"/>
          <w:szCs w:val="24"/>
          <w:lang w:val="en-GB"/>
        </w:rPr>
        <w:tab/>
        <w:t>Davydov EV, Goode DL, Sirota M</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Identifying a high fraction of the human genome to be under selective constraint using GERP++. </w:t>
      </w:r>
      <w:r w:rsidRPr="00310CC2">
        <w:rPr>
          <w:rFonts w:ascii="Times New Roman" w:hAnsi="Times New Roman" w:cs="Times New Roman"/>
          <w:i/>
          <w:szCs w:val="24"/>
          <w:lang w:val="en-GB"/>
        </w:rPr>
        <w:t xml:space="preserve">PLoS Comput Biol </w:t>
      </w:r>
      <w:r w:rsidRPr="00310CC2">
        <w:rPr>
          <w:rFonts w:ascii="Times New Roman" w:hAnsi="Times New Roman" w:cs="Times New Roman"/>
          <w:szCs w:val="24"/>
          <w:lang w:val="en-GB"/>
        </w:rPr>
        <w:t>2010;</w:t>
      </w:r>
      <w:r w:rsidRPr="00310CC2">
        <w:rPr>
          <w:rFonts w:ascii="Times New Roman" w:hAnsi="Times New Roman" w:cs="Times New Roman"/>
          <w:b/>
          <w:szCs w:val="24"/>
          <w:lang w:val="en-GB"/>
        </w:rPr>
        <w:t>6</w:t>
      </w:r>
      <w:r w:rsidRPr="00310CC2">
        <w:rPr>
          <w:rFonts w:ascii="Times New Roman" w:hAnsi="Times New Roman" w:cs="Times New Roman"/>
          <w:szCs w:val="24"/>
          <w:lang w:val="en-GB"/>
        </w:rPr>
        <w:t>:e1001025. doi: 10.1371/journal.pcbi.1001025</w:t>
      </w:r>
    </w:p>
    <w:p w14:paraId="46B05307"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13.</w:t>
      </w:r>
      <w:r w:rsidRPr="00310CC2">
        <w:rPr>
          <w:rFonts w:ascii="Times New Roman" w:hAnsi="Times New Roman" w:cs="Times New Roman"/>
          <w:szCs w:val="24"/>
          <w:lang w:val="en-GB"/>
        </w:rPr>
        <w:tab/>
        <w:t>Siepel A, Bejerano G, Pedersen JS</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Evolutionarily conserved elements in vertebrate, insect, worm, and yeast genomes. </w:t>
      </w:r>
      <w:r w:rsidRPr="00310CC2">
        <w:rPr>
          <w:rFonts w:ascii="Times New Roman" w:hAnsi="Times New Roman" w:cs="Times New Roman"/>
          <w:i/>
          <w:szCs w:val="24"/>
          <w:lang w:val="en-GB"/>
        </w:rPr>
        <w:t xml:space="preserve">Genome Res </w:t>
      </w:r>
      <w:r w:rsidRPr="00310CC2">
        <w:rPr>
          <w:rFonts w:ascii="Times New Roman" w:hAnsi="Times New Roman" w:cs="Times New Roman"/>
          <w:szCs w:val="24"/>
          <w:lang w:val="en-GB"/>
        </w:rPr>
        <w:t>2005;</w:t>
      </w:r>
      <w:r w:rsidRPr="00310CC2">
        <w:rPr>
          <w:rFonts w:ascii="Times New Roman" w:hAnsi="Times New Roman" w:cs="Times New Roman"/>
          <w:b/>
          <w:szCs w:val="24"/>
          <w:lang w:val="en-GB"/>
        </w:rPr>
        <w:t>15</w:t>
      </w:r>
      <w:r w:rsidRPr="00310CC2">
        <w:rPr>
          <w:rFonts w:ascii="Times New Roman" w:hAnsi="Times New Roman" w:cs="Times New Roman"/>
          <w:szCs w:val="24"/>
          <w:lang w:val="en-GB"/>
        </w:rPr>
        <w:t>:1034-1050. doi: 10.1101/gr.3715005</w:t>
      </w:r>
    </w:p>
    <w:p w14:paraId="756E043D"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14.</w:t>
      </w:r>
      <w:r w:rsidRPr="00310CC2">
        <w:rPr>
          <w:rFonts w:ascii="Times New Roman" w:hAnsi="Times New Roman" w:cs="Times New Roman"/>
          <w:szCs w:val="24"/>
          <w:lang w:val="en-GB"/>
        </w:rPr>
        <w:tab/>
        <w:t xml:space="preserve">Pollard KS, Hubisz MJ, Rosenbloom KR, Siepel A. Detection of nonneutral substitution rates on mammalian phylogenies. </w:t>
      </w:r>
      <w:r w:rsidRPr="00310CC2">
        <w:rPr>
          <w:rFonts w:ascii="Times New Roman" w:hAnsi="Times New Roman" w:cs="Times New Roman"/>
          <w:i/>
          <w:szCs w:val="24"/>
          <w:lang w:val="en-GB"/>
        </w:rPr>
        <w:t xml:space="preserve">Genome Res </w:t>
      </w:r>
      <w:r w:rsidRPr="00310CC2">
        <w:rPr>
          <w:rFonts w:ascii="Times New Roman" w:hAnsi="Times New Roman" w:cs="Times New Roman"/>
          <w:szCs w:val="24"/>
          <w:lang w:val="en-GB"/>
        </w:rPr>
        <w:t>2010;</w:t>
      </w:r>
      <w:r w:rsidRPr="00310CC2">
        <w:rPr>
          <w:rFonts w:ascii="Times New Roman" w:hAnsi="Times New Roman" w:cs="Times New Roman"/>
          <w:b/>
          <w:szCs w:val="24"/>
          <w:lang w:val="en-GB"/>
        </w:rPr>
        <w:t>20</w:t>
      </w:r>
      <w:r w:rsidRPr="00310CC2">
        <w:rPr>
          <w:rFonts w:ascii="Times New Roman" w:hAnsi="Times New Roman" w:cs="Times New Roman"/>
          <w:szCs w:val="24"/>
          <w:lang w:val="en-GB"/>
        </w:rPr>
        <w:t>:110-121. doi: 10.1101/gr.097857.109</w:t>
      </w:r>
    </w:p>
    <w:p w14:paraId="18A58A0E"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15.</w:t>
      </w:r>
      <w:r w:rsidRPr="00310CC2">
        <w:rPr>
          <w:rFonts w:ascii="Times New Roman" w:hAnsi="Times New Roman" w:cs="Times New Roman"/>
          <w:szCs w:val="24"/>
          <w:lang w:val="en-GB"/>
        </w:rPr>
        <w:tab/>
        <w:t xml:space="preserve">Ramensky V, Bork P, Sunyaev S. Human non-synonymous SNPs: server and survey. </w:t>
      </w:r>
      <w:r w:rsidRPr="00310CC2">
        <w:rPr>
          <w:rFonts w:ascii="Times New Roman" w:hAnsi="Times New Roman" w:cs="Times New Roman"/>
          <w:i/>
          <w:szCs w:val="24"/>
          <w:lang w:val="en-GB"/>
        </w:rPr>
        <w:t xml:space="preserve">Nucleic Acids Res </w:t>
      </w:r>
      <w:r w:rsidRPr="00310CC2">
        <w:rPr>
          <w:rFonts w:ascii="Times New Roman" w:hAnsi="Times New Roman" w:cs="Times New Roman"/>
          <w:szCs w:val="24"/>
          <w:lang w:val="en-GB"/>
        </w:rPr>
        <w:t>2002;</w:t>
      </w:r>
      <w:r w:rsidRPr="00310CC2">
        <w:rPr>
          <w:rFonts w:ascii="Times New Roman" w:hAnsi="Times New Roman" w:cs="Times New Roman"/>
          <w:b/>
          <w:szCs w:val="24"/>
          <w:lang w:val="en-GB"/>
        </w:rPr>
        <w:t>30</w:t>
      </w:r>
      <w:r w:rsidRPr="00310CC2">
        <w:rPr>
          <w:rFonts w:ascii="Times New Roman" w:hAnsi="Times New Roman" w:cs="Times New Roman"/>
          <w:szCs w:val="24"/>
          <w:lang w:val="en-GB"/>
        </w:rPr>
        <w:t>:3894-3900. doi: 10.1093/nar/gkf493</w:t>
      </w:r>
    </w:p>
    <w:p w14:paraId="21ADF229"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16.</w:t>
      </w:r>
      <w:r w:rsidRPr="00310CC2">
        <w:rPr>
          <w:rFonts w:ascii="Times New Roman" w:hAnsi="Times New Roman" w:cs="Times New Roman"/>
          <w:szCs w:val="24"/>
          <w:lang w:val="en-GB"/>
        </w:rPr>
        <w:tab/>
        <w:t xml:space="preserve">Ng PC, Henikoff S. SIFT: Predicting amino acid changes that affect protein function. </w:t>
      </w:r>
      <w:r w:rsidRPr="00310CC2">
        <w:rPr>
          <w:rFonts w:ascii="Times New Roman" w:hAnsi="Times New Roman" w:cs="Times New Roman"/>
          <w:i/>
          <w:szCs w:val="24"/>
          <w:lang w:val="en-GB"/>
        </w:rPr>
        <w:t xml:space="preserve">Nucleic Acids Res </w:t>
      </w:r>
      <w:r w:rsidRPr="00310CC2">
        <w:rPr>
          <w:rFonts w:ascii="Times New Roman" w:hAnsi="Times New Roman" w:cs="Times New Roman"/>
          <w:szCs w:val="24"/>
          <w:lang w:val="en-GB"/>
        </w:rPr>
        <w:t>2003;</w:t>
      </w:r>
      <w:r w:rsidRPr="00310CC2">
        <w:rPr>
          <w:rFonts w:ascii="Times New Roman" w:hAnsi="Times New Roman" w:cs="Times New Roman"/>
          <w:b/>
          <w:szCs w:val="24"/>
          <w:lang w:val="en-GB"/>
        </w:rPr>
        <w:t>31</w:t>
      </w:r>
      <w:r w:rsidRPr="00310CC2">
        <w:rPr>
          <w:rFonts w:ascii="Times New Roman" w:hAnsi="Times New Roman" w:cs="Times New Roman"/>
          <w:szCs w:val="24"/>
          <w:lang w:val="en-GB"/>
        </w:rPr>
        <w:t>:3812-3814. doi: 10.1093/nar/gkg509</w:t>
      </w:r>
    </w:p>
    <w:p w14:paraId="292FD5C7"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lastRenderedPageBreak/>
        <w:t>17.</w:t>
      </w:r>
      <w:r w:rsidRPr="00310CC2">
        <w:rPr>
          <w:rFonts w:ascii="Times New Roman" w:hAnsi="Times New Roman" w:cs="Times New Roman"/>
          <w:szCs w:val="24"/>
          <w:lang w:val="en-GB"/>
        </w:rPr>
        <w:tab/>
        <w:t>Ioannidis NM, Rothstein JH, Pejaver V</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REVEL: An Ensemble Method for Predicting the Pathogenicity of Rare Missense Variants. </w:t>
      </w:r>
      <w:r w:rsidRPr="00310CC2">
        <w:rPr>
          <w:rFonts w:ascii="Times New Roman" w:hAnsi="Times New Roman" w:cs="Times New Roman"/>
          <w:i/>
          <w:szCs w:val="24"/>
          <w:lang w:val="en-GB"/>
        </w:rPr>
        <w:t xml:space="preserve">Am J Hum Genet </w:t>
      </w:r>
      <w:r w:rsidRPr="00310CC2">
        <w:rPr>
          <w:rFonts w:ascii="Times New Roman" w:hAnsi="Times New Roman" w:cs="Times New Roman"/>
          <w:szCs w:val="24"/>
          <w:lang w:val="en-GB"/>
        </w:rPr>
        <w:t>2016;</w:t>
      </w:r>
      <w:r w:rsidRPr="00310CC2">
        <w:rPr>
          <w:rFonts w:ascii="Times New Roman" w:hAnsi="Times New Roman" w:cs="Times New Roman"/>
          <w:b/>
          <w:szCs w:val="24"/>
          <w:lang w:val="en-GB"/>
        </w:rPr>
        <w:t>99</w:t>
      </w:r>
      <w:r w:rsidRPr="00310CC2">
        <w:rPr>
          <w:rFonts w:ascii="Times New Roman" w:hAnsi="Times New Roman" w:cs="Times New Roman"/>
          <w:szCs w:val="24"/>
          <w:lang w:val="en-GB"/>
        </w:rPr>
        <w:t>:877-885. doi: 10.1016/j.ajhg.2016.08.016</w:t>
      </w:r>
    </w:p>
    <w:p w14:paraId="2B2906B1"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18.</w:t>
      </w:r>
      <w:r w:rsidRPr="00310CC2">
        <w:rPr>
          <w:rFonts w:ascii="Times New Roman" w:hAnsi="Times New Roman" w:cs="Times New Roman"/>
          <w:szCs w:val="24"/>
          <w:lang w:val="en-GB"/>
        </w:rPr>
        <w:tab/>
        <w:t xml:space="preserve">Rentzsch P, Witten D, Cooper GM, Shendure J, Kircher M. CADD: predicting the deleteriousness of variants throughout the human genome. </w:t>
      </w:r>
      <w:r w:rsidRPr="00310CC2">
        <w:rPr>
          <w:rFonts w:ascii="Times New Roman" w:hAnsi="Times New Roman" w:cs="Times New Roman"/>
          <w:i/>
          <w:szCs w:val="24"/>
          <w:lang w:val="en-GB"/>
        </w:rPr>
        <w:t xml:space="preserve">Nucleic Acids Res </w:t>
      </w:r>
      <w:r w:rsidRPr="00310CC2">
        <w:rPr>
          <w:rFonts w:ascii="Times New Roman" w:hAnsi="Times New Roman" w:cs="Times New Roman"/>
          <w:szCs w:val="24"/>
          <w:lang w:val="en-GB"/>
        </w:rPr>
        <w:t>2019;</w:t>
      </w:r>
      <w:r w:rsidRPr="00310CC2">
        <w:rPr>
          <w:rFonts w:ascii="Times New Roman" w:hAnsi="Times New Roman" w:cs="Times New Roman"/>
          <w:b/>
          <w:szCs w:val="24"/>
          <w:lang w:val="en-GB"/>
        </w:rPr>
        <w:t>47</w:t>
      </w:r>
      <w:r w:rsidRPr="00310CC2">
        <w:rPr>
          <w:rFonts w:ascii="Times New Roman" w:hAnsi="Times New Roman" w:cs="Times New Roman"/>
          <w:szCs w:val="24"/>
          <w:lang w:val="en-GB"/>
        </w:rPr>
        <w:t>:D886-D894. doi: 10.1093/nar/gky1016</w:t>
      </w:r>
    </w:p>
    <w:p w14:paraId="5FF26E25" w14:textId="77777777" w:rsidR="00FA1D9C" w:rsidRPr="007E6892" w:rsidRDefault="00FA1D9C" w:rsidP="006A439B">
      <w:pPr>
        <w:pStyle w:val="EndNoteBibliography"/>
        <w:spacing w:after="0" w:line="480" w:lineRule="auto"/>
        <w:rPr>
          <w:rFonts w:ascii="Times New Roman" w:hAnsi="Times New Roman" w:cs="Times New Roman"/>
          <w:szCs w:val="24"/>
          <w:lang w:val="sv-SE"/>
        </w:rPr>
      </w:pPr>
      <w:r w:rsidRPr="00310CC2">
        <w:rPr>
          <w:rFonts w:ascii="Times New Roman" w:hAnsi="Times New Roman" w:cs="Times New Roman"/>
          <w:szCs w:val="24"/>
          <w:lang w:val="en-GB"/>
        </w:rPr>
        <w:t>19.</w:t>
      </w:r>
      <w:r w:rsidRPr="00310CC2">
        <w:rPr>
          <w:rFonts w:ascii="Times New Roman" w:hAnsi="Times New Roman" w:cs="Times New Roman"/>
          <w:szCs w:val="24"/>
          <w:lang w:val="en-GB"/>
        </w:rPr>
        <w:tab/>
        <w:t>Karczewski KJ, Francioli LC, Tiao G</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The mutational constraint spectrum quantified from variation in 141,456 humans. </w:t>
      </w:r>
      <w:r w:rsidRPr="007E6892">
        <w:rPr>
          <w:rFonts w:ascii="Times New Roman" w:hAnsi="Times New Roman" w:cs="Times New Roman"/>
          <w:i/>
          <w:szCs w:val="24"/>
          <w:lang w:val="sv-SE"/>
        </w:rPr>
        <w:t xml:space="preserve">Nature </w:t>
      </w:r>
      <w:r w:rsidRPr="007E6892">
        <w:rPr>
          <w:rFonts w:ascii="Times New Roman" w:hAnsi="Times New Roman" w:cs="Times New Roman"/>
          <w:szCs w:val="24"/>
          <w:lang w:val="sv-SE"/>
        </w:rPr>
        <w:t>2020;</w:t>
      </w:r>
      <w:r w:rsidRPr="007E6892">
        <w:rPr>
          <w:rFonts w:ascii="Times New Roman" w:hAnsi="Times New Roman" w:cs="Times New Roman"/>
          <w:b/>
          <w:szCs w:val="24"/>
          <w:lang w:val="sv-SE"/>
        </w:rPr>
        <w:t>581</w:t>
      </w:r>
      <w:r w:rsidRPr="007E6892">
        <w:rPr>
          <w:rFonts w:ascii="Times New Roman" w:hAnsi="Times New Roman" w:cs="Times New Roman"/>
          <w:szCs w:val="24"/>
          <w:lang w:val="sv-SE"/>
        </w:rPr>
        <w:t>:434-443. doi: 10.1038/s41586-020-2308-7</w:t>
      </w:r>
    </w:p>
    <w:p w14:paraId="727863F8"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7E6892">
        <w:rPr>
          <w:rFonts w:ascii="Times New Roman" w:hAnsi="Times New Roman" w:cs="Times New Roman"/>
          <w:szCs w:val="24"/>
          <w:lang w:val="sv-SE"/>
        </w:rPr>
        <w:t>20.</w:t>
      </w:r>
      <w:r w:rsidRPr="007E6892">
        <w:rPr>
          <w:rFonts w:ascii="Times New Roman" w:hAnsi="Times New Roman" w:cs="Times New Roman"/>
          <w:szCs w:val="24"/>
          <w:lang w:val="sv-SE"/>
        </w:rPr>
        <w:tab/>
        <w:t>Landrum MJ, Lee JM, Benson M</w:t>
      </w:r>
      <w:r w:rsidRPr="007E6892">
        <w:rPr>
          <w:rFonts w:ascii="Times New Roman" w:hAnsi="Times New Roman" w:cs="Times New Roman"/>
          <w:i/>
          <w:szCs w:val="24"/>
          <w:lang w:val="sv-SE"/>
        </w:rPr>
        <w:t>, et al.</w:t>
      </w:r>
      <w:r w:rsidRPr="007E6892">
        <w:rPr>
          <w:rFonts w:ascii="Times New Roman" w:hAnsi="Times New Roman" w:cs="Times New Roman"/>
          <w:szCs w:val="24"/>
          <w:lang w:val="sv-SE"/>
        </w:rPr>
        <w:t xml:space="preserve"> </w:t>
      </w:r>
      <w:r w:rsidRPr="00310CC2">
        <w:rPr>
          <w:rFonts w:ascii="Times New Roman" w:hAnsi="Times New Roman" w:cs="Times New Roman"/>
          <w:szCs w:val="24"/>
          <w:lang w:val="en-GB"/>
        </w:rPr>
        <w:t xml:space="preserve">ClinVar: improving access to variant interpretations and supporting evidence. </w:t>
      </w:r>
      <w:r w:rsidRPr="00310CC2">
        <w:rPr>
          <w:rFonts w:ascii="Times New Roman" w:hAnsi="Times New Roman" w:cs="Times New Roman"/>
          <w:i/>
          <w:szCs w:val="24"/>
          <w:lang w:val="en-GB"/>
        </w:rPr>
        <w:t xml:space="preserve">Nucleic Acids Res </w:t>
      </w:r>
      <w:r w:rsidRPr="00310CC2">
        <w:rPr>
          <w:rFonts w:ascii="Times New Roman" w:hAnsi="Times New Roman" w:cs="Times New Roman"/>
          <w:szCs w:val="24"/>
          <w:lang w:val="en-GB"/>
        </w:rPr>
        <w:t>2018;</w:t>
      </w:r>
      <w:r w:rsidRPr="00310CC2">
        <w:rPr>
          <w:rFonts w:ascii="Times New Roman" w:hAnsi="Times New Roman" w:cs="Times New Roman"/>
          <w:b/>
          <w:szCs w:val="24"/>
          <w:lang w:val="en-GB"/>
        </w:rPr>
        <w:t>46</w:t>
      </w:r>
      <w:r w:rsidRPr="00310CC2">
        <w:rPr>
          <w:rFonts w:ascii="Times New Roman" w:hAnsi="Times New Roman" w:cs="Times New Roman"/>
          <w:szCs w:val="24"/>
          <w:lang w:val="en-GB"/>
        </w:rPr>
        <w:t>:D1062-D1067. doi: 10.1093/nar/gkx1153</w:t>
      </w:r>
    </w:p>
    <w:p w14:paraId="0FA01BD4" w14:textId="77777777" w:rsidR="00FA1D9C" w:rsidRPr="007E6892" w:rsidRDefault="00FA1D9C" w:rsidP="006A439B">
      <w:pPr>
        <w:pStyle w:val="EndNoteBibliography"/>
        <w:spacing w:after="0" w:line="480" w:lineRule="auto"/>
        <w:rPr>
          <w:rFonts w:ascii="Times New Roman" w:hAnsi="Times New Roman" w:cs="Times New Roman"/>
          <w:szCs w:val="24"/>
          <w:lang w:val="sv-SE"/>
        </w:rPr>
      </w:pPr>
      <w:r w:rsidRPr="00310CC2">
        <w:rPr>
          <w:rFonts w:ascii="Times New Roman" w:hAnsi="Times New Roman" w:cs="Times New Roman"/>
          <w:szCs w:val="24"/>
          <w:lang w:val="en-GB"/>
        </w:rPr>
        <w:t>21.</w:t>
      </w:r>
      <w:r w:rsidRPr="00310CC2">
        <w:rPr>
          <w:rFonts w:ascii="Times New Roman" w:hAnsi="Times New Roman" w:cs="Times New Roman"/>
          <w:szCs w:val="24"/>
          <w:lang w:val="en-GB"/>
        </w:rPr>
        <w:tab/>
        <w:t>Ingles J, Goldstein J, Thaxton C</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Evaluating the Clinical Validity of Hypertrophic Cardiomyopathy Genes. </w:t>
      </w:r>
      <w:r w:rsidRPr="007E6892">
        <w:rPr>
          <w:rFonts w:ascii="Times New Roman" w:hAnsi="Times New Roman" w:cs="Times New Roman"/>
          <w:i/>
          <w:szCs w:val="24"/>
          <w:lang w:val="sv-SE"/>
        </w:rPr>
        <w:t xml:space="preserve">Circ Genom Precis Med </w:t>
      </w:r>
      <w:r w:rsidRPr="007E6892">
        <w:rPr>
          <w:rFonts w:ascii="Times New Roman" w:hAnsi="Times New Roman" w:cs="Times New Roman"/>
          <w:szCs w:val="24"/>
          <w:lang w:val="sv-SE"/>
        </w:rPr>
        <w:t>2019;</w:t>
      </w:r>
      <w:r w:rsidRPr="007E6892">
        <w:rPr>
          <w:rFonts w:ascii="Times New Roman" w:hAnsi="Times New Roman" w:cs="Times New Roman"/>
          <w:b/>
          <w:szCs w:val="24"/>
          <w:lang w:val="sv-SE"/>
        </w:rPr>
        <w:t>12</w:t>
      </w:r>
      <w:r w:rsidRPr="007E6892">
        <w:rPr>
          <w:rFonts w:ascii="Times New Roman" w:hAnsi="Times New Roman" w:cs="Times New Roman"/>
          <w:szCs w:val="24"/>
          <w:lang w:val="sv-SE"/>
        </w:rPr>
        <w:t>:e002460. doi: 10.1161/CIRCGEN.119.002460</w:t>
      </w:r>
    </w:p>
    <w:p w14:paraId="0C585BE0"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7E6892">
        <w:rPr>
          <w:rFonts w:ascii="Times New Roman" w:hAnsi="Times New Roman" w:cs="Times New Roman"/>
          <w:szCs w:val="24"/>
          <w:lang w:val="sv-SE"/>
        </w:rPr>
        <w:t>22.</w:t>
      </w:r>
      <w:r w:rsidRPr="007E6892">
        <w:rPr>
          <w:rFonts w:ascii="Times New Roman" w:hAnsi="Times New Roman" w:cs="Times New Roman"/>
          <w:szCs w:val="24"/>
          <w:lang w:val="sv-SE"/>
        </w:rPr>
        <w:tab/>
        <w:t>Jordan E, Peterson L, Ai T</w:t>
      </w:r>
      <w:r w:rsidRPr="007E6892">
        <w:rPr>
          <w:rFonts w:ascii="Times New Roman" w:hAnsi="Times New Roman" w:cs="Times New Roman"/>
          <w:i/>
          <w:szCs w:val="24"/>
          <w:lang w:val="sv-SE"/>
        </w:rPr>
        <w:t>, et al.</w:t>
      </w:r>
      <w:r w:rsidRPr="007E6892">
        <w:rPr>
          <w:rFonts w:ascii="Times New Roman" w:hAnsi="Times New Roman" w:cs="Times New Roman"/>
          <w:szCs w:val="24"/>
          <w:lang w:val="sv-SE"/>
        </w:rPr>
        <w:t xml:space="preserve"> </w:t>
      </w:r>
      <w:r w:rsidRPr="00310CC2">
        <w:rPr>
          <w:rFonts w:ascii="Times New Roman" w:hAnsi="Times New Roman" w:cs="Times New Roman"/>
          <w:szCs w:val="24"/>
          <w:lang w:val="en-GB"/>
        </w:rPr>
        <w:t xml:space="preserve">Evidence-Based Assessment of Genes in Dilated Cardiomyopathy. </w:t>
      </w:r>
      <w:r w:rsidRPr="00310CC2">
        <w:rPr>
          <w:rFonts w:ascii="Times New Roman" w:hAnsi="Times New Roman" w:cs="Times New Roman"/>
          <w:i/>
          <w:szCs w:val="24"/>
          <w:lang w:val="en-GB"/>
        </w:rPr>
        <w:t xml:space="preserve">Circulation </w:t>
      </w:r>
      <w:r w:rsidRPr="00310CC2">
        <w:rPr>
          <w:rFonts w:ascii="Times New Roman" w:hAnsi="Times New Roman" w:cs="Times New Roman"/>
          <w:szCs w:val="24"/>
          <w:lang w:val="en-GB"/>
        </w:rPr>
        <w:t>2021;</w:t>
      </w:r>
      <w:r w:rsidRPr="00310CC2">
        <w:rPr>
          <w:rFonts w:ascii="Times New Roman" w:hAnsi="Times New Roman" w:cs="Times New Roman"/>
          <w:b/>
          <w:szCs w:val="24"/>
          <w:lang w:val="en-GB"/>
        </w:rPr>
        <w:t>144</w:t>
      </w:r>
      <w:r w:rsidRPr="00310CC2">
        <w:rPr>
          <w:rFonts w:ascii="Times New Roman" w:hAnsi="Times New Roman" w:cs="Times New Roman"/>
          <w:szCs w:val="24"/>
          <w:lang w:val="en-GB"/>
        </w:rPr>
        <w:t>:7-19. doi: 10.1161/CIRCULATIONAHA.120.053033</w:t>
      </w:r>
    </w:p>
    <w:p w14:paraId="34C95B45"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23.</w:t>
      </w:r>
      <w:r w:rsidRPr="00310CC2">
        <w:rPr>
          <w:rFonts w:ascii="Times New Roman" w:hAnsi="Times New Roman" w:cs="Times New Roman"/>
          <w:szCs w:val="24"/>
          <w:lang w:val="en-GB"/>
        </w:rPr>
        <w:tab/>
        <w:t>James CA, Jongbloed JDH, Hershberger RE</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International Evidence Based Reappraisal of Genes Associated With Arrhythmogenic Right Ventricular Cardiomyopathy Using the Clinical Genome Resource Framework. </w:t>
      </w:r>
      <w:r w:rsidRPr="00310CC2">
        <w:rPr>
          <w:rFonts w:ascii="Times New Roman" w:hAnsi="Times New Roman" w:cs="Times New Roman"/>
          <w:i/>
          <w:szCs w:val="24"/>
          <w:lang w:val="en-GB"/>
        </w:rPr>
        <w:t xml:space="preserve">Circ Genom Precis Med </w:t>
      </w:r>
      <w:r w:rsidRPr="00310CC2">
        <w:rPr>
          <w:rFonts w:ascii="Times New Roman" w:hAnsi="Times New Roman" w:cs="Times New Roman"/>
          <w:szCs w:val="24"/>
          <w:lang w:val="en-GB"/>
        </w:rPr>
        <w:t>2021;</w:t>
      </w:r>
      <w:r w:rsidRPr="00310CC2">
        <w:rPr>
          <w:rFonts w:ascii="Times New Roman" w:hAnsi="Times New Roman" w:cs="Times New Roman"/>
          <w:b/>
          <w:szCs w:val="24"/>
          <w:lang w:val="en-GB"/>
        </w:rPr>
        <w:t>14</w:t>
      </w:r>
      <w:r w:rsidRPr="00310CC2">
        <w:rPr>
          <w:rFonts w:ascii="Times New Roman" w:hAnsi="Times New Roman" w:cs="Times New Roman"/>
          <w:szCs w:val="24"/>
          <w:lang w:val="en-GB"/>
        </w:rPr>
        <w:t>:e003273. doi: 10.1161/CIRCGEN.120.003273</w:t>
      </w:r>
    </w:p>
    <w:p w14:paraId="2BBF3711"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24.</w:t>
      </w:r>
      <w:r w:rsidRPr="00310CC2">
        <w:rPr>
          <w:rFonts w:ascii="Times New Roman" w:hAnsi="Times New Roman" w:cs="Times New Roman"/>
          <w:szCs w:val="24"/>
          <w:lang w:val="en-GB"/>
        </w:rPr>
        <w:tab/>
        <w:t>Iacocca MA, Chora JR, Carrie A</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ClinVar database of global familial hypercholesterolemia-associated DNA variants. </w:t>
      </w:r>
      <w:r w:rsidRPr="00310CC2">
        <w:rPr>
          <w:rFonts w:ascii="Times New Roman" w:hAnsi="Times New Roman" w:cs="Times New Roman"/>
          <w:i/>
          <w:szCs w:val="24"/>
          <w:lang w:val="en-GB"/>
        </w:rPr>
        <w:t xml:space="preserve">Hum Mutat </w:t>
      </w:r>
      <w:r w:rsidRPr="00310CC2">
        <w:rPr>
          <w:rFonts w:ascii="Times New Roman" w:hAnsi="Times New Roman" w:cs="Times New Roman"/>
          <w:szCs w:val="24"/>
          <w:lang w:val="en-GB"/>
        </w:rPr>
        <w:t>2018;</w:t>
      </w:r>
      <w:r w:rsidRPr="00310CC2">
        <w:rPr>
          <w:rFonts w:ascii="Times New Roman" w:hAnsi="Times New Roman" w:cs="Times New Roman"/>
          <w:b/>
          <w:szCs w:val="24"/>
          <w:lang w:val="en-GB"/>
        </w:rPr>
        <w:t>39</w:t>
      </w:r>
      <w:r w:rsidRPr="00310CC2">
        <w:rPr>
          <w:rFonts w:ascii="Times New Roman" w:hAnsi="Times New Roman" w:cs="Times New Roman"/>
          <w:szCs w:val="24"/>
          <w:lang w:val="en-GB"/>
        </w:rPr>
        <w:t>:1631-1640. doi: 10.1002/humu.23634</w:t>
      </w:r>
    </w:p>
    <w:p w14:paraId="61B04836"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lastRenderedPageBreak/>
        <w:t>25.</w:t>
      </w:r>
      <w:r w:rsidRPr="00310CC2">
        <w:rPr>
          <w:rFonts w:ascii="Times New Roman" w:hAnsi="Times New Roman" w:cs="Times New Roman"/>
          <w:szCs w:val="24"/>
          <w:lang w:val="en-GB"/>
        </w:rPr>
        <w:tab/>
        <w:t>Martin AR, Williams E, Foulger RE</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PanelApp crowdsources expert knowledge to establish consensus diagnostic gene panels. </w:t>
      </w:r>
      <w:r w:rsidRPr="00310CC2">
        <w:rPr>
          <w:rFonts w:ascii="Times New Roman" w:hAnsi="Times New Roman" w:cs="Times New Roman"/>
          <w:i/>
          <w:szCs w:val="24"/>
          <w:lang w:val="en-GB"/>
        </w:rPr>
        <w:t xml:space="preserve">Nat Genet </w:t>
      </w:r>
      <w:r w:rsidRPr="00310CC2">
        <w:rPr>
          <w:rFonts w:ascii="Times New Roman" w:hAnsi="Times New Roman" w:cs="Times New Roman"/>
          <w:szCs w:val="24"/>
          <w:lang w:val="en-GB"/>
        </w:rPr>
        <w:t>2019;</w:t>
      </w:r>
      <w:r w:rsidRPr="00310CC2">
        <w:rPr>
          <w:rFonts w:ascii="Times New Roman" w:hAnsi="Times New Roman" w:cs="Times New Roman"/>
          <w:b/>
          <w:szCs w:val="24"/>
          <w:lang w:val="en-GB"/>
        </w:rPr>
        <w:t>51</w:t>
      </w:r>
      <w:r w:rsidRPr="00310CC2">
        <w:rPr>
          <w:rFonts w:ascii="Times New Roman" w:hAnsi="Times New Roman" w:cs="Times New Roman"/>
          <w:szCs w:val="24"/>
          <w:lang w:val="en-GB"/>
        </w:rPr>
        <w:t>:1560-1565. doi: 10.1038/s41588-019-0528-2</w:t>
      </w:r>
    </w:p>
    <w:p w14:paraId="42CF32EF" w14:textId="77777777" w:rsidR="00FA1D9C" w:rsidRPr="007E6892" w:rsidRDefault="00FA1D9C" w:rsidP="006A439B">
      <w:pPr>
        <w:pStyle w:val="EndNoteBibliography"/>
        <w:spacing w:after="0" w:line="480" w:lineRule="auto"/>
        <w:rPr>
          <w:rFonts w:ascii="Times New Roman" w:hAnsi="Times New Roman" w:cs="Times New Roman"/>
          <w:szCs w:val="24"/>
          <w:lang w:val="sv-SE"/>
        </w:rPr>
      </w:pPr>
      <w:r w:rsidRPr="00310CC2">
        <w:rPr>
          <w:rFonts w:ascii="Times New Roman" w:hAnsi="Times New Roman" w:cs="Times New Roman"/>
          <w:szCs w:val="24"/>
          <w:lang w:val="en-GB"/>
        </w:rPr>
        <w:t>26.</w:t>
      </w:r>
      <w:r w:rsidRPr="00310CC2">
        <w:rPr>
          <w:rFonts w:ascii="Times New Roman" w:hAnsi="Times New Roman" w:cs="Times New Roman"/>
          <w:szCs w:val="24"/>
          <w:lang w:val="en-GB"/>
        </w:rPr>
        <w:tab/>
        <w:t>Morales A, Kinnamon DD, Jordan E</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Variant Interpretation for Dilated Cardiomyopathy: Refinement of the American College of Medical Genetics and Genomics/ClinGen Guidelines for the DCM Precision Medicine Study. </w:t>
      </w:r>
      <w:r w:rsidRPr="007E6892">
        <w:rPr>
          <w:rFonts w:ascii="Times New Roman" w:hAnsi="Times New Roman" w:cs="Times New Roman"/>
          <w:i/>
          <w:szCs w:val="24"/>
          <w:lang w:val="sv-SE"/>
        </w:rPr>
        <w:t xml:space="preserve">Circ Genom Precis Med </w:t>
      </w:r>
      <w:r w:rsidRPr="007E6892">
        <w:rPr>
          <w:rFonts w:ascii="Times New Roman" w:hAnsi="Times New Roman" w:cs="Times New Roman"/>
          <w:szCs w:val="24"/>
          <w:lang w:val="sv-SE"/>
        </w:rPr>
        <w:t>2020;</w:t>
      </w:r>
      <w:r w:rsidRPr="007E6892">
        <w:rPr>
          <w:rFonts w:ascii="Times New Roman" w:hAnsi="Times New Roman" w:cs="Times New Roman"/>
          <w:b/>
          <w:szCs w:val="24"/>
          <w:lang w:val="sv-SE"/>
        </w:rPr>
        <w:t>13</w:t>
      </w:r>
      <w:r w:rsidRPr="007E6892">
        <w:rPr>
          <w:rFonts w:ascii="Times New Roman" w:hAnsi="Times New Roman" w:cs="Times New Roman"/>
          <w:szCs w:val="24"/>
          <w:lang w:val="sv-SE"/>
        </w:rPr>
        <w:t>:e002480. doi: 10.1161/CIRCGEN.119.002480</w:t>
      </w:r>
    </w:p>
    <w:p w14:paraId="21E1C335"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7E6892">
        <w:rPr>
          <w:rFonts w:ascii="Times New Roman" w:hAnsi="Times New Roman" w:cs="Times New Roman"/>
          <w:szCs w:val="24"/>
          <w:lang w:val="sv-SE"/>
        </w:rPr>
        <w:t>27.</w:t>
      </w:r>
      <w:r w:rsidRPr="007E6892">
        <w:rPr>
          <w:rFonts w:ascii="Times New Roman" w:hAnsi="Times New Roman" w:cs="Times New Roman"/>
          <w:szCs w:val="24"/>
          <w:lang w:val="sv-SE"/>
        </w:rPr>
        <w:tab/>
        <w:t>Chora JR, Iacocca MA, Tichy L</w:t>
      </w:r>
      <w:r w:rsidRPr="007E6892">
        <w:rPr>
          <w:rFonts w:ascii="Times New Roman" w:hAnsi="Times New Roman" w:cs="Times New Roman"/>
          <w:i/>
          <w:szCs w:val="24"/>
          <w:lang w:val="sv-SE"/>
        </w:rPr>
        <w:t>, et al.</w:t>
      </w:r>
      <w:r w:rsidRPr="007E6892">
        <w:rPr>
          <w:rFonts w:ascii="Times New Roman" w:hAnsi="Times New Roman" w:cs="Times New Roman"/>
          <w:szCs w:val="24"/>
          <w:lang w:val="sv-SE"/>
        </w:rPr>
        <w:t xml:space="preserve"> </w:t>
      </w:r>
      <w:r w:rsidRPr="00310CC2">
        <w:rPr>
          <w:rFonts w:ascii="Times New Roman" w:hAnsi="Times New Roman" w:cs="Times New Roman"/>
          <w:szCs w:val="24"/>
          <w:lang w:val="en-GB"/>
        </w:rPr>
        <w:t xml:space="preserve">The Clinical Genome Resource (ClinGen) Familial Hypercholesterolemia Variant Curation Expert Panel consensus guidelines for LDLR variant classification. </w:t>
      </w:r>
      <w:r w:rsidRPr="00310CC2">
        <w:rPr>
          <w:rFonts w:ascii="Times New Roman" w:hAnsi="Times New Roman" w:cs="Times New Roman"/>
          <w:i/>
          <w:szCs w:val="24"/>
          <w:lang w:val="en-GB"/>
        </w:rPr>
        <w:t xml:space="preserve">Genet Med </w:t>
      </w:r>
      <w:r w:rsidRPr="00310CC2">
        <w:rPr>
          <w:rFonts w:ascii="Times New Roman" w:hAnsi="Times New Roman" w:cs="Times New Roman"/>
          <w:szCs w:val="24"/>
          <w:lang w:val="en-GB"/>
        </w:rPr>
        <w:t>2022;</w:t>
      </w:r>
      <w:r w:rsidRPr="00310CC2">
        <w:rPr>
          <w:rFonts w:ascii="Times New Roman" w:hAnsi="Times New Roman" w:cs="Times New Roman"/>
          <w:b/>
          <w:szCs w:val="24"/>
          <w:lang w:val="en-GB"/>
        </w:rPr>
        <w:t>24</w:t>
      </w:r>
      <w:r w:rsidRPr="00310CC2">
        <w:rPr>
          <w:rFonts w:ascii="Times New Roman" w:hAnsi="Times New Roman" w:cs="Times New Roman"/>
          <w:szCs w:val="24"/>
          <w:lang w:val="en-GB"/>
        </w:rPr>
        <w:t>:293-306. doi: 10.1016/j.gim.2021.09.012</w:t>
      </w:r>
    </w:p>
    <w:p w14:paraId="6D0A8D8F"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28.</w:t>
      </w:r>
      <w:r w:rsidRPr="00310CC2">
        <w:rPr>
          <w:rFonts w:ascii="Times New Roman" w:hAnsi="Times New Roman" w:cs="Times New Roman"/>
          <w:szCs w:val="24"/>
          <w:lang w:val="en-GB"/>
        </w:rPr>
        <w:tab/>
        <w:t>Kelly MA, Caleshu C, Morales A</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Adaptation and validation of the ACMG/AMP variant classification framework for MYH7-associated inherited cardiomyopathies: recommendations by ClinGen's Inherited Cardiomyopathy Expert Panel. </w:t>
      </w:r>
      <w:r w:rsidRPr="00310CC2">
        <w:rPr>
          <w:rFonts w:ascii="Times New Roman" w:hAnsi="Times New Roman" w:cs="Times New Roman"/>
          <w:i/>
          <w:szCs w:val="24"/>
          <w:lang w:val="en-GB"/>
        </w:rPr>
        <w:t xml:space="preserve">Genet Med </w:t>
      </w:r>
      <w:r w:rsidRPr="00310CC2">
        <w:rPr>
          <w:rFonts w:ascii="Times New Roman" w:hAnsi="Times New Roman" w:cs="Times New Roman"/>
          <w:szCs w:val="24"/>
          <w:lang w:val="en-GB"/>
        </w:rPr>
        <w:t>2018;</w:t>
      </w:r>
      <w:r w:rsidRPr="00310CC2">
        <w:rPr>
          <w:rFonts w:ascii="Times New Roman" w:hAnsi="Times New Roman" w:cs="Times New Roman"/>
          <w:b/>
          <w:szCs w:val="24"/>
          <w:lang w:val="en-GB"/>
        </w:rPr>
        <w:t>20</w:t>
      </w:r>
      <w:r w:rsidRPr="00310CC2">
        <w:rPr>
          <w:rFonts w:ascii="Times New Roman" w:hAnsi="Times New Roman" w:cs="Times New Roman"/>
          <w:szCs w:val="24"/>
          <w:lang w:val="en-GB"/>
        </w:rPr>
        <w:t>:351-359. doi: 10.1038/gim.2017.218</w:t>
      </w:r>
    </w:p>
    <w:p w14:paraId="48E5A7D3"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29.</w:t>
      </w:r>
      <w:r w:rsidRPr="00310CC2">
        <w:rPr>
          <w:rFonts w:ascii="Times New Roman" w:hAnsi="Times New Roman" w:cs="Times New Roman"/>
          <w:szCs w:val="24"/>
          <w:lang w:val="en-GB"/>
        </w:rPr>
        <w:tab/>
        <w:t>Lumbers RT, Shah S, Lin H</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The genomics of heart failure: design and rationale of the HERMES consortium. </w:t>
      </w:r>
      <w:r w:rsidRPr="00310CC2">
        <w:rPr>
          <w:rFonts w:ascii="Times New Roman" w:hAnsi="Times New Roman" w:cs="Times New Roman"/>
          <w:i/>
          <w:szCs w:val="24"/>
          <w:lang w:val="en-GB"/>
        </w:rPr>
        <w:t xml:space="preserve">ESC Heart Fail </w:t>
      </w:r>
      <w:r w:rsidRPr="00310CC2">
        <w:rPr>
          <w:rFonts w:ascii="Times New Roman" w:hAnsi="Times New Roman" w:cs="Times New Roman"/>
          <w:szCs w:val="24"/>
          <w:lang w:val="en-GB"/>
        </w:rPr>
        <w:t>2021;</w:t>
      </w:r>
      <w:r w:rsidRPr="00310CC2">
        <w:rPr>
          <w:rFonts w:ascii="Times New Roman" w:hAnsi="Times New Roman" w:cs="Times New Roman"/>
          <w:b/>
          <w:szCs w:val="24"/>
          <w:lang w:val="en-GB"/>
        </w:rPr>
        <w:t>8</w:t>
      </w:r>
      <w:r w:rsidRPr="00310CC2">
        <w:rPr>
          <w:rFonts w:ascii="Times New Roman" w:hAnsi="Times New Roman" w:cs="Times New Roman"/>
          <w:szCs w:val="24"/>
          <w:lang w:val="en-GB"/>
        </w:rPr>
        <w:t>:5531-5541. doi: 10.1002/ehf2.13517</w:t>
      </w:r>
    </w:p>
    <w:p w14:paraId="2D6433AD" w14:textId="77777777" w:rsidR="00FA1D9C" w:rsidRPr="00310CC2" w:rsidRDefault="00FA1D9C" w:rsidP="006A439B">
      <w:pPr>
        <w:pStyle w:val="EndNoteBibliography"/>
        <w:spacing w:after="0" w:line="480" w:lineRule="auto"/>
        <w:rPr>
          <w:rFonts w:ascii="Times New Roman" w:hAnsi="Times New Roman" w:cs="Times New Roman"/>
          <w:szCs w:val="24"/>
          <w:lang w:val="en-GB"/>
        </w:rPr>
      </w:pPr>
      <w:r w:rsidRPr="00310CC2">
        <w:rPr>
          <w:rFonts w:ascii="Times New Roman" w:hAnsi="Times New Roman" w:cs="Times New Roman"/>
          <w:szCs w:val="24"/>
          <w:lang w:val="en-GB"/>
        </w:rPr>
        <w:t>30.</w:t>
      </w:r>
      <w:r w:rsidRPr="00310CC2">
        <w:rPr>
          <w:rFonts w:ascii="Times New Roman" w:hAnsi="Times New Roman" w:cs="Times New Roman"/>
          <w:szCs w:val="24"/>
          <w:lang w:val="en-GB"/>
        </w:rPr>
        <w:tab/>
        <w:t xml:space="preserve">Prive F, Arbel J, Vilhjalmsson BJ. LDpred2: better, faster, stronger. </w:t>
      </w:r>
      <w:r w:rsidRPr="00310CC2">
        <w:rPr>
          <w:rFonts w:ascii="Times New Roman" w:hAnsi="Times New Roman" w:cs="Times New Roman"/>
          <w:i/>
          <w:szCs w:val="24"/>
          <w:lang w:val="en-GB"/>
        </w:rPr>
        <w:t xml:space="preserve">Bioinformatics </w:t>
      </w:r>
      <w:r w:rsidRPr="00310CC2">
        <w:rPr>
          <w:rFonts w:ascii="Times New Roman" w:hAnsi="Times New Roman" w:cs="Times New Roman"/>
          <w:szCs w:val="24"/>
          <w:lang w:val="en-GB"/>
        </w:rPr>
        <w:t>2020;</w:t>
      </w:r>
      <w:r w:rsidRPr="00310CC2">
        <w:rPr>
          <w:rFonts w:ascii="Times New Roman" w:hAnsi="Times New Roman" w:cs="Times New Roman"/>
          <w:b/>
          <w:szCs w:val="24"/>
          <w:lang w:val="en-GB"/>
        </w:rPr>
        <w:t>36</w:t>
      </w:r>
      <w:r w:rsidRPr="00310CC2">
        <w:rPr>
          <w:rFonts w:ascii="Times New Roman" w:hAnsi="Times New Roman" w:cs="Times New Roman"/>
          <w:szCs w:val="24"/>
          <w:lang w:val="en-GB"/>
        </w:rPr>
        <w:t>:5424-5431. doi: 10.1093/bioinformatics/btaa1029</w:t>
      </w:r>
    </w:p>
    <w:p w14:paraId="781F4E82" w14:textId="77777777" w:rsidR="00FA1D9C" w:rsidRPr="00310CC2" w:rsidRDefault="00FA1D9C" w:rsidP="006A439B">
      <w:pPr>
        <w:pStyle w:val="EndNoteBibliography"/>
        <w:spacing w:line="480" w:lineRule="auto"/>
        <w:rPr>
          <w:rFonts w:ascii="Times New Roman" w:hAnsi="Times New Roman" w:cs="Times New Roman"/>
          <w:szCs w:val="24"/>
          <w:lang w:val="en-GB"/>
        </w:rPr>
      </w:pPr>
      <w:r w:rsidRPr="00310CC2">
        <w:rPr>
          <w:rFonts w:ascii="Times New Roman" w:hAnsi="Times New Roman" w:cs="Times New Roman"/>
          <w:szCs w:val="24"/>
          <w:lang w:val="en-GB"/>
        </w:rPr>
        <w:t>31.</w:t>
      </w:r>
      <w:r w:rsidRPr="00310CC2">
        <w:rPr>
          <w:rFonts w:ascii="Times New Roman" w:hAnsi="Times New Roman" w:cs="Times New Roman"/>
          <w:szCs w:val="24"/>
          <w:lang w:val="en-GB"/>
        </w:rPr>
        <w:tab/>
        <w:t>Roberts AM, Ware JS, Herman DS</w:t>
      </w:r>
      <w:r w:rsidRPr="00310CC2">
        <w:rPr>
          <w:rFonts w:ascii="Times New Roman" w:hAnsi="Times New Roman" w:cs="Times New Roman"/>
          <w:i/>
          <w:szCs w:val="24"/>
          <w:lang w:val="en-GB"/>
        </w:rPr>
        <w:t>, et al.</w:t>
      </w:r>
      <w:r w:rsidRPr="00310CC2">
        <w:rPr>
          <w:rFonts w:ascii="Times New Roman" w:hAnsi="Times New Roman" w:cs="Times New Roman"/>
          <w:szCs w:val="24"/>
          <w:lang w:val="en-GB"/>
        </w:rPr>
        <w:t xml:space="preserve"> Integrated allelic, transcriptional, and phenomic dissection of the cardiac effects of titin truncations in health and disease. </w:t>
      </w:r>
      <w:r w:rsidRPr="00310CC2">
        <w:rPr>
          <w:rFonts w:ascii="Times New Roman" w:hAnsi="Times New Roman" w:cs="Times New Roman"/>
          <w:i/>
          <w:szCs w:val="24"/>
          <w:lang w:val="en-GB"/>
        </w:rPr>
        <w:t xml:space="preserve">Sci Transl Med </w:t>
      </w:r>
      <w:r w:rsidRPr="00310CC2">
        <w:rPr>
          <w:rFonts w:ascii="Times New Roman" w:hAnsi="Times New Roman" w:cs="Times New Roman"/>
          <w:szCs w:val="24"/>
          <w:lang w:val="en-GB"/>
        </w:rPr>
        <w:t>2015;</w:t>
      </w:r>
      <w:r w:rsidRPr="00310CC2">
        <w:rPr>
          <w:rFonts w:ascii="Times New Roman" w:hAnsi="Times New Roman" w:cs="Times New Roman"/>
          <w:b/>
          <w:szCs w:val="24"/>
          <w:lang w:val="en-GB"/>
        </w:rPr>
        <w:t>7</w:t>
      </w:r>
      <w:r w:rsidRPr="00310CC2">
        <w:rPr>
          <w:rFonts w:ascii="Times New Roman" w:hAnsi="Times New Roman" w:cs="Times New Roman"/>
          <w:szCs w:val="24"/>
          <w:lang w:val="en-GB"/>
        </w:rPr>
        <w:t>:270ra276. doi: 10.1126/scitranslmed.3010134</w:t>
      </w:r>
    </w:p>
    <w:p w14:paraId="6413C92F" w14:textId="77777777" w:rsidR="00FA1D9C" w:rsidRPr="00D95AC0" w:rsidRDefault="00FA1D9C" w:rsidP="006A439B">
      <w:pPr>
        <w:rPr>
          <w:sz w:val="32"/>
          <w:szCs w:val="32"/>
          <w:lang w:val="en-GB"/>
        </w:rPr>
      </w:pPr>
      <w:r w:rsidRPr="00D95AC0">
        <w:rPr>
          <w:lang w:val="en-GB"/>
        </w:rPr>
        <w:br w:type="page"/>
      </w:r>
    </w:p>
    <w:p w14:paraId="661A08EE" w14:textId="77777777" w:rsidR="00FA1D9C" w:rsidRPr="00D95AC0" w:rsidRDefault="00FA1D9C" w:rsidP="0092319D">
      <w:pPr>
        <w:pStyle w:val="Heading1"/>
        <w:rPr>
          <w:rFonts w:ascii="Times New Roman" w:hAnsi="Times New Roman" w:cs="Times New Roman"/>
          <w:b/>
          <w:bCs/>
          <w:lang w:val="en-GB"/>
        </w:rPr>
      </w:pPr>
      <w:r w:rsidRPr="00D95AC0">
        <w:rPr>
          <w:rFonts w:ascii="Times New Roman" w:hAnsi="Times New Roman" w:cs="Times New Roman"/>
          <w:b/>
          <w:bCs/>
          <w:lang w:val="en-GB"/>
        </w:rPr>
        <w:lastRenderedPageBreak/>
        <w:t>Supplementary Tables</w:t>
      </w:r>
    </w:p>
    <w:p w14:paraId="0FD59224" w14:textId="77777777" w:rsidR="00FA1D9C" w:rsidRPr="00D95AC0" w:rsidRDefault="00FA1D9C" w:rsidP="0092319D">
      <w:pPr>
        <w:spacing w:after="0" w:line="240" w:lineRule="auto"/>
        <w:rPr>
          <w:rFonts w:ascii="Times New Roman" w:eastAsia="Times New Roman" w:hAnsi="Times New Roman" w:cs="Times New Roman"/>
          <w:b/>
          <w:bCs/>
          <w:color w:val="000000"/>
          <w:sz w:val="22"/>
          <w:lang w:val="en-GB"/>
        </w:rPr>
      </w:pPr>
    </w:p>
    <w:p w14:paraId="0F543657" w14:textId="35B0B2A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b/>
          <w:bCs/>
          <w:color w:val="000000"/>
          <w:sz w:val="22"/>
          <w:lang w:val="en-GB"/>
        </w:rPr>
        <w:t xml:space="preserve">Table S1. </w:t>
      </w:r>
      <w:r w:rsidRPr="00D95AC0">
        <w:rPr>
          <w:rFonts w:ascii="Times New Roman" w:eastAsia="Times New Roman" w:hAnsi="Times New Roman" w:cs="Times New Roman"/>
          <w:color w:val="000000"/>
          <w:sz w:val="22"/>
          <w:lang w:val="en-GB"/>
        </w:rPr>
        <w:t xml:space="preserve">References for all genes in </w:t>
      </w:r>
      <w:r w:rsidRPr="00776A3B">
        <w:rPr>
          <w:rFonts w:ascii="Times New Roman" w:eastAsia="Times New Roman" w:hAnsi="Times New Roman" w:cs="Times New Roman"/>
          <w:b/>
          <w:bCs/>
          <w:color w:val="000000"/>
          <w:sz w:val="22"/>
          <w:lang w:val="en-GB"/>
        </w:rPr>
        <w:t>Fig. S1</w:t>
      </w:r>
      <w:r w:rsidRPr="00D95AC0">
        <w:rPr>
          <w:rFonts w:ascii="Times New Roman" w:eastAsia="Times New Roman" w:hAnsi="Times New Roman" w:cs="Times New Roman"/>
          <w:color w:val="000000"/>
          <w:sz w:val="22"/>
          <w:lang w:val="en-GB"/>
        </w:rPr>
        <w:t xml:space="preserve"> associated with monogenic heart muscle disease in systematic literature review with references. Aside from the literature review, </w:t>
      </w:r>
      <w:r>
        <w:rPr>
          <w:rFonts w:ascii="Times New Roman" w:eastAsia="Times New Roman" w:hAnsi="Times New Roman" w:cs="Times New Roman"/>
          <w:color w:val="000000"/>
          <w:sz w:val="22"/>
          <w:lang w:val="en-GB"/>
        </w:rPr>
        <w:t>s</w:t>
      </w:r>
      <w:r w:rsidR="00776A3B">
        <w:rPr>
          <w:rFonts w:ascii="Times New Roman" w:eastAsia="Times New Roman" w:hAnsi="Times New Roman" w:cs="Times New Roman"/>
          <w:color w:val="000000"/>
          <w:sz w:val="22"/>
          <w:lang w:val="en-GB"/>
        </w:rPr>
        <w:t>i</w:t>
      </w:r>
      <w:r>
        <w:rPr>
          <w:rFonts w:ascii="Times New Roman" w:eastAsia="Times New Roman" w:hAnsi="Times New Roman" w:cs="Times New Roman"/>
          <w:color w:val="000000"/>
          <w:sz w:val="22"/>
          <w:lang w:val="en-GB"/>
        </w:rPr>
        <w:t>x</w:t>
      </w:r>
      <w:r w:rsidRPr="00D95AC0">
        <w:rPr>
          <w:rFonts w:ascii="Times New Roman" w:eastAsia="Times New Roman" w:hAnsi="Times New Roman" w:cs="Times New Roman"/>
          <w:color w:val="000000"/>
          <w:sz w:val="22"/>
          <w:lang w:val="en-GB"/>
        </w:rPr>
        <w:t xml:space="preserve"> references are online references </w:t>
      </w:r>
      <w:r>
        <w:rPr>
          <w:rFonts w:ascii="Times New Roman" w:eastAsia="Times New Roman" w:hAnsi="Times New Roman" w:cs="Times New Roman"/>
          <w:color w:val="000000"/>
          <w:sz w:val="22"/>
          <w:lang w:val="en-GB"/>
        </w:rPr>
        <w:t xml:space="preserve">from </w:t>
      </w:r>
      <w:r w:rsidRPr="00D95AC0">
        <w:rPr>
          <w:rFonts w:ascii="Times New Roman" w:eastAsia="Times New Roman" w:hAnsi="Times New Roman" w:cs="Times New Roman"/>
          <w:color w:val="000000"/>
          <w:sz w:val="22"/>
          <w:lang w:val="en-GB"/>
        </w:rPr>
        <w:t>PanelApp, and references 3, 21, 93, and 96 are position papers from ClinGen.</w:t>
      </w:r>
    </w:p>
    <w:p w14:paraId="2CB5511E" w14:textId="77777777" w:rsidR="00FA1D9C" w:rsidRPr="00D95AC0" w:rsidRDefault="00FA1D9C" w:rsidP="0092319D">
      <w:pPr>
        <w:spacing w:after="0" w:line="240" w:lineRule="auto"/>
        <w:rPr>
          <w:rFonts w:ascii="Times New Roman" w:eastAsia="Times New Roman" w:hAnsi="Times New Roman" w:cs="Times New Roman"/>
          <w:b/>
          <w:bCs/>
          <w:color w:val="000000"/>
          <w:sz w:val="22"/>
          <w:lang w:val="en-GB"/>
        </w:rPr>
      </w:pPr>
    </w:p>
    <w:tbl>
      <w:tblPr>
        <w:tblStyle w:val="TableGrid"/>
        <w:tblW w:w="0" w:type="auto"/>
        <w:tblLook w:val="04A0" w:firstRow="1" w:lastRow="0" w:firstColumn="1" w:lastColumn="0" w:noHBand="0" w:noVBand="1"/>
      </w:tblPr>
      <w:tblGrid>
        <w:gridCol w:w="9062"/>
      </w:tblGrid>
      <w:tr w:rsidR="00FA1D9C" w:rsidRPr="00310CC2" w14:paraId="5906CE1B" w14:textId="77777777" w:rsidTr="0092319D">
        <w:tc>
          <w:tcPr>
            <w:tcW w:w="9062" w:type="dxa"/>
          </w:tcPr>
          <w:p w14:paraId="42F5B78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w:t>
            </w:r>
            <w:r w:rsidRPr="00D95AC0">
              <w:rPr>
                <w:rFonts w:ascii="Times New Roman" w:hAnsi="Times New Roman" w:cs="Times New Roman"/>
                <w:lang w:val="en-GB"/>
              </w:rPr>
              <w:tab/>
              <w:t xml:space="preserve">Peters S, Johnson R, Birch S, Zentner D, Hershberger RE, Fatkin D. Familial Dilated Cardiomyopathy. </w:t>
            </w:r>
            <w:r w:rsidRPr="00D95AC0">
              <w:rPr>
                <w:rFonts w:ascii="Times New Roman" w:hAnsi="Times New Roman" w:cs="Times New Roman"/>
                <w:i/>
                <w:lang w:val="en-GB"/>
              </w:rPr>
              <w:t>Heart Lung Circ</w:t>
            </w:r>
            <w:r w:rsidRPr="00D95AC0">
              <w:rPr>
                <w:rFonts w:ascii="Times New Roman" w:hAnsi="Times New Roman" w:cs="Times New Roman"/>
                <w:lang w:val="en-GB"/>
              </w:rPr>
              <w:t>. 2020;29:566-574. doi: 10.1016/j.hlc.2019.11.018</w:t>
            </w:r>
          </w:p>
          <w:p w14:paraId="678D8DE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w:t>
            </w:r>
            <w:r w:rsidRPr="00D95AC0">
              <w:rPr>
                <w:rFonts w:ascii="Times New Roman" w:hAnsi="Times New Roman" w:cs="Times New Roman"/>
                <w:lang w:val="en-GB"/>
              </w:rPr>
              <w:tab/>
              <w:t xml:space="preserve">Genomics England PanelApp. Cardiomyopathies - including childhood onset (v. 1.59) [Internet]. 2021 [accessed November 18, 2021]. Available from: https://panelapp.genomicsengland.co.uk/panels/749/. </w:t>
            </w:r>
          </w:p>
          <w:p w14:paraId="3C89C00B"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w:t>
            </w:r>
            <w:r w:rsidRPr="00D95AC0">
              <w:rPr>
                <w:rFonts w:ascii="Times New Roman" w:hAnsi="Times New Roman" w:cs="Times New Roman"/>
                <w:lang w:val="en-GB"/>
              </w:rPr>
              <w:tab/>
              <w:t xml:space="preserve">Ingles J, Goldstein J, Thaxton C, Caleshu C, Corty EW, Crowley SB, Dougherty K, Harrison SM, McGlaughon J, Milko LV, et al. Evaluating the Clinical Validity of Hypertrophic Cardiomyopathy Genes. </w:t>
            </w:r>
            <w:r w:rsidRPr="00D95AC0">
              <w:rPr>
                <w:rFonts w:ascii="Times New Roman" w:hAnsi="Times New Roman" w:cs="Times New Roman"/>
                <w:i/>
                <w:lang w:val="en-GB"/>
              </w:rPr>
              <w:t>Circ Genom Precis Med</w:t>
            </w:r>
            <w:r w:rsidRPr="00D95AC0">
              <w:rPr>
                <w:rFonts w:ascii="Times New Roman" w:hAnsi="Times New Roman" w:cs="Times New Roman"/>
                <w:lang w:val="en-GB"/>
              </w:rPr>
              <w:t>. 2019;12:e002460. doi: 10.1161/CIRCGEN.119.002460</w:t>
            </w:r>
          </w:p>
          <w:p w14:paraId="0B9939C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w:t>
            </w:r>
            <w:r w:rsidRPr="00D95AC0">
              <w:rPr>
                <w:rFonts w:ascii="Times New Roman" w:hAnsi="Times New Roman" w:cs="Times New Roman"/>
                <w:lang w:val="en-GB"/>
              </w:rPr>
              <w:tab/>
              <w:t xml:space="preserve">Stafford F, Thomson K, Butters A, Ingles J. Hypertrophic Cardiomyopathy: Genetic Testing and Risk Stratification. </w:t>
            </w:r>
            <w:r w:rsidRPr="00D95AC0">
              <w:rPr>
                <w:rFonts w:ascii="Times New Roman" w:hAnsi="Times New Roman" w:cs="Times New Roman"/>
                <w:i/>
                <w:lang w:val="en-GB"/>
              </w:rPr>
              <w:t>Curr Cardiol Rep</w:t>
            </w:r>
            <w:r w:rsidRPr="00D95AC0">
              <w:rPr>
                <w:rFonts w:ascii="Times New Roman" w:hAnsi="Times New Roman" w:cs="Times New Roman"/>
                <w:lang w:val="en-GB"/>
              </w:rPr>
              <w:t>. 2021;23:9. doi: 10.1007/s11886-020-01437-4</w:t>
            </w:r>
          </w:p>
          <w:p w14:paraId="1049F0E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w:t>
            </w:r>
            <w:r w:rsidRPr="00D95AC0">
              <w:rPr>
                <w:rFonts w:ascii="Times New Roman" w:hAnsi="Times New Roman" w:cs="Times New Roman"/>
                <w:lang w:val="en-GB"/>
              </w:rPr>
              <w:tab/>
              <w:t xml:space="preserve">Baulina NM, Kiselev IS, Chumakova OS, Favorova OO. [Hypertrophic Cardiomyopathy as an Oligogenic Disease: Transcriptomic Arguments]. </w:t>
            </w:r>
            <w:r w:rsidRPr="00D95AC0">
              <w:rPr>
                <w:rFonts w:ascii="Times New Roman" w:hAnsi="Times New Roman" w:cs="Times New Roman"/>
                <w:i/>
                <w:lang w:val="en-GB"/>
              </w:rPr>
              <w:t>Mol Biol (Mosk)</w:t>
            </w:r>
            <w:r w:rsidRPr="00D95AC0">
              <w:rPr>
                <w:rFonts w:ascii="Times New Roman" w:hAnsi="Times New Roman" w:cs="Times New Roman"/>
                <w:lang w:val="en-GB"/>
              </w:rPr>
              <w:t>. 2020;54:955-967. doi: 10.31857/S0026898420060026</w:t>
            </w:r>
          </w:p>
          <w:p w14:paraId="7FAB28C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w:t>
            </w:r>
            <w:r w:rsidRPr="00D95AC0">
              <w:rPr>
                <w:rFonts w:ascii="Times New Roman" w:hAnsi="Times New Roman" w:cs="Times New Roman"/>
                <w:lang w:val="en-GB"/>
              </w:rPr>
              <w:tab/>
              <w:t xml:space="preserve">Ahluwalia M, Ho CY. Cardiovascular genetics: the role of genetic testing in diagnosis and management of patients with hypertrophic cardiomyopathy. </w:t>
            </w:r>
            <w:r w:rsidRPr="00D95AC0">
              <w:rPr>
                <w:rFonts w:ascii="Times New Roman" w:hAnsi="Times New Roman" w:cs="Times New Roman"/>
                <w:i/>
                <w:lang w:val="en-GB"/>
              </w:rPr>
              <w:t>Heart</w:t>
            </w:r>
            <w:r w:rsidRPr="00D95AC0">
              <w:rPr>
                <w:rFonts w:ascii="Times New Roman" w:hAnsi="Times New Roman" w:cs="Times New Roman"/>
                <w:lang w:val="en-GB"/>
              </w:rPr>
              <w:t>. 2021;107:183-189. doi: 10.1136/heartjnl-2020-316798</w:t>
            </w:r>
          </w:p>
          <w:p w14:paraId="64474A5B"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w:t>
            </w:r>
            <w:r w:rsidRPr="00D95AC0">
              <w:rPr>
                <w:rFonts w:ascii="Times New Roman" w:hAnsi="Times New Roman" w:cs="Times New Roman"/>
                <w:lang w:val="en-GB"/>
              </w:rPr>
              <w:tab/>
              <w:t xml:space="preserve">Batzner A, Seggewiss H. [Hypertrophic cardiomyopathy]. </w:t>
            </w:r>
            <w:r w:rsidRPr="00D95AC0">
              <w:rPr>
                <w:rFonts w:ascii="Times New Roman" w:hAnsi="Times New Roman" w:cs="Times New Roman"/>
                <w:i/>
                <w:lang w:val="en-GB"/>
              </w:rPr>
              <w:t>Herz</w:t>
            </w:r>
            <w:r w:rsidRPr="00D95AC0">
              <w:rPr>
                <w:rFonts w:ascii="Times New Roman" w:hAnsi="Times New Roman" w:cs="Times New Roman"/>
                <w:lang w:val="en-GB"/>
              </w:rPr>
              <w:t>. 2020;45:233-242. doi: 10.1007/s00059-020-04899-y</w:t>
            </w:r>
          </w:p>
          <w:p w14:paraId="1DFC6199" w14:textId="77777777" w:rsidR="00FA1D9C" w:rsidRPr="007E6892" w:rsidRDefault="00FA1D9C" w:rsidP="0092319D">
            <w:pPr>
              <w:pStyle w:val="EndNoteBibliography"/>
              <w:ind w:left="720" w:hanging="720"/>
              <w:rPr>
                <w:rFonts w:ascii="Times New Roman" w:hAnsi="Times New Roman" w:cs="Times New Roman"/>
                <w:lang w:val="sv-SE"/>
              </w:rPr>
            </w:pPr>
            <w:r w:rsidRPr="00D95AC0">
              <w:rPr>
                <w:rFonts w:ascii="Times New Roman" w:hAnsi="Times New Roman" w:cs="Times New Roman"/>
                <w:lang w:val="en-GB"/>
              </w:rPr>
              <w:t>8.</w:t>
            </w:r>
            <w:r w:rsidRPr="00D95AC0">
              <w:rPr>
                <w:rFonts w:ascii="Times New Roman" w:hAnsi="Times New Roman" w:cs="Times New Roman"/>
                <w:lang w:val="en-GB"/>
              </w:rPr>
              <w:tab/>
              <w:t xml:space="preserve">Popa-Fotea NM, Micheu MM, Bataila V, Scafa-Udriste A, Dorobantu L, Scarlatescu AI, Zamfir D, Stoian M, Onciul S, Dorobantu M. Exploring the Continuum of Hypertrophic Cardiomyopathy-From DNA to Clinical Expression. </w:t>
            </w:r>
            <w:r w:rsidRPr="007E6892">
              <w:rPr>
                <w:rFonts w:ascii="Times New Roman" w:hAnsi="Times New Roman" w:cs="Times New Roman"/>
                <w:i/>
                <w:lang w:val="sv-SE"/>
              </w:rPr>
              <w:t>Medicina (Kaunas)</w:t>
            </w:r>
            <w:r w:rsidRPr="007E6892">
              <w:rPr>
                <w:rFonts w:ascii="Times New Roman" w:hAnsi="Times New Roman" w:cs="Times New Roman"/>
                <w:lang w:val="sv-SE"/>
              </w:rPr>
              <w:t>. 2019;55. doi: 10.3390/medicina55060299</w:t>
            </w:r>
          </w:p>
          <w:p w14:paraId="7638EA91" w14:textId="77777777" w:rsidR="00FA1D9C" w:rsidRPr="00D95AC0" w:rsidRDefault="00FA1D9C" w:rsidP="0092319D">
            <w:pPr>
              <w:pStyle w:val="EndNoteBibliography"/>
              <w:ind w:left="720" w:hanging="720"/>
              <w:rPr>
                <w:rFonts w:ascii="Times New Roman" w:hAnsi="Times New Roman" w:cs="Times New Roman"/>
                <w:lang w:val="en-GB"/>
              </w:rPr>
            </w:pPr>
            <w:r w:rsidRPr="007E6892">
              <w:rPr>
                <w:rFonts w:ascii="Times New Roman" w:hAnsi="Times New Roman" w:cs="Times New Roman"/>
                <w:lang w:val="sv-SE"/>
              </w:rPr>
              <w:t>9.</w:t>
            </w:r>
            <w:r w:rsidRPr="007E6892">
              <w:rPr>
                <w:rFonts w:ascii="Times New Roman" w:hAnsi="Times New Roman" w:cs="Times New Roman"/>
                <w:lang w:val="sv-SE"/>
              </w:rPr>
              <w:tab/>
              <w:t xml:space="preserve">Geske JB, Ommen SR, Gersh BJ. </w:t>
            </w:r>
            <w:r w:rsidRPr="00D95AC0">
              <w:rPr>
                <w:rFonts w:ascii="Times New Roman" w:hAnsi="Times New Roman" w:cs="Times New Roman"/>
                <w:lang w:val="en-GB"/>
              </w:rPr>
              <w:t xml:space="preserve">Hypertrophic Cardiomyopathy: Clinical Update. </w:t>
            </w:r>
            <w:r w:rsidRPr="00D95AC0">
              <w:rPr>
                <w:rFonts w:ascii="Times New Roman" w:hAnsi="Times New Roman" w:cs="Times New Roman"/>
                <w:i/>
                <w:lang w:val="en-GB"/>
              </w:rPr>
              <w:t>JACC Heart Fail</w:t>
            </w:r>
            <w:r w:rsidRPr="00D95AC0">
              <w:rPr>
                <w:rFonts w:ascii="Times New Roman" w:hAnsi="Times New Roman" w:cs="Times New Roman"/>
                <w:lang w:val="en-GB"/>
              </w:rPr>
              <w:t>. 2018;6:364-375. doi: 10.1016/j.jchf.2018.02.010</w:t>
            </w:r>
          </w:p>
          <w:p w14:paraId="008BC18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w:t>
            </w:r>
            <w:r w:rsidRPr="00D95AC0">
              <w:rPr>
                <w:rFonts w:ascii="Times New Roman" w:hAnsi="Times New Roman" w:cs="Times New Roman"/>
                <w:lang w:val="en-GB"/>
              </w:rPr>
              <w:tab/>
              <w:t xml:space="preserve">Cao Y, Zhang PY. Review of recent advances in the management of hypertrophic cardiomyopathy. </w:t>
            </w:r>
            <w:r w:rsidRPr="00D95AC0">
              <w:rPr>
                <w:rFonts w:ascii="Times New Roman" w:hAnsi="Times New Roman" w:cs="Times New Roman"/>
                <w:i/>
                <w:lang w:val="en-GB"/>
              </w:rPr>
              <w:t>Eur Rev Med Pharmacol Sci</w:t>
            </w:r>
            <w:r w:rsidRPr="00D95AC0">
              <w:rPr>
                <w:rFonts w:ascii="Times New Roman" w:hAnsi="Times New Roman" w:cs="Times New Roman"/>
                <w:lang w:val="en-GB"/>
              </w:rPr>
              <w:t>. 2017;21:5207-5210. doi: 10.26355/eurrev_201711_13841</w:t>
            </w:r>
          </w:p>
          <w:p w14:paraId="0C8C0D7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w:t>
            </w:r>
            <w:r w:rsidRPr="00D95AC0">
              <w:rPr>
                <w:rFonts w:ascii="Times New Roman" w:hAnsi="Times New Roman" w:cs="Times New Roman"/>
                <w:lang w:val="en-GB"/>
              </w:rPr>
              <w:tab/>
              <w:t xml:space="preserve">Ren X, Hensley N, Brady MB, Gao WD. The Genetic and Molecular Bases for Hypertrophic Cardiomyopathy: The Role for Calcium Sensitization. </w:t>
            </w:r>
            <w:r w:rsidRPr="00D95AC0">
              <w:rPr>
                <w:rFonts w:ascii="Times New Roman" w:hAnsi="Times New Roman" w:cs="Times New Roman"/>
                <w:i/>
                <w:lang w:val="en-GB"/>
              </w:rPr>
              <w:t>J Cardiothorac Vasc Anesth</w:t>
            </w:r>
            <w:r w:rsidRPr="00D95AC0">
              <w:rPr>
                <w:rFonts w:ascii="Times New Roman" w:hAnsi="Times New Roman" w:cs="Times New Roman"/>
                <w:lang w:val="en-GB"/>
              </w:rPr>
              <w:t>. 2018;32:478-487. doi: 10.1053/j.jvca.2017.05.035</w:t>
            </w:r>
          </w:p>
          <w:p w14:paraId="73ED7BA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12.</w:t>
            </w:r>
            <w:r w:rsidRPr="00D95AC0">
              <w:rPr>
                <w:rFonts w:ascii="Times New Roman" w:hAnsi="Times New Roman" w:cs="Times New Roman"/>
                <w:lang w:val="en-GB"/>
              </w:rPr>
              <w:tab/>
              <w:t xml:space="preserve">Ueda Y, Stern JA. A One Health Approach to Hypertrophic Cardiomyopathy. </w:t>
            </w:r>
            <w:r w:rsidRPr="00D95AC0">
              <w:rPr>
                <w:rFonts w:ascii="Times New Roman" w:hAnsi="Times New Roman" w:cs="Times New Roman"/>
                <w:i/>
                <w:lang w:val="en-GB"/>
              </w:rPr>
              <w:t>Yale J Biol Med</w:t>
            </w:r>
            <w:r w:rsidRPr="00D95AC0">
              <w:rPr>
                <w:rFonts w:ascii="Times New Roman" w:hAnsi="Times New Roman" w:cs="Times New Roman"/>
                <w:lang w:val="en-GB"/>
              </w:rPr>
              <w:t xml:space="preserve">. 2017;90:433-448. </w:t>
            </w:r>
          </w:p>
          <w:p w14:paraId="78AC95F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13.</w:t>
            </w:r>
            <w:r w:rsidRPr="00D95AC0">
              <w:rPr>
                <w:rFonts w:ascii="Times New Roman" w:hAnsi="Times New Roman" w:cs="Times New Roman"/>
                <w:lang w:val="en-GB"/>
              </w:rPr>
              <w:tab/>
              <w:t xml:space="preserve">Sartorio CL, Lazzeroni D, Bertoli G, Camici PG. Theranostic biomarkers in hypertrophic cardiomyopathy: insights in a long road ahead. </w:t>
            </w:r>
            <w:r w:rsidRPr="00D95AC0">
              <w:rPr>
                <w:rFonts w:ascii="Times New Roman" w:hAnsi="Times New Roman" w:cs="Times New Roman"/>
                <w:i/>
                <w:lang w:val="en-GB"/>
              </w:rPr>
              <w:t>Front Biosci (Landmark Ed)</w:t>
            </w:r>
            <w:r w:rsidRPr="00D95AC0">
              <w:rPr>
                <w:rFonts w:ascii="Times New Roman" w:hAnsi="Times New Roman" w:cs="Times New Roman"/>
                <w:lang w:val="en-GB"/>
              </w:rPr>
              <w:t>. 2017;22:1724-1749. doi: 10.2741/4568</w:t>
            </w:r>
          </w:p>
          <w:p w14:paraId="1001BEB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14.</w:t>
            </w:r>
            <w:r w:rsidRPr="00D95AC0">
              <w:rPr>
                <w:rFonts w:ascii="Times New Roman" w:hAnsi="Times New Roman" w:cs="Times New Roman"/>
                <w:lang w:val="en-GB"/>
              </w:rPr>
              <w:tab/>
              <w:t xml:space="preserve">Czepluch F, Hasenfuss G, Wollnik B. [Modern genetic counselling : Practical aspects exemplified by hypertrophic cardiomyopathy]. </w:t>
            </w:r>
            <w:r w:rsidRPr="00D95AC0">
              <w:rPr>
                <w:rFonts w:ascii="Times New Roman" w:hAnsi="Times New Roman" w:cs="Times New Roman"/>
                <w:i/>
                <w:lang w:val="en-GB"/>
              </w:rPr>
              <w:t>Internist (Berl)</w:t>
            </w:r>
            <w:r w:rsidRPr="00D95AC0">
              <w:rPr>
                <w:rFonts w:ascii="Times New Roman" w:hAnsi="Times New Roman" w:cs="Times New Roman"/>
                <w:lang w:val="en-GB"/>
              </w:rPr>
              <w:t>. 2018;59:790-798. doi: 10.1007/s00108-018-0452-z</w:t>
            </w:r>
          </w:p>
          <w:p w14:paraId="2DFEE6F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15.</w:t>
            </w:r>
            <w:r w:rsidRPr="00D95AC0">
              <w:rPr>
                <w:rFonts w:ascii="Times New Roman" w:hAnsi="Times New Roman" w:cs="Times New Roman"/>
                <w:lang w:val="en-GB"/>
              </w:rPr>
              <w:tab/>
              <w:t xml:space="preserve">Alejandra Restrepo-Cordoba M, Campuzano O, Ripoll-Vera T, Cobo-Marcos M, Mademont-Soler I, Gamez JM, Dominguez F, Gonzalez-Lopez E, Padron-Barthe L, Lara-Pezzi E, et al. Usefulness of Genetic Testing in Hypertrophic Cardiomyopathy: </w:t>
            </w:r>
            <w:r w:rsidRPr="00D95AC0">
              <w:rPr>
                <w:rFonts w:ascii="Times New Roman" w:hAnsi="Times New Roman" w:cs="Times New Roman"/>
                <w:lang w:val="en-GB"/>
              </w:rPr>
              <w:lastRenderedPageBreak/>
              <w:t xml:space="preserve">an Analysis Using Real-World Data. </w:t>
            </w:r>
            <w:r w:rsidRPr="00D95AC0">
              <w:rPr>
                <w:rFonts w:ascii="Times New Roman" w:hAnsi="Times New Roman" w:cs="Times New Roman"/>
                <w:i/>
                <w:lang w:val="en-GB"/>
              </w:rPr>
              <w:t>J Cardiovasc Transl Res</w:t>
            </w:r>
            <w:r w:rsidRPr="00D95AC0">
              <w:rPr>
                <w:rFonts w:ascii="Times New Roman" w:hAnsi="Times New Roman" w:cs="Times New Roman"/>
                <w:lang w:val="en-GB"/>
              </w:rPr>
              <w:t>. 2017;10:35-46. doi: 10.1007/s12265-017-9730-8</w:t>
            </w:r>
          </w:p>
          <w:p w14:paraId="26EFAC8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16.</w:t>
            </w:r>
            <w:r w:rsidRPr="00D95AC0">
              <w:rPr>
                <w:rFonts w:ascii="Times New Roman" w:hAnsi="Times New Roman" w:cs="Times New Roman"/>
                <w:lang w:val="en-GB"/>
              </w:rPr>
              <w:tab/>
              <w:t xml:space="preserve">Viola HM, Hool LC. Impaired calcium handling and mitochondrial metabolic dysfunction as early markers of hypertrophic cardiomyopathy. </w:t>
            </w:r>
            <w:r w:rsidRPr="00D95AC0">
              <w:rPr>
                <w:rFonts w:ascii="Times New Roman" w:hAnsi="Times New Roman" w:cs="Times New Roman"/>
                <w:i/>
                <w:lang w:val="en-GB"/>
              </w:rPr>
              <w:t>Arch Biochem Biophys</w:t>
            </w:r>
            <w:r w:rsidRPr="00D95AC0">
              <w:rPr>
                <w:rFonts w:ascii="Times New Roman" w:hAnsi="Times New Roman" w:cs="Times New Roman"/>
                <w:lang w:val="en-GB"/>
              </w:rPr>
              <w:t>. 2019;665:166-174. doi: 10.1016/j.abb.2019.03.006</w:t>
            </w:r>
          </w:p>
          <w:p w14:paraId="53BAC19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17.</w:t>
            </w:r>
            <w:r w:rsidRPr="00D95AC0">
              <w:rPr>
                <w:rFonts w:ascii="Times New Roman" w:hAnsi="Times New Roman" w:cs="Times New Roman"/>
                <w:lang w:val="en-GB"/>
              </w:rPr>
              <w:tab/>
              <w:t xml:space="preserve">Veselka J, Anavekar NS, Charron P. Hypertrophic obstructive cardiomyopathy. </w:t>
            </w:r>
            <w:r w:rsidRPr="00D95AC0">
              <w:rPr>
                <w:rFonts w:ascii="Times New Roman" w:hAnsi="Times New Roman" w:cs="Times New Roman"/>
                <w:i/>
                <w:lang w:val="en-GB"/>
              </w:rPr>
              <w:t>Lancet</w:t>
            </w:r>
            <w:r w:rsidRPr="00D95AC0">
              <w:rPr>
                <w:rFonts w:ascii="Times New Roman" w:hAnsi="Times New Roman" w:cs="Times New Roman"/>
                <w:lang w:val="en-GB"/>
              </w:rPr>
              <w:t>. 2017;389:1253-1267. doi: 10.1016/S0140-6736(16)31321-6</w:t>
            </w:r>
          </w:p>
          <w:p w14:paraId="3EA16BB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18.</w:t>
            </w:r>
            <w:r w:rsidRPr="00D95AC0">
              <w:rPr>
                <w:rFonts w:ascii="Times New Roman" w:hAnsi="Times New Roman" w:cs="Times New Roman"/>
                <w:lang w:val="en-GB"/>
              </w:rPr>
              <w:tab/>
              <w:t xml:space="preserve">Raghow R. An 'Omics' Perspective on Cardiomyopathies and Heart Failure. </w:t>
            </w:r>
            <w:r w:rsidRPr="00D95AC0">
              <w:rPr>
                <w:rFonts w:ascii="Times New Roman" w:hAnsi="Times New Roman" w:cs="Times New Roman"/>
                <w:i/>
                <w:lang w:val="en-GB"/>
              </w:rPr>
              <w:t>Trends Mol Med</w:t>
            </w:r>
            <w:r w:rsidRPr="00D95AC0">
              <w:rPr>
                <w:rFonts w:ascii="Times New Roman" w:hAnsi="Times New Roman" w:cs="Times New Roman"/>
                <w:lang w:val="en-GB"/>
              </w:rPr>
              <w:t>. 2016;22:813-827. doi: 10.1016/j.molmed.2016.07.007</w:t>
            </w:r>
          </w:p>
          <w:p w14:paraId="51AE054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19.</w:t>
            </w:r>
            <w:r w:rsidRPr="00D95AC0">
              <w:rPr>
                <w:rFonts w:ascii="Times New Roman" w:hAnsi="Times New Roman" w:cs="Times New Roman"/>
                <w:lang w:val="en-GB"/>
              </w:rPr>
              <w:tab/>
              <w:t xml:space="preserve">Kuusisto J, Sipola P, Jaaskelainen P, Naukkarinen A. Current perspectives in hypertrophic cardiomyopathy with the focus on patients in the Finnish population: a review. </w:t>
            </w:r>
            <w:r w:rsidRPr="00D95AC0">
              <w:rPr>
                <w:rFonts w:ascii="Times New Roman" w:hAnsi="Times New Roman" w:cs="Times New Roman"/>
                <w:i/>
                <w:lang w:val="en-GB"/>
              </w:rPr>
              <w:t>Ann Med</w:t>
            </w:r>
            <w:r w:rsidRPr="00D95AC0">
              <w:rPr>
                <w:rFonts w:ascii="Times New Roman" w:hAnsi="Times New Roman" w:cs="Times New Roman"/>
                <w:lang w:val="en-GB"/>
              </w:rPr>
              <w:t>. 2016;48:496-508. doi: 10.1080/07853890.2016.1187764</w:t>
            </w:r>
          </w:p>
          <w:p w14:paraId="1C0C43D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20.</w:t>
            </w:r>
            <w:r w:rsidRPr="00D95AC0">
              <w:rPr>
                <w:rFonts w:ascii="Times New Roman" w:hAnsi="Times New Roman" w:cs="Times New Roman"/>
                <w:lang w:val="en-GB"/>
              </w:rPr>
              <w:tab/>
              <w:t xml:space="preserve">Gomez J, Reguero JR, Coto E. The Ups and Downs of Genetic Diagnosis of Hypertrophic Cardiomyopathy. </w:t>
            </w:r>
            <w:r w:rsidRPr="00D95AC0">
              <w:rPr>
                <w:rFonts w:ascii="Times New Roman" w:hAnsi="Times New Roman" w:cs="Times New Roman"/>
                <w:i/>
                <w:lang w:val="en-GB"/>
              </w:rPr>
              <w:t>Rev Esp Cardiol (Engl Ed)</w:t>
            </w:r>
            <w:r w:rsidRPr="00D95AC0">
              <w:rPr>
                <w:rFonts w:ascii="Times New Roman" w:hAnsi="Times New Roman" w:cs="Times New Roman"/>
                <w:lang w:val="en-GB"/>
              </w:rPr>
              <w:t>. 2016;69:61-68. doi: 10.1016/j.rec.2015.10.001</w:t>
            </w:r>
          </w:p>
          <w:p w14:paraId="1D925B0E"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21.</w:t>
            </w:r>
            <w:r w:rsidRPr="00D95AC0">
              <w:rPr>
                <w:rFonts w:ascii="Times New Roman" w:hAnsi="Times New Roman" w:cs="Times New Roman"/>
                <w:lang w:val="en-GB"/>
              </w:rPr>
              <w:tab/>
              <w:t xml:space="preserve">Jordan E, Peterson L, Ai T, Asatryan B, Bronicki L, Brown E, Celeghin R, Edwards M, Fan J, Ingles J, et al. Evidence-Based Assessment of Genes in Dilated Cardiomyopathy. </w:t>
            </w:r>
            <w:r w:rsidRPr="00D95AC0">
              <w:rPr>
                <w:rFonts w:ascii="Times New Roman" w:hAnsi="Times New Roman" w:cs="Times New Roman"/>
                <w:i/>
                <w:lang w:val="en-GB"/>
              </w:rPr>
              <w:t>Circulation</w:t>
            </w:r>
            <w:r w:rsidRPr="00D95AC0">
              <w:rPr>
                <w:rFonts w:ascii="Times New Roman" w:hAnsi="Times New Roman" w:cs="Times New Roman"/>
                <w:lang w:val="en-GB"/>
              </w:rPr>
              <w:t>. 2021;144:7-19. doi: 10.1161/CIRCULATIONAHA.120.053033</w:t>
            </w:r>
          </w:p>
          <w:p w14:paraId="12BBEF6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22.</w:t>
            </w:r>
            <w:r w:rsidRPr="00D95AC0">
              <w:rPr>
                <w:rFonts w:ascii="Times New Roman" w:hAnsi="Times New Roman" w:cs="Times New Roman"/>
                <w:lang w:val="en-GB"/>
              </w:rPr>
              <w:tab/>
              <w:t xml:space="preserve">Tayal U, Ware JS, Lakdawala NK, Heymans S, Prasad SK. Understanding the genetics of adult-onset dilated cardiomyopathy: what a clinician needs to know. </w:t>
            </w:r>
            <w:r w:rsidRPr="00D95AC0">
              <w:rPr>
                <w:rFonts w:ascii="Times New Roman" w:hAnsi="Times New Roman" w:cs="Times New Roman"/>
                <w:i/>
                <w:lang w:val="en-GB"/>
              </w:rPr>
              <w:t>Eur Heart J</w:t>
            </w:r>
            <w:r w:rsidRPr="00D95AC0">
              <w:rPr>
                <w:rFonts w:ascii="Times New Roman" w:hAnsi="Times New Roman" w:cs="Times New Roman"/>
                <w:lang w:val="en-GB"/>
              </w:rPr>
              <w:t>. 2021;42:2384-2396. doi: 10.1093/eurheartj/ehab286</w:t>
            </w:r>
          </w:p>
          <w:p w14:paraId="4EDCB2B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23.</w:t>
            </w:r>
            <w:r w:rsidRPr="00D95AC0">
              <w:rPr>
                <w:rFonts w:ascii="Times New Roman" w:hAnsi="Times New Roman" w:cs="Times New Roman"/>
                <w:lang w:val="en-GB"/>
              </w:rPr>
              <w:tab/>
              <w:t xml:space="preserve">Genomics England PanelApp. Dilated cardiomyopathy - teen and adult (v. 1.26) [Internet]. 2021 [accessed November 18, 2021]. Available from: https://panelapp.genomicsengland.co.uk/panels/652/. </w:t>
            </w:r>
          </w:p>
          <w:p w14:paraId="03C0DDF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24.</w:t>
            </w:r>
            <w:r w:rsidRPr="00D95AC0">
              <w:rPr>
                <w:rFonts w:ascii="Times New Roman" w:hAnsi="Times New Roman" w:cs="Times New Roman"/>
                <w:lang w:val="en-GB"/>
              </w:rPr>
              <w:tab/>
              <w:t xml:space="preserve">Jordan E, Hershberger RE. Considering complexity in the genetic evaluation of dilated cardiomyopathy. </w:t>
            </w:r>
            <w:r w:rsidRPr="00D95AC0">
              <w:rPr>
                <w:rFonts w:ascii="Times New Roman" w:hAnsi="Times New Roman" w:cs="Times New Roman"/>
                <w:i/>
                <w:lang w:val="en-GB"/>
              </w:rPr>
              <w:t>Heart</w:t>
            </w:r>
            <w:r w:rsidRPr="00D95AC0">
              <w:rPr>
                <w:rFonts w:ascii="Times New Roman" w:hAnsi="Times New Roman" w:cs="Times New Roman"/>
                <w:lang w:val="en-GB"/>
              </w:rPr>
              <w:t>. 2021;107:106-112. doi: 10.1136/heartjnl-2020-316658</w:t>
            </w:r>
          </w:p>
          <w:p w14:paraId="19100B2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25.</w:t>
            </w:r>
            <w:r w:rsidRPr="00D95AC0">
              <w:rPr>
                <w:rFonts w:ascii="Times New Roman" w:hAnsi="Times New Roman" w:cs="Times New Roman"/>
                <w:lang w:val="en-GB"/>
              </w:rPr>
              <w:tab/>
              <w:t xml:space="preserve">Wilsbacher LD. Clinical Implications of the Genetic Architecture of Dilated Cardiomyopathy. </w:t>
            </w:r>
            <w:r w:rsidRPr="00D95AC0">
              <w:rPr>
                <w:rFonts w:ascii="Times New Roman" w:hAnsi="Times New Roman" w:cs="Times New Roman"/>
                <w:i/>
                <w:lang w:val="en-GB"/>
              </w:rPr>
              <w:t>Curr Cardiol Rep</w:t>
            </w:r>
            <w:r w:rsidRPr="00D95AC0">
              <w:rPr>
                <w:rFonts w:ascii="Times New Roman" w:hAnsi="Times New Roman" w:cs="Times New Roman"/>
                <w:lang w:val="en-GB"/>
              </w:rPr>
              <w:t>. 2020;22:170. doi: 10.1007/s11886-020-01423-w</w:t>
            </w:r>
          </w:p>
          <w:p w14:paraId="1788700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26.</w:t>
            </w:r>
            <w:r w:rsidRPr="00D95AC0">
              <w:rPr>
                <w:rFonts w:ascii="Times New Roman" w:hAnsi="Times New Roman" w:cs="Times New Roman"/>
                <w:lang w:val="en-GB"/>
              </w:rPr>
              <w:tab/>
              <w:t xml:space="preserve">Hanselmann A, Veltmann C, Bauersachs J, Berliner D. Dilated cardiomyopathies and non-compaction cardiomyopathy. </w:t>
            </w:r>
            <w:r w:rsidRPr="00D95AC0">
              <w:rPr>
                <w:rFonts w:ascii="Times New Roman" w:hAnsi="Times New Roman" w:cs="Times New Roman"/>
                <w:i/>
                <w:lang w:val="en-GB"/>
              </w:rPr>
              <w:t>Herz</w:t>
            </w:r>
            <w:r w:rsidRPr="00D95AC0">
              <w:rPr>
                <w:rFonts w:ascii="Times New Roman" w:hAnsi="Times New Roman" w:cs="Times New Roman"/>
                <w:lang w:val="en-GB"/>
              </w:rPr>
              <w:t>. 2020;45:212-220. doi: 10.1007/s00059-020-04903-5</w:t>
            </w:r>
          </w:p>
          <w:p w14:paraId="683F3B8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27.</w:t>
            </w:r>
            <w:r w:rsidRPr="00D95AC0">
              <w:rPr>
                <w:rFonts w:ascii="Times New Roman" w:hAnsi="Times New Roman" w:cs="Times New Roman"/>
                <w:lang w:val="en-GB"/>
              </w:rPr>
              <w:tab/>
              <w:t xml:space="preserve">Lamounier Junior A, Ferrari F, Max R, Ritt LEF, Stein R. Importance of Genetic Testing in Dilated Cardiomyopathy: Applications and Challenges in Clinical Practice. </w:t>
            </w:r>
            <w:r w:rsidRPr="00D95AC0">
              <w:rPr>
                <w:rFonts w:ascii="Times New Roman" w:hAnsi="Times New Roman" w:cs="Times New Roman"/>
                <w:i/>
                <w:lang w:val="en-GB"/>
              </w:rPr>
              <w:t>Arq Bras Cardiol</w:t>
            </w:r>
            <w:r w:rsidRPr="00D95AC0">
              <w:rPr>
                <w:rFonts w:ascii="Times New Roman" w:hAnsi="Times New Roman" w:cs="Times New Roman"/>
                <w:lang w:val="en-GB"/>
              </w:rPr>
              <w:t>. 2019;113:274-281. doi: 10.5935/abc.20190144</w:t>
            </w:r>
          </w:p>
          <w:p w14:paraId="5CDB623D"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28.</w:t>
            </w:r>
            <w:r w:rsidRPr="00D95AC0">
              <w:rPr>
                <w:rFonts w:ascii="Times New Roman" w:hAnsi="Times New Roman" w:cs="Times New Roman"/>
                <w:lang w:val="en-GB"/>
              </w:rPr>
              <w:tab/>
              <w:t xml:space="preserve">Bakalakos A, Ritsatos K, Anastasakis A. Current perspectives on the diagnosis and management of dilated cardiomyopathy Beyond heart failure: a Cardiomyopathy Clinic Doctor's point of view. </w:t>
            </w:r>
            <w:r w:rsidRPr="00D95AC0">
              <w:rPr>
                <w:rFonts w:ascii="Times New Roman" w:hAnsi="Times New Roman" w:cs="Times New Roman"/>
                <w:i/>
                <w:lang w:val="en-GB"/>
              </w:rPr>
              <w:t>Hellenic J Cardiol</w:t>
            </w:r>
            <w:r w:rsidRPr="00D95AC0">
              <w:rPr>
                <w:rFonts w:ascii="Times New Roman" w:hAnsi="Times New Roman" w:cs="Times New Roman"/>
                <w:lang w:val="en-GB"/>
              </w:rPr>
              <w:t>. 2018;59:254-261. doi: 10.1016/j.hjc.2018.05.008</w:t>
            </w:r>
          </w:p>
          <w:p w14:paraId="6754A0D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29.</w:t>
            </w:r>
            <w:r w:rsidRPr="00D95AC0">
              <w:rPr>
                <w:rFonts w:ascii="Times New Roman" w:hAnsi="Times New Roman" w:cs="Times New Roman"/>
                <w:lang w:val="en-GB"/>
              </w:rPr>
              <w:tab/>
              <w:t xml:space="preserve">Bondue A, Arbustini E, Bianco A, Ciccarelli M, Dawson D, De Rosa M, Hamdani N, Hilfiker-Kleiner D, Meder B, Leite-Moreira AF, et al. Complex roads from genotype to phenotype in dilated cardiomyopathy: scientific update from the Working Group of Myocardial Function of the European Society of Cardiology. </w:t>
            </w:r>
            <w:r w:rsidRPr="00D95AC0">
              <w:rPr>
                <w:rFonts w:ascii="Times New Roman" w:hAnsi="Times New Roman" w:cs="Times New Roman"/>
                <w:i/>
                <w:lang w:val="en-GB"/>
              </w:rPr>
              <w:t>Cardiovasc Res</w:t>
            </w:r>
            <w:r w:rsidRPr="00D95AC0">
              <w:rPr>
                <w:rFonts w:ascii="Times New Roman" w:hAnsi="Times New Roman" w:cs="Times New Roman"/>
                <w:lang w:val="en-GB"/>
              </w:rPr>
              <w:t>. 2018;114:1287-1303. doi: 10.1093/cvr/cvy122</w:t>
            </w:r>
          </w:p>
          <w:p w14:paraId="34AB3A6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30.</w:t>
            </w:r>
            <w:r w:rsidRPr="00D95AC0">
              <w:rPr>
                <w:rFonts w:ascii="Times New Roman" w:hAnsi="Times New Roman" w:cs="Times New Roman"/>
                <w:lang w:val="en-GB"/>
              </w:rPr>
              <w:tab/>
              <w:t xml:space="preserve">McNally EM, Mestroni L. Dilated Cardiomyopathy: Genetic Determinants and Mechanisms. </w:t>
            </w:r>
            <w:r w:rsidRPr="00D95AC0">
              <w:rPr>
                <w:rFonts w:ascii="Times New Roman" w:hAnsi="Times New Roman" w:cs="Times New Roman"/>
                <w:i/>
                <w:lang w:val="en-GB"/>
              </w:rPr>
              <w:t>Circ Res</w:t>
            </w:r>
            <w:r w:rsidRPr="00D95AC0">
              <w:rPr>
                <w:rFonts w:ascii="Times New Roman" w:hAnsi="Times New Roman" w:cs="Times New Roman"/>
                <w:lang w:val="en-GB"/>
              </w:rPr>
              <w:t>. 2017;121:731-748. doi: 10.1161/CIRCRESAHA.116.309396</w:t>
            </w:r>
          </w:p>
          <w:p w14:paraId="27ECB3F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lastRenderedPageBreak/>
              <w:t>31.</w:t>
            </w:r>
            <w:r w:rsidRPr="00D95AC0">
              <w:rPr>
                <w:rFonts w:ascii="Times New Roman" w:hAnsi="Times New Roman" w:cs="Times New Roman"/>
                <w:lang w:val="en-GB"/>
              </w:rPr>
              <w:tab/>
              <w:t xml:space="preserve">de Gonzalo-Calvo D, Quezada M, Campuzano O, Perez-Serra A, Broncano J, Ayala R, Ramos M, Llorente-Cortes V, Blasco-Turrion S, Morales FJ, et al. Familial dilated cardiomyopathy: A multidisciplinary entity, from basic screening to novel circulating biomarkers. </w:t>
            </w:r>
            <w:r w:rsidRPr="00D95AC0">
              <w:rPr>
                <w:rFonts w:ascii="Times New Roman" w:hAnsi="Times New Roman" w:cs="Times New Roman"/>
                <w:i/>
                <w:lang w:val="en-GB"/>
              </w:rPr>
              <w:t>Int J Cardiol</w:t>
            </w:r>
            <w:r w:rsidRPr="00D95AC0">
              <w:rPr>
                <w:rFonts w:ascii="Times New Roman" w:hAnsi="Times New Roman" w:cs="Times New Roman"/>
                <w:lang w:val="en-GB"/>
              </w:rPr>
              <w:t>. 2017;228:870-880. doi: 10.1016/j.ijcard.2016.11.045</w:t>
            </w:r>
          </w:p>
          <w:p w14:paraId="3EC12B8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32.</w:t>
            </w:r>
            <w:r w:rsidRPr="00D95AC0">
              <w:rPr>
                <w:rFonts w:ascii="Times New Roman" w:hAnsi="Times New Roman" w:cs="Times New Roman"/>
                <w:lang w:val="en-GB"/>
              </w:rPr>
              <w:tab/>
              <w:t xml:space="preserve">Favalli V, Serio A, Grasso M, Arbustini E. Genetic causes of dilated cardiomyopathy. </w:t>
            </w:r>
            <w:r w:rsidRPr="00D95AC0">
              <w:rPr>
                <w:rFonts w:ascii="Times New Roman" w:hAnsi="Times New Roman" w:cs="Times New Roman"/>
                <w:i/>
                <w:lang w:val="en-GB"/>
              </w:rPr>
              <w:t>Heart</w:t>
            </w:r>
            <w:r w:rsidRPr="00D95AC0">
              <w:rPr>
                <w:rFonts w:ascii="Times New Roman" w:hAnsi="Times New Roman" w:cs="Times New Roman"/>
                <w:lang w:val="en-GB"/>
              </w:rPr>
              <w:t>. 2016;102:2004-2014. doi: 10.1136/heartjnl-2015-308190</w:t>
            </w:r>
          </w:p>
          <w:p w14:paraId="13AFAC3E"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33.</w:t>
            </w:r>
            <w:r w:rsidRPr="00D95AC0">
              <w:rPr>
                <w:rFonts w:ascii="Times New Roman" w:hAnsi="Times New Roman" w:cs="Times New Roman"/>
                <w:lang w:val="en-GB"/>
              </w:rPr>
              <w:tab/>
              <w:t xml:space="preserve">Japp AG, Gulati A, Cook SA, Cowie MR, Prasad SK. The Diagnosis and Evaluation of Dilated Cardiomyopathy. </w:t>
            </w:r>
            <w:r w:rsidRPr="00D95AC0">
              <w:rPr>
                <w:rFonts w:ascii="Times New Roman" w:hAnsi="Times New Roman" w:cs="Times New Roman"/>
                <w:i/>
                <w:lang w:val="en-GB"/>
              </w:rPr>
              <w:t>J Am Coll Cardiol</w:t>
            </w:r>
            <w:r w:rsidRPr="00D95AC0">
              <w:rPr>
                <w:rFonts w:ascii="Times New Roman" w:hAnsi="Times New Roman" w:cs="Times New Roman"/>
                <w:lang w:val="en-GB"/>
              </w:rPr>
              <w:t>. 2016;67:2996-3010. doi: 10.1016/j.jacc.2016.03.590</w:t>
            </w:r>
          </w:p>
          <w:p w14:paraId="556F83F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34.</w:t>
            </w:r>
            <w:r w:rsidRPr="00D95AC0">
              <w:rPr>
                <w:rFonts w:ascii="Times New Roman" w:hAnsi="Times New Roman" w:cs="Times New Roman"/>
                <w:lang w:val="en-GB"/>
              </w:rPr>
              <w:tab/>
              <w:t xml:space="preserve">Muchtar E, Blauwet LA, Gertz MA. Restrictive Cardiomyopathy: Genetics, Pathogenesis, Clinical Manifestations, Diagnosis, and Therapy. </w:t>
            </w:r>
            <w:r w:rsidRPr="00D95AC0">
              <w:rPr>
                <w:rFonts w:ascii="Times New Roman" w:hAnsi="Times New Roman" w:cs="Times New Roman"/>
                <w:i/>
                <w:lang w:val="en-GB"/>
              </w:rPr>
              <w:t>Circ Res</w:t>
            </w:r>
            <w:r w:rsidRPr="00D95AC0">
              <w:rPr>
                <w:rFonts w:ascii="Times New Roman" w:hAnsi="Times New Roman" w:cs="Times New Roman"/>
                <w:lang w:val="en-GB"/>
              </w:rPr>
              <w:t>. 2017;121:819-837. doi: 10.1161/CIRCRESAHA.117.310982</w:t>
            </w:r>
          </w:p>
          <w:p w14:paraId="3226727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35.</w:t>
            </w:r>
            <w:r w:rsidRPr="00D95AC0">
              <w:rPr>
                <w:rFonts w:ascii="Times New Roman" w:hAnsi="Times New Roman" w:cs="Times New Roman"/>
                <w:lang w:val="en-GB"/>
              </w:rPr>
              <w:tab/>
              <w:t xml:space="preserve">Kubik M, Dabrowska-Kugacka A, Lewicka E, Danilowicz-Szymanowicz L, Raczak G. Predictors of poor outcome in patients with left ventricular noncompaction: Review of the literature. </w:t>
            </w:r>
            <w:r w:rsidRPr="00D95AC0">
              <w:rPr>
                <w:rFonts w:ascii="Times New Roman" w:hAnsi="Times New Roman" w:cs="Times New Roman"/>
                <w:i/>
                <w:lang w:val="en-GB"/>
              </w:rPr>
              <w:t>Adv Clin Exp Med</w:t>
            </w:r>
            <w:r w:rsidRPr="00D95AC0">
              <w:rPr>
                <w:rFonts w:ascii="Times New Roman" w:hAnsi="Times New Roman" w:cs="Times New Roman"/>
                <w:lang w:val="en-GB"/>
              </w:rPr>
              <w:t>. 2018;27:415-422. doi: 10.17219/acem/67457</w:t>
            </w:r>
          </w:p>
          <w:p w14:paraId="08025A5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36.</w:t>
            </w:r>
            <w:r w:rsidRPr="00D95AC0">
              <w:rPr>
                <w:rFonts w:ascii="Times New Roman" w:hAnsi="Times New Roman" w:cs="Times New Roman"/>
                <w:lang w:val="en-GB"/>
              </w:rPr>
              <w:tab/>
              <w:t xml:space="preserve">Dong X, Fan P, Tian T, Yang Y, Xiao Y, Yang K, Liu Y, Zhou X. Recent advancements in the molecular genetics of left ventricular noncompaction cardiomyopathy. </w:t>
            </w:r>
            <w:r w:rsidRPr="00D95AC0">
              <w:rPr>
                <w:rFonts w:ascii="Times New Roman" w:hAnsi="Times New Roman" w:cs="Times New Roman"/>
                <w:i/>
                <w:lang w:val="en-GB"/>
              </w:rPr>
              <w:t>Clin Chim Acta</w:t>
            </w:r>
            <w:r w:rsidRPr="00D95AC0">
              <w:rPr>
                <w:rFonts w:ascii="Times New Roman" w:hAnsi="Times New Roman" w:cs="Times New Roman"/>
                <w:lang w:val="en-GB"/>
              </w:rPr>
              <w:t>. 2017;465:40-44. doi: 10.1016/j.cca.2016.12.013</w:t>
            </w:r>
          </w:p>
          <w:p w14:paraId="5D50489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37.</w:t>
            </w:r>
            <w:r w:rsidRPr="00D95AC0">
              <w:rPr>
                <w:rFonts w:ascii="Times New Roman" w:hAnsi="Times New Roman" w:cs="Times New Roman"/>
                <w:lang w:val="en-GB"/>
              </w:rPr>
              <w:tab/>
              <w:t xml:space="preserve">Arbustini E, Favalli V, Narula N, Serio A, Grasso M. Left Ventricular Noncompaction: A Distinct Genetic Cardiomyopathy? </w:t>
            </w:r>
            <w:r w:rsidRPr="00D95AC0">
              <w:rPr>
                <w:rFonts w:ascii="Times New Roman" w:hAnsi="Times New Roman" w:cs="Times New Roman"/>
                <w:i/>
                <w:lang w:val="en-GB"/>
              </w:rPr>
              <w:t>J Am Coll Cardiol</w:t>
            </w:r>
            <w:r w:rsidRPr="00D95AC0">
              <w:rPr>
                <w:rFonts w:ascii="Times New Roman" w:hAnsi="Times New Roman" w:cs="Times New Roman"/>
                <w:lang w:val="en-GB"/>
              </w:rPr>
              <w:t>. 2016;68:949-966. doi: 10.1016/j.jacc.2016.05.096</w:t>
            </w:r>
          </w:p>
          <w:p w14:paraId="6BFCCCC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38.</w:t>
            </w:r>
            <w:r w:rsidRPr="00D95AC0">
              <w:rPr>
                <w:rFonts w:ascii="Times New Roman" w:hAnsi="Times New Roman" w:cs="Times New Roman"/>
                <w:lang w:val="en-GB"/>
              </w:rPr>
              <w:tab/>
              <w:t xml:space="preserve">Captur G, Syrris P, Obianyo C, Limongelli G, Moon JC. Formation and Malformation of Cardiac Trabeculae: Biological Basis, Clinical Significance, and Special Yield of Magnetic Resonance Imaging in Assessment. </w:t>
            </w:r>
            <w:r w:rsidRPr="00D95AC0">
              <w:rPr>
                <w:rFonts w:ascii="Times New Roman" w:hAnsi="Times New Roman" w:cs="Times New Roman"/>
                <w:i/>
                <w:lang w:val="en-GB"/>
              </w:rPr>
              <w:t>Can J Cardiol</w:t>
            </w:r>
            <w:r w:rsidRPr="00D95AC0">
              <w:rPr>
                <w:rFonts w:ascii="Times New Roman" w:hAnsi="Times New Roman" w:cs="Times New Roman"/>
                <w:lang w:val="en-GB"/>
              </w:rPr>
              <w:t>. 2015;31:1325-1337. doi: 10.1016/j.cjca.2015.07.003</w:t>
            </w:r>
          </w:p>
          <w:p w14:paraId="5C48A98F"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39.</w:t>
            </w:r>
            <w:r w:rsidRPr="00D95AC0">
              <w:rPr>
                <w:rFonts w:ascii="Times New Roman" w:hAnsi="Times New Roman" w:cs="Times New Roman"/>
                <w:lang w:val="en-GB"/>
              </w:rPr>
              <w:tab/>
              <w:t xml:space="preserve">Hussein A, Karimianpour A, Collier P, Krasuski RA. Isolated Noncompaction of the Left Ventricle in Adults. </w:t>
            </w:r>
            <w:r w:rsidRPr="00D95AC0">
              <w:rPr>
                <w:rFonts w:ascii="Times New Roman" w:hAnsi="Times New Roman" w:cs="Times New Roman"/>
                <w:i/>
                <w:lang w:val="en-GB"/>
              </w:rPr>
              <w:t>J Am Coll Cardiol</w:t>
            </w:r>
            <w:r w:rsidRPr="00D95AC0">
              <w:rPr>
                <w:rFonts w:ascii="Times New Roman" w:hAnsi="Times New Roman" w:cs="Times New Roman"/>
                <w:lang w:val="en-GB"/>
              </w:rPr>
              <w:t>. 2015;66:578-585. doi: 10.1016/j.jacc.2015.06.017</w:t>
            </w:r>
          </w:p>
          <w:p w14:paraId="6A9DC6D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40.</w:t>
            </w:r>
            <w:r w:rsidRPr="00D95AC0">
              <w:rPr>
                <w:rFonts w:ascii="Times New Roman" w:hAnsi="Times New Roman" w:cs="Times New Roman"/>
                <w:lang w:val="en-GB"/>
              </w:rPr>
              <w:tab/>
              <w:t xml:space="preserve">Ting TW, Jamuar SS, Brett MS, Tan ES, Cham BW, Lim JY, Law HY, Tan EC, Choo JT, Lai AH. Left Ventricular Non-compaction: Is It Genetic? </w:t>
            </w:r>
            <w:r w:rsidRPr="00D95AC0">
              <w:rPr>
                <w:rFonts w:ascii="Times New Roman" w:hAnsi="Times New Roman" w:cs="Times New Roman"/>
                <w:i/>
                <w:lang w:val="en-GB"/>
              </w:rPr>
              <w:t>Pediatr Cardiol</w:t>
            </w:r>
            <w:r w:rsidRPr="00D95AC0">
              <w:rPr>
                <w:rFonts w:ascii="Times New Roman" w:hAnsi="Times New Roman" w:cs="Times New Roman"/>
                <w:lang w:val="en-GB"/>
              </w:rPr>
              <w:t>. 2015;36:1565-1572. doi: 10.1007/s00246-015-1222-5</w:t>
            </w:r>
          </w:p>
          <w:p w14:paraId="41E2E60D"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41.</w:t>
            </w:r>
            <w:r w:rsidRPr="00D95AC0">
              <w:rPr>
                <w:rFonts w:ascii="Times New Roman" w:hAnsi="Times New Roman" w:cs="Times New Roman"/>
                <w:lang w:val="en-GB"/>
              </w:rPr>
              <w:tab/>
              <w:t xml:space="preserve">Hayashi T. Hypertrophic Cardiomyopathy: Diverse Pathophysiology Revealed by Genetic Research, Toward Future Therapy. </w:t>
            </w:r>
            <w:r w:rsidRPr="00D95AC0">
              <w:rPr>
                <w:rFonts w:ascii="Times New Roman" w:hAnsi="Times New Roman" w:cs="Times New Roman"/>
                <w:i/>
                <w:lang w:val="en-GB"/>
              </w:rPr>
              <w:t>Keio J Med</w:t>
            </w:r>
            <w:r w:rsidRPr="00D95AC0">
              <w:rPr>
                <w:rFonts w:ascii="Times New Roman" w:hAnsi="Times New Roman" w:cs="Times New Roman"/>
                <w:lang w:val="en-GB"/>
              </w:rPr>
              <w:t>. 2020;69:77-87. doi: 10.2302/kjm.2019-0012-OA</w:t>
            </w:r>
          </w:p>
          <w:p w14:paraId="38A04B6D"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42.</w:t>
            </w:r>
            <w:r w:rsidRPr="00D95AC0">
              <w:rPr>
                <w:rFonts w:ascii="Times New Roman" w:hAnsi="Times New Roman" w:cs="Times New Roman"/>
                <w:lang w:val="en-GB"/>
              </w:rPr>
              <w:tab/>
              <w:t xml:space="preserve">Perez-Serra A, Toro R, Sarquella-Brugada G, de Gonzalo-Calvo D, Cesar S, Carro E, Llorente-Cortes V, Iglesias A, Brugada J, Brugada R, et al. Genetic basis of dilated cardiomyopathy. </w:t>
            </w:r>
            <w:r w:rsidRPr="00D95AC0">
              <w:rPr>
                <w:rFonts w:ascii="Times New Roman" w:hAnsi="Times New Roman" w:cs="Times New Roman"/>
                <w:i/>
                <w:lang w:val="en-GB"/>
              </w:rPr>
              <w:t>Int J Cardiol</w:t>
            </w:r>
            <w:r w:rsidRPr="00D95AC0">
              <w:rPr>
                <w:rFonts w:ascii="Times New Roman" w:hAnsi="Times New Roman" w:cs="Times New Roman"/>
                <w:lang w:val="en-GB"/>
              </w:rPr>
              <w:t>. 2016;224:461-472. doi: 10.1016/j.ijcard.2016.09.068</w:t>
            </w:r>
          </w:p>
          <w:p w14:paraId="787A721B" w14:textId="77777777" w:rsidR="00FA1D9C" w:rsidRPr="007E6892" w:rsidRDefault="00FA1D9C" w:rsidP="0092319D">
            <w:pPr>
              <w:pStyle w:val="EndNoteBibliography"/>
              <w:ind w:left="720" w:hanging="720"/>
              <w:rPr>
                <w:rFonts w:ascii="Times New Roman" w:hAnsi="Times New Roman" w:cs="Times New Roman"/>
                <w:lang w:val="sv-SE"/>
              </w:rPr>
            </w:pPr>
            <w:r w:rsidRPr="00D95AC0">
              <w:rPr>
                <w:rFonts w:ascii="Times New Roman" w:hAnsi="Times New Roman" w:cs="Times New Roman"/>
                <w:lang w:val="en-GB"/>
              </w:rPr>
              <w:t>43.</w:t>
            </w:r>
            <w:r w:rsidRPr="00D95AC0">
              <w:rPr>
                <w:rFonts w:ascii="Times New Roman" w:hAnsi="Times New Roman" w:cs="Times New Roman"/>
                <w:lang w:val="en-GB"/>
              </w:rPr>
              <w:tab/>
              <w:t xml:space="preserve">Mazzarotto F, Olivotto I, Boschi B, Girolami F, Poggesi C, Barton PJR, Walsh R. Contemporary Insights Into the Genetics of Hypertrophic Cardiomyopathy: Toward a New Era in Clinical Testing? </w:t>
            </w:r>
            <w:r w:rsidRPr="007E6892">
              <w:rPr>
                <w:rFonts w:ascii="Times New Roman" w:hAnsi="Times New Roman" w:cs="Times New Roman"/>
                <w:i/>
                <w:lang w:val="sv-SE"/>
              </w:rPr>
              <w:t>J Am Heart Assoc</w:t>
            </w:r>
            <w:r w:rsidRPr="007E6892">
              <w:rPr>
                <w:rFonts w:ascii="Times New Roman" w:hAnsi="Times New Roman" w:cs="Times New Roman"/>
                <w:lang w:val="sv-SE"/>
              </w:rPr>
              <w:t>. 2020;9:e015473. doi: 10.1161/JAHA.119.015473</w:t>
            </w:r>
          </w:p>
          <w:p w14:paraId="0C786A07" w14:textId="77777777" w:rsidR="00FA1D9C" w:rsidRPr="00D95AC0" w:rsidRDefault="00FA1D9C" w:rsidP="0092319D">
            <w:pPr>
              <w:pStyle w:val="EndNoteBibliography"/>
              <w:ind w:left="720" w:hanging="720"/>
              <w:rPr>
                <w:rFonts w:ascii="Times New Roman" w:hAnsi="Times New Roman" w:cs="Times New Roman"/>
                <w:lang w:val="en-GB"/>
              </w:rPr>
            </w:pPr>
            <w:r w:rsidRPr="007E6892">
              <w:rPr>
                <w:rFonts w:ascii="Times New Roman" w:hAnsi="Times New Roman" w:cs="Times New Roman"/>
                <w:lang w:val="sv-SE"/>
              </w:rPr>
              <w:t>44.</w:t>
            </w:r>
            <w:r w:rsidRPr="007E6892">
              <w:rPr>
                <w:rFonts w:ascii="Times New Roman" w:hAnsi="Times New Roman" w:cs="Times New Roman"/>
                <w:lang w:val="sv-SE"/>
              </w:rPr>
              <w:tab/>
              <w:t xml:space="preserve">Streltsova AA, Gudkova AY, Kostareva AA. </w:t>
            </w:r>
            <w:r w:rsidRPr="00D95AC0">
              <w:rPr>
                <w:rFonts w:ascii="Times New Roman" w:hAnsi="Times New Roman" w:cs="Times New Roman"/>
                <w:lang w:val="en-GB"/>
              </w:rPr>
              <w:t xml:space="preserve">[Left ventricular non - compaction: contemporary view of genetic background, clinical course, diagnostic and treatment]. </w:t>
            </w:r>
            <w:r w:rsidRPr="00D95AC0">
              <w:rPr>
                <w:rFonts w:ascii="Times New Roman" w:hAnsi="Times New Roman" w:cs="Times New Roman"/>
                <w:i/>
                <w:lang w:val="en-GB"/>
              </w:rPr>
              <w:t>Ter Arkh</w:t>
            </w:r>
            <w:r w:rsidRPr="00D95AC0">
              <w:rPr>
                <w:rFonts w:ascii="Times New Roman" w:hAnsi="Times New Roman" w:cs="Times New Roman"/>
                <w:lang w:val="en-GB"/>
              </w:rPr>
              <w:t>. 2019;91:90-97. doi: 10.26442/00403660.2019.12.000142</w:t>
            </w:r>
          </w:p>
          <w:p w14:paraId="0288378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45.</w:t>
            </w:r>
            <w:r w:rsidRPr="00D95AC0">
              <w:rPr>
                <w:rFonts w:ascii="Times New Roman" w:hAnsi="Times New Roman" w:cs="Times New Roman"/>
                <w:lang w:val="en-GB"/>
              </w:rPr>
              <w:tab/>
              <w:t xml:space="preserve">Araco M, Merlo M, Carr-White G, Sinagra G. Genetic bases of dilated cardiomyopathy. </w:t>
            </w:r>
            <w:r w:rsidRPr="00D95AC0">
              <w:rPr>
                <w:rFonts w:ascii="Times New Roman" w:hAnsi="Times New Roman" w:cs="Times New Roman"/>
                <w:i/>
                <w:lang w:val="en-GB"/>
              </w:rPr>
              <w:t>J Cardiovasc Med (Hagerstown)</w:t>
            </w:r>
            <w:r w:rsidRPr="00D95AC0">
              <w:rPr>
                <w:rFonts w:ascii="Times New Roman" w:hAnsi="Times New Roman" w:cs="Times New Roman"/>
                <w:lang w:val="en-GB"/>
              </w:rPr>
              <w:t>. 2017;18:123-130. doi: 10.2459/JCM.0000000000000432</w:t>
            </w:r>
          </w:p>
          <w:p w14:paraId="3EC71D9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lastRenderedPageBreak/>
              <w:t>46.</w:t>
            </w:r>
            <w:r w:rsidRPr="00D95AC0">
              <w:rPr>
                <w:rFonts w:ascii="Times New Roman" w:hAnsi="Times New Roman" w:cs="Times New Roman"/>
                <w:lang w:val="en-GB"/>
              </w:rPr>
              <w:tab/>
              <w:t xml:space="preserve">Cannie D, Elliott P. The genetics of left ventricular noncompaction. </w:t>
            </w:r>
            <w:r w:rsidRPr="00D95AC0">
              <w:rPr>
                <w:rFonts w:ascii="Times New Roman" w:hAnsi="Times New Roman" w:cs="Times New Roman"/>
                <w:i/>
                <w:lang w:val="en-GB"/>
              </w:rPr>
              <w:t>Curr Opin Cardiol</w:t>
            </w:r>
            <w:r w:rsidRPr="00D95AC0">
              <w:rPr>
                <w:rFonts w:ascii="Times New Roman" w:hAnsi="Times New Roman" w:cs="Times New Roman"/>
                <w:lang w:val="en-GB"/>
              </w:rPr>
              <w:t>. 2021;36:301-308. doi: 10.1097/HCO.0000000000000844</w:t>
            </w:r>
          </w:p>
          <w:p w14:paraId="77C72B1B"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47.</w:t>
            </w:r>
            <w:r w:rsidRPr="00D95AC0">
              <w:rPr>
                <w:rFonts w:ascii="Times New Roman" w:hAnsi="Times New Roman" w:cs="Times New Roman"/>
                <w:lang w:val="en-GB"/>
              </w:rPr>
              <w:tab/>
              <w:t xml:space="preserve">Chen SN, Mestroni L, Taylor MRG. Genetics of dilated cardiomyopathy. </w:t>
            </w:r>
            <w:r w:rsidRPr="00D95AC0">
              <w:rPr>
                <w:rFonts w:ascii="Times New Roman" w:hAnsi="Times New Roman" w:cs="Times New Roman"/>
                <w:i/>
                <w:lang w:val="en-GB"/>
              </w:rPr>
              <w:t>Curr Opin Cardiol</w:t>
            </w:r>
            <w:r w:rsidRPr="00D95AC0">
              <w:rPr>
                <w:rFonts w:ascii="Times New Roman" w:hAnsi="Times New Roman" w:cs="Times New Roman"/>
                <w:lang w:val="en-GB"/>
              </w:rPr>
              <w:t>. 2021;36:288-294. doi: 10.1097/HCO.0000000000000845</w:t>
            </w:r>
          </w:p>
          <w:p w14:paraId="2ECDA85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48.</w:t>
            </w:r>
            <w:r w:rsidRPr="00D95AC0">
              <w:rPr>
                <w:rFonts w:ascii="Times New Roman" w:hAnsi="Times New Roman" w:cs="Times New Roman"/>
                <w:lang w:val="en-GB"/>
              </w:rPr>
              <w:tab/>
              <w:t xml:space="preserve">Cho KW, Lee J, Kim Y. Genetic Variations Leading to Familial Dilated Cardiomyopathy. </w:t>
            </w:r>
            <w:r w:rsidRPr="00D95AC0">
              <w:rPr>
                <w:rFonts w:ascii="Times New Roman" w:hAnsi="Times New Roman" w:cs="Times New Roman"/>
                <w:i/>
                <w:lang w:val="en-GB"/>
              </w:rPr>
              <w:t>Mol Cells</w:t>
            </w:r>
            <w:r w:rsidRPr="00D95AC0">
              <w:rPr>
                <w:rFonts w:ascii="Times New Roman" w:hAnsi="Times New Roman" w:cs="Times New Roman"/>
                <w:lang w:val="en-GB"/>
              </w:rPr>
              <w:t>. 2016;39:722-727. doi: 10.14348/molcells.2016.0061</w:t>
            </w:r>
          </w:p>
          <w:p w14:paraId="22BEE87F"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49.</w:t>
            </w:r>
            <w:r w:rsidRPr="00D95AC0">
              <w:rPr>
                <w:rFonts w:ascii="Times New Roman" w:hAnsi="Times New Roman" w:cs="Times New Roman"/>
                <w:lang w:val="en-GB"/>
              </w:rPr>
              <w:tab/>
              <w:t xml:space="preserve">Bonaventura J, Polakova E, Vejtasova V, Veselka J. Genetic Testing in Patients with Hypertrophic Cardiomyopathy. </w:t>
            </w:r>
            <w:r w:rsidRPr="00D95AC0">
              <w:rPr>
                <w:rFonts w:ascii="Times New Roman" w:hAnsi="Times New Roman" w:cs="Times New Roman"/>
                <w:i/>
                <w:lang w:val="en-GB"/>
              </w:rPr>
              <w:t>Int J Mol Sci</w:t>
            </w:r>
            <w:r w:rsidRPr="00D95AC0">
              <w:rPr>
                <w:rFonts w:ascii="Times New Roman" w:hAnsi="Times New Roman" w:cs="Times New Roman"/>
                <w:lang w:val="en-GB"/>
              </w:rPr>
              <w:t>. 2021;22. doi: 10.3390/ijms221910401</w:t>
            </w:r>
          </w:p>
          <w:p w14:paraId="10EA050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50.</w:t>
            </w:r>
            <w:r w:rsidRPr="00D95AC0">
              <w:rPr>
                <w:rFonts w:ascii="Times New Roman" w:hAnsi="Times New Roman" w:cs="Times New Roman"/>
                <w:lang w:val="en-GB"/>
              </w:rPr>
              <w:tab/>
              <w:t xml:space="preserve">Filho DCS, do Rego Aquino PL, de Souza Silva G, Fabro CB. Left Ventricular Noncompaction: New Insights into a Poorly Understood Disease. </w:t>
            </w:r>
            <w:r w:rsidRPr="00D95AC0">
              <w:rPr>
                <w:rFonts w:ascii="Times New Roman" w:hAnsi="Times New Roman" w:cs="Times New Roman"/>
                <w:i/>
                <w:lang w:val="en-GB"/>
              </w:rPr>
              <w:t>Curr Cardiol Rev</w:t>
            </w:r>
            <w:r w:rsidRPr="00D95AC0">
              <w:rPr>
                <w:rFonts w:ascii="Times New Roman" w:hAnsi="Times New Roman" w:cs="Times New Roman"/>
                <w:lang w:val="en-GB"/>
              </w:rPr>
              <w:t>. 2021;17:209-216. doi: 10.2174/1573403X16666200716151015</w:t>
            </w:r>
          </w:p>
          <w:p w14:paraId="7CD00D3F"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51.</w:t>
            </w:r>
            <w:r w:rsidRPr="00D95AC0">
              <w:rPr>
                <w:rFonts w:ascii="Times New Roman" w:hAnsi="Times New Roman" w:cs="Times New Roman"/>
                <w:lang w:val="en-GB"/>
              </w:rPr>
              <w:tab/>
              <w:t xml:space="preserve">Rooms I, Dujardin K, De Sutter J. Non-compaction cardiomyopathy: a genetically and clinically heterogeneous disorder. </w:t>
            </w:r>
            <w:r w:rsidRPr="00D95AC0">
              <w:rPr>
                <w:rFonts w:ascii="Times New Roman" w:hAnsi="Times New Roman" w:cs="Times New Roman"/>
                <w:i/>
                <w:lang w:val="en-GB"/>
              </w:rPr>
              <w:t>Acta Cardiol</w:t>
            </w:r>
            <w:r w:rsidRPr="00D95AC0">
              <w:rPr>
                <w:rFonts w:ascii="Times New Roman" w:hAnsi="Times New Roman" w:cs="Times New Roman"/>
                <w:lang w:val="en-GB"/>
              </w:rPr>
              <w:t>. 2015;70:625-631. doi: 10.2143/AC.70.6.3120173</w:t>
            </w:r>
          </w:p>
          <w:p w14:paraId="5499281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52.</w:t>
            </w:r>
            <w:r w:rsidRPr="00D95AC0">
              <w:rPr>
                <w:rFonts w:ascii="Times New Roman" w:hAnsi="Times New Roman" w:cs="Times New Roman"/>
                <w:lang w:val="en-GB"/>
              </w:rPr>
              <w:tab/>
              <w:t xml:space="preserve">Genomics England PanelApp. Hypertrophic cardiomyopathy - teen and adult (v. 2.32) [Internet]. 2021 [accessed November 18, 2021]. Available from: https://panelapp.genomicsengland.co.uk/panels/49/. </w:t>
            </w:r>
          </w:p>
          <w:p w14:paraId="12A2E98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53.</w:t>
            </w:r>
            <w:r w:rsidRPr="00D95AC0">
              <w:rPr>
                <w:rFonts w:ascii="Times New Roman" w:hAnsi="Times New Roman" w:cs="Times New Roman"/>
                <w:lang w:val="en-GB"/>
              </w:rPr>
              <w:tab/>
              <w:t xml:space="preserve">Genomics England PanelApp. Left Ventricular Noncompaction Cardiomyopathy (v. 1.4) [Internet]. 2021 [accessed November 18, 2021]. Available from: https://panelapp.genomicsengland.co.uk/panels/238/. </w:t>
            </w:r>
          </w:p>
          <w:p w14:paraId="0EE568E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54.</w:t>
            </w:r>
            <w:r w:rsidRPr="00D95AC0">
              <w:rPr>
                <w:rFonts w:ascii="Times New Roman" w:hAnsi="Times New Roman" w:cs="Times New Roman"/>
                <w:lang w:val="en-GB"/>
              </w:rPr>
              <w:tab/>
              <w:t xml:space="preserve">Hu CS. A comprehensive strategy for managing arrhythmogenic right ventricular cardiomyopathy. </w:t>
            </w:r>
            <w:r w:rsidRPr="00D95AC0">
              <w:rPr>
                <w:rFonts w:ascii="Times New Roman" w:hAnsi="Times New Roman" w:cs="Times New Roman"/>
                <w:i/>
                <w:lang w:val="en-GB"/>
              </w:rPr>
              <w:t>Turk Kardiyol Dern Ars</w:t>
            </w:r>
            <w:r w:rsidRPr="00D95AC0">
              <w:rPr>
                <w:rFonts w:ascii="Times New Roman" w:hAnsi="Times New Roman" w:cs="Times New Roman"/>
                <w:lang w:val="en-GB"/>
              </w:rPr>
              <w:t>. 2020;48:88-95. doi: 10.5543/tkda.2019.74184</w:t>
            </w:r>
          </w:p>
          <w:p w14:paraId="11F5909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55.</w:t>
            </w:r>
            <w:r w:rsidRPr="00D95AC0">
              <w:rPr>
                <w:rFonts w:ascii="Times New Roman" w:hAnsi="Times New Roman" w:cs="Times New Roman"/>
                <w:lang w:val="en-GB"/>
              </w:rPr>
              <w:tab/>
              <w:t xml:space="preserve">Merlo M, Cappelletto C, De Angelis G, Porcari A, Caiffa T, Lardieri G, Pagnan L, Severini GM, Dal Ferro M, Stolfo D, et al. [Diagnostic work-up and clinical management of cardiomyopathies: the operative protocol from the Cardiothoracovascular Department of Trieste, Italy]. </w:t>
            </w:r>
            <w:r w:rsidRPr="00D95AC0">
              <w:rPr>
                <w:rFonts w:ascii="Times New Roman" w:hAnsi="Times New Roman" w:cs="Times New Roman"/>
                <w:i/>
                <w:lang w:val="en-GB"/>
              </w:rPr>
              <w:t>G Ital Cardiol (Rome)</w:t>
            </w:r>
            <w:r w:rsidRPr="00D95AC0">
              <w:rPr>
                <w:rFonts w:ascii="Times New Roman" w:hAnsi="Times New Roman" w:cs="Times New Roman"/>
                <w:lang w:val="en-GB"/>
              </w:rPr>
              <w:t>. 2020;21:935-953. doi: 10.1714/3472.34548</w:t>
            </w:r>
          </w:p>
          <w:p w14:paraId="14B8358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56.</w:t>
            </w:r>
            <w:r w:rsidRPr="00D95AC0">
              <w:rPr>
                <w:rFonts w:ascii="Times New Roman" w:hAnsi="Times New Roman" w:cs="Times New Roman"/>
                <w:lang w:val="en-GB"/>
              </w:rPr>
              <w:tab/>
              <w:t xml:space="preserve">Tayal U, Prasad S, Cook SA. Genetics and genomics of dilated cardiomyopathy and systolic heart failure. </w:t>
            </w:r>
            <w:r w:rsidRPr="00D95AC0">
              <w:rPr>
                <w:rFonts w:ascii="Times New Roman" w:hAnsi="Times New Roman" w:cs="Times New Roman"/>
                <w:i/>
                <w:lang w:val="en-GB"/>
              </w:rPr>
              <w:t>Genome Med</w:t>
            </w:r>
            <w:r w:rsidRPr="00D95AC0">
              <w:rPr>
                <w:rFonts w:ascii="Times New Roman" w:hAnsi="Times New Roman" w:cs="Times New Roman"/>
                <w:lang w:val="en-GB"/>
              </w:rPr>
              <w:t>. 2017;9:20. doi: 10.1186/s13073-017-0410-8</w:t>
            </w:r>
          </w:p>
          <w:p w14:paraId="79E9C1D2"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57.</w:t>
            </w:r>
            <w:r w:rsidRPr="00D95AC0">
              <w:rPr>
                <w:rFonts w:ascii="Times New Roman" w:hAnsi="Times New Roman" w:cs="Times New Roman"/>
                <w:lang w:val="en-GB"/>
              </w:rPr>
              <w:tab/>
              <w:t xml:space="preserve">Sabater-Molina M, Perez-Sanchez I, Hernandez Del Rincon JP, Gimeno JR. Genetics of hypertrophic cardiomyopathy: A review of current state. </w:t>
            </w:r>
            <w:r w:rsidRPr="00D95AC0">
              <w:rPr>
                <w:rFonts w:ascii="Times New Roman" w:hAnsi="Times New Roman" w:cs="Times New Roman"/>
                <w:i/>
                <w:lang w:val="en-GB"/>
              </w:rPr>
              <w:t>Clin Genet</w:t>
            </w:r>
            <w:r w:rsidRPr="00D95AC0">
              <w:rPr>
                <w:rFonts w:ascii="Times New Roman" w:hAnsi="Times New Roman" w:cs="Times New Roman"/>
                <w:lang w:val="en-GB"/>
              </w:rPr>
              <w:t>. 2018;93:3-14. doi: 10.1111/cge.13027</w:t>
            </w:r>
          </w:p>
          <w:p w14:paraId="17BD905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58.</w:t>
            </w:r>
            <w:r w:rsidRPr="00D95AC0">
              <w:rPr>
                <w:rFonts w:ascii="Times New Roman" w:hAnsi="Times New Roman" w:cs="Times New Roman"/>
                <w:lang w:val="en-GB"/>
              </w:rPr>
              <w:tab/>
              <w:t xml:space="preserve">Young L, Smedira NG, Tower-Rader A, Lever H, Desai MY. Hypertrophic cardiomyopathy: A complex disease. </w:t>
            </w:r>
            <w:r w:rsidRPr="00D95AC0">
              <w:rPr>
                <w:rFonts w:ascii="Times New Roman" w:hAnsi="Times New Roman" w:cs="Times New Roman"/>
                <w:i/>
                <w:lang w:val="en-GB"/>
              </w:rPr>
              <w:t>Cleve Clin J Med</w:t>
            </w:r>
            <w:r w:rsidRPr="00D95AC0">
              <w:rPr>
                <w:rFonts w:ascii="Times New Roman" w:hAnsi="Times New Roman" w:cs="Times New Roman"/>
                <w:lang w:val="en-GB"/>
              </w:rPr>
              <w:t>. 2018;85:399-411. doi: 10.3949/ccjm.85a.17076</w:t>
            </w:r>
          </w:p>
          <w:p w14:paraId="5E567D8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59.</w:t>
            </w:r>
            <w:r w:rsidRPr="00D95AC0">
              <w:rPr>
                <w:rFonts w:ascii="Times New Roman" w:hAnsi="Times New Roman" w:cs="Times New Roman"/>
                <w:lang w:val="en-GB"/>
              </w:rPr>
              <w:tab/>
              <w:t xml:space="preserve">Reichart D, Magnussen C, Zeller T, Blankenberg S. Dilated cardiomyopathy: from epidemiologic to genetic phenotypes: A translational review of current literature. </w:t>
            </w:r>
            <w:r w:rsidRPr="00D95AC0">
              <w:rPr>
                <w:rFonts w:ascii="Times New Roman" w:hAnsi="Times New Roman" w:cs="Times New Roman"/>
                <w:i/>
                <w:lang w:val="en-GB"/>
              </w:rPr>
              <w:t>J Intern Med</w:t>
            </w:r>
            <w:r w:rsidRPr="00D95AC0">
              <w:rPr>
                <w:rFonts w:ascii="Times New Roman" w:hAnsi="Times New Roman" w:cs="Times New Roman"/>
                <w:lang w:val="en-GB"/>
              </w:rPr>
              <w:t>. 2019;286:362-372. doi: 10.1111/joim.12944</w:t>
            </w:r>
          </w:p>
          <w:p w14:paraId="371A281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60.</w:t>
            </w:r>
            <w:r w:rsidRPr="00D95AC0">
              <w:rPr>
                <w:rFonts w:ascii="Times New Roman" w:hAnsi="Times New Roman" w:cs="Times New Roman"/>
                <w:lang w:val="en-GB"/>
              </w:rPr>
              <w:tab/>
              <w:t xml:space="preserve">Weintraub RG, Semsarian C, Macdonald P. Dilated cardiomyopathy. </w:t>
            </w:r>
            <w:r w:rsidRPr="00D95AC0">
              <w:rPr>
                <w:rFonts w:ascii="Times New Roman" w:hAnsi="Times New Roman" w:cs="Times New Roman"/>
                <w:i/>
                <w:lang w:val="en-GB"/>
              </w:rPr>
              <w:t>Lancet</w:t>
            </w:r>
            <w:r w:rsidRPr="00D95AC0">
              <w:rPr>
                <w:rFonts w:ascii="Times New Roman" w:hAnsi="Times New Roman" w:cs="Times New Roman"/>
                <w:lang w:val="en-GB"/>
              </w:rPr>
              <w:t>. 2017;390:400-414. doi: 10.1016/S0140-6736(16)31713-5</w:t>
            </w:r>
          </w:p>
          <w:p w14:paraId="0180CCDB"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61.</w:t>
            </w:r>
            <w:r w:rsidRPr="00D95AC0">
              <w:rPr>
                <w:rFonts w:ascii="Times New Roman" w:hAnsi="Times New Roman" w:cs="Times New Roman"/>
                <w:lang w:val="en-GB"/>
              </w:rPr>
              <w:tab/>
              <w:t xml:space="preserve">Cimiotti D, Budde H, Hassoun R, Jaquet K. Genetic Restrictive Cardiomyopathy: Causes and Consequences-An Integrative Approach. </w:t>
            </w:r>
            <w:r w:rsidRPr="00D95AC0">
              <w:rPr>
                <w:rFonts w:ascii="Times New Roman" w:hAnsi="Times New Roman" w:cs="Times New Roman"/>
                <w:i/>
                <w:lang w:val="en-GB"/>
              </w:rPr>
              <w:t>Int J Mol Sci</w:t>
            </w:r>
            <w:r w:rsidRPr="00D95AC0">
              <w:rPr>
                <w:rFonts w:ascii="Times New Roman" w:hAnsi="Times New Roman" w:cs="Times New Roman"/>
                <w:lang w:val="en-GB"/>
              </w:rPr>
              <w:t>. 2021;22. doi: 10.3390/ijms22020558</w:t>
            </w:r>
          </w:p>
          <w:p w14:paraId="453FA08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62.</w:t>
            </w:r>
            <w:r w:rsidRPr="00D95AC0">
              <w:rPr>
                <w:rFonts w:ascii="Times New Roman" w:hAnsi="Times New Roman" w:cs="Times New Roman"/>
                <w:lang w:val="en-GB"/>
              </w:rPr>
              <w:tab/>
              <w:t xml:space="preserve">Marrow BA, Cook SA, Prasad SK, McCann GP. Emerging Techniques for Risk Stratification in Nonischemic Dilated Cardiomyopathy: JACC Review Topic of the Week. </w:t>
            </w:r>
            <w:r w:rsidRPr="00D95AC0">
              <w:rPr>
                <w:rFonts w:ascii="Times New Roman" w:hAnsi="Times New Roman" w:cs="Times New Roman"/>
                <w:i/>
                <w:lang w:val="en-GB"/>
              </w:rPr>
              <w:t>J Am Coll Cardiol</w:t>
            </w:r>
            <w:r w:rsidRPr="00D95AC0">
              <w:rPr>
                <w:rFonts w:ascii="Times New Roman" w:hAnsi="Times New Roman" w:cs="Times New Roman"/>
                <w:lang w:val="en-GB"/>
              </w:rPr>
              <w:t>. 2020;75:1196-1207. doi: 10.1016/j.jacc.2019.12.058</w:t>
            </w:r>
          </w:p>
          <w:p w14:paraId="34FD88D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lastRenderedPageBreak/>
              <w:t>63.</w:t>
            </w:r>
            <w:r w:rsidRPr="00D95AC0">
              <w:rPr>
                <w:rFonts w:ascii="Times New Roman" w:hAnsi="Times New Roman" w:cs="Times New Roman"/>
                <w:lang w:val="en-GB"/>
              </w:rPr>
              <w:tab/>
              <w:t xml:space="preserve">Rosenbaum AN, Agre KE, Pereira NL. Genetics of dilated cardiomyopathy: practical implications for heart failure management. </w:t>
            </w:r>
            <w:r w:rsidRPr="00D95AC0">
              <w:rPr>
                <w:rFonts w:ascii="Times New Roman" w:hAnsi="Times New Roman" w:cs="Times New Roman"/>
                <w:i/>
                <w:lang w:val="en-GB"/>
              </w:rPr>
              <w:t>Nat Rev Cardiol</w:t>
            </w:r>
            <w:r w:rsidRPr="00D95AC0">
              <w:rPr>
                <w:rFonts w:ascii="Times New Roman" w:hAnsi="Times New Roman" w:cs="Times New Roman"/>
                <w:lang w:val="en-GB"/>
              </w:rPr>
              <w:t>. 2020;17:286-297. doi: 10.1038/s41569-019-0284-0</w:t>
            </w:r>
          </w:p>
          <w:p w14:paraId="7D77C82B"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64.</w:t>
            </w:r>
            <w:r w:rsidRPr="00D95AC0">
              <w:rPr>
                <w:rFonts w:ascii="Times New Roman" w:hAnsi="Times New Roman" w:cs="Times New Roman"/>
                <w:lang w:val="en-GB"/>
              </w:rPr>
              <w:tab/>
              <w:t xml:space="preserve">Schultheiss HP, Fairweather D, Caforio ALP, Escher F, Hershberger RE, Lipshultz SE, Liu PP, Matsumori A, Mazzanti A, McMurray J, et al. Dilated cardiomyopathy. </w:t>
            </w:r>
            <w:r w:rsidRPr="00D95AC0">
              <w:rPr>
                <w:rFonts w:ascii="Times New Roman" w:hAnsi="Times New Roman" w:cs="Times New Roman"/>
                <w:i/>
                <w:lang w:val="en-GB"/>
              </w:rPr>
              <w:t>Nat Rev Dis Primers</w:t>
            </w:r>
            <w:r w:rsidRPr="00D95AC0">
              <w:rPr>
                <w:rFonts w:ascii="Times New Roman" w:hAnsi="Times New Roman" w:cs="Times New Roman"/>
                <w:lang w:val="en-GB"/>
              </w:rPr>
              <w:t>. 2019;5:32. doi: 10.1038/s41572-019-0084-1</w:t>
            </w:r>
          </w:p>
          <w:p w14:paraId="7747039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65.</w:t>
            </w:r>
            <w:r w:rsidRPr="00D95AC0">
              <w:rPr>
                <w:rFonts w:ascii="Times New Roman" w:hAnsi="Times New Roman" w:cs="Times New Roman"/>
                <w:lang w:val="en-GB"/>
              </w:rPr>
              <w:tab/>
              <w:t xml:space="preserve">Yadav S, Sitbon YH, Kazmierczak K, Szczesna-Cordary D. Hereditary heart disease: pathophysiology, clinical presentation, and animal models of HCM, RCM, and DCM associated with mutations in cardiac myosin light chains. </w:t>
            </w:r>
            <w:r w:rsidRPr="00D95AC0">
              <w:rPr>
                <w:rFonts w:ascii="Times New Roman" w:hAnsi="Times New Roman" w:cs="Times New Roman"/>
                <w:i/>
                <w:lang w:val="en-GB"/>
              </w:rPr>
              <w:t>Pflugers Arch</w:t>
            </w:r>
            <w:r w:rsidRPr="00D95AC0">
              <w:rPr>
                <w:rFonts w:ascii="Times New Roman" w:hAnsi="Times New Roman" w:cs="Times New Roman"/>
                <w:lang w:val="en-GB"/>
              </w:rPr>
              <w:t>. 2019;471:683-699. doi: 10.1007/s00424-019-02257-4</w:t>
            </w:r>
          </w:p>
          <w:p w14:paraId="7A60CBE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66.</w:t>
            </w:r>
            <w:r w:rsidRPr="00D95AC0">
              <w:rPr>
                <w:rFonts w:ascii="Times New Roman" w:hAnsi="Times New Roman" w:cs="Times New Roman"/>
                <w:lang w:val="en-GB"/>
              </w:rPr>
              <w:tab/>
              <w:t xml:space="preserve">Peters S, Kumar S, Elliott P, Kalman JM, Fatkin D. Arrhythmic Genotypes in Familial Dilated Cardiomyopathy: Implications for Genetic Testing and Clinical Management. </w:t>
            </w:r>
            <w:r w:rsidRPr="00D95AC0">
              <w:rPr>
                <w:rFonts w:ascii="Times New Roman" w:hAnsi="Times New Roman" w:cs="Times New Roman"/>
                <w:i/>
                <w:lang w:val="en-GB"/>
              </w:rPr>
              <w:t>Heart Lung Circ</w:t>
            </w:r>
            <w:r w:rsidRPr="00D95AC0">
              <w:rPr>
                <w:rFonts w:ascii="Times New Roman" w:hAnsi="Times New Roman" w:cs="Times New Roman"/>
                <w:lang w:val="en-GB"/>
              </w:rPr>
              <w:t>. 2019;28:31-38. doi: 10.1016/j.hlc.2018.09.010</w:t>
            </w:r>
          </w:p>
          <w:p w14:paraId="6E7A80D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67.</w:t>
            </w:r>
            <w:r w:rsidRPr="00D95AC0">
              <w:rPr>
                <w:rFonts w:ascii="Times New Roman" w:hAnsi="Times New Roman" w:cs="Times New Roman"/>
                <w:lang w:val="en-GB"/>
              </w:rPr>
              <w:tab/>
              <w:t xml:space="preserve">Fu Y, Eisen HJ. Genetics of Dilated Cardiomyopathy. </w:t>
            </w:r>
            <w:r w:rsidRPr="00D95AC0">
              <w:rPr>
                <w:rFonts w:ascii="Times New Roman" w:hAnsi="Times New Roman" w:cs="Times New Roman"/>
                <w:i/>
                <w:lang w:val="en-GB"/>
              </w:rPr>
              <w:t>Curr Cardiol Rep</w:t>
            </w:r>
            <w:r w:rsidRPr="00D95AC0">
              <w:rPr>
                <w:rFonts w:ascii="Times New Roman" w:hAnsi="Times New Roman" w:cs="Times New Roman"/>
                <w:lang w:val="en-GB"/>
              </w:rPr>
              <w:t>. 2018;20:121. doi: 10.1007/s11886-018-1061-0</w:t>
            </w:r>
          </w:p>
          <w:p w14:paraId="6CAD3C3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68.</w:t>
            </w:r>
            <w:r w:rsidRPr="00D95AC0">
              <w:rPr>
                <w:rFonts w:ascii="Times New Roman" w:hAnsi="Times New Roman" w:cs="Times New Roman"/>
                <w:lang w:val="en-GB"/>
              </w:rPr>
              <w:tab/>
              <w:t xml:space="preserve">Paldino A, De Angelis G, Merlo M, Gigli M, Dal Ferro M, Severini GM, Mestroni L, Sinagra G. Genetics of Dilated Cardiomyopathy: Clinical Implications. </w:t>
            </w:r>
            <w:r w:rsidRPr="00D95AC0">
              <w:rPr>
                <w:rFonts w:ascii="Times New Roman" w:hAnsi="Times New Roman" w:cs="Times New Roman"/>
                <w:i/>
                <w:lang w:val="en-GB"/>
              </w:rPr>
              <w:t>Curr Cardiol Rep</w:t>
            </w:r>
            <w:r w:rsidRPr="00D95AC0">
              <w:rPr>
                <w:rFonts w:ascii="Times New Roman" w:hAnsi="Times New Roman" w:cs="Times New Roman"/>
                <w:lang w:val="en-GB"/>
              </w:rPr>
              <w:t>. 2018;20:83. doi: 10.1007/s11886-018-1030-7</w:t>
            </w:r>
          </w:p>
          <w:p w14:paraId="4CEC569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69.</w:t>
            </w:r>
            <w:r w:rsidRPr="00D95AC0">
              <w:rPr>
                <w:rFonts w:ascii="Times New Roman" w:hAnsi="Times New Roman" w:cs="Times New Roman"/>
                <w:lang w:val="en-GB"/>
              </w:rPr>
              <w:tab/>
              <w:t xml:space="preserve">Patel V, Asatryan B, Siripanthong B, Munroe PB, Tiku-Owens A, Lopes LR, Khanji MY, Protonotarios A, Santangeli P, Muser D, et al. State of the Art Review on Genetics and Precision Medicine in Arrhythmogenic Cardiomyopathy. </w:t>
            </w:r>
            <w:r w:rsidRPr="00D95AC0">
              <w:rPr>
                <w:rFonts w:ascii="Times New Roman" w:hAnsi="Times New Roman" w:cs="Times New Roman"/>
                <w:i/>
                <w:lang w:val="en-GB"/>
              </w:rPr>
              <w:t>Int J Mol Sci</w:t>
            </w:r>
            <w:r w:rsidRPr="00D95AC0">
              <w:rPr>
                <w:rFonts w:ascii="Times New Roman" w:hAnsi="Times New Roman" w:cs="Times New Roman"/>
                <w:lang w:val="en-GB"/>
              </w:rPr>
              <w:t>. 2020;21. doi: 10.3390/ijms21186615</w:t>
            </w:r>
          </w:p>
          <w:p w14:paraId="21C37AE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70.</w:t>
            </w:r>
            <w:r w:rsidRPr="00D95AC0">
              <w:rPr>
                <w:rFonts w:ascii="Times New Roman" w:hAnsi="Times New Roman" w:cs="Times New Roman"/>
                <w:lang w:val="en-GB"/>
              </w:rPr>
              <w:tab/>
              <w:t xml:space="preserve">James CA, Syrris P, van Tintelen JP, Calkins H. The role of genetics in cardiovascular disease: arrhythmogenic cardiomyopathy. </w:t>
            </w:r>
            <w:r w:rsidRPr="00D95AC0">
              <w:rPr>
                <w:rFonts w:ascii="Times New Roman" w:hAnsi="Times New Roman" w:cs="Times New Roman"/>
                <w:i/>
                <w:lang w:val="en-GB"/>
              </w:rPr>
              <w:t>Eur Heart J</w:t>
            </w:r>
            <w:r w:rsidRPr="00D95AC0">
              <w:rPr>
                <w:rFonts w:ascii="Times New Roman" w:hAnsi="Times New Roman" w:cs="Times New Roman"/>
                <w:lang w:val="en-GB"/>
              </w:rPr>
              <w:t>. 2020;41:1393-1400. doi: 10.1093/eurheartj/ehaa141</w:t>
            </w:r>
          </w:p>
          <w:p w14:paraId="634F071F"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71.</w:t>
            </w:r>
            <w:r w:rsidRPr="00D95AC0">
              <w:rPr>
                <w:rFonts w:ascii="Times New Roman" w:hAnsi="Times New Roman" w:cs="Times New Roman"/>
                <w:lang w:val="en-GB"/>
              </w:rPr>
              <w:tab/>
              <w:t xml:space="preserve">Paul M, Schulze-Bahr E. Arrhythmogenic right ventricular cardiomyopathy : Evolving from unique clinical features to a complex pathophysiological concept. </w:t>
            </w:r>
            <w:r w:rsidRPr="00D95AC0">
              <w:rPr>
                <w:rFonts w:ascii="Times New Roman" w:hAnsi="Times New Roman" w:cs="Times New Roman"/>
                <w:i/>
                <w:lang w:val="en-GB"/>
              </w:rPr>
              <w:t>Herz</w:t>
            </w:r>
            <w:r w:rsidRPr="00D95AC0">
              <w:rPr>
                <w:rFonts w:ascii="Times New Roman" w:hAnsi="Times New Roman" w:cs="Times New Roman"/>
                <w:lang w:val="en-GB"/>
              </w:rPr>
              <w:t>. 2020;45:243-251. doi: 10.1007/s00059-020-04907-1</w:t>
            </w:r>
          </w:p>
          <w:p w14:paraId="69D11F3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72.</w:t>
            </w:r>
            <w:r w:rsidRPr="00D95AC0">
              <w:rPr>
                <w:rFonts w:ascii="Times New Roman" w:hAnsi="Times New Roman" w:cs="Times New Roman"/>
                <w:lang w:val="en-GB"/>
              </w:rPr>
              <w:tab/>
              <w:t xml:space="preserve">Elliott PM, Anastasakis A, Asimaki A, Basso C, Bauce B, Brooke MA, Calkins H, Corrado D, Duru F, Green KJ, et al. Definition and treatment of arrhythmogenic cardiomyopathy: an updated expert panel report. </w:t>
            </w:r>
            <w:r w:rsidRPr="00D95AC0">
              <w:rPr>
                <w:rFonts w:ascii="Times New Roman" w:hAnsi="Times New Roman" w:cs="Times New Roman"/>
                <w:i/>
                <w:lang w:val="en-GB"/>
              </w:rPr>
              <w:t>Eur J Heart Fail</w:t>
            </w:r>
            <w:r w:rsidRPr="00D95AC0">
              <w:rPr>
                <w:rFonts w:ascii="Times New Roman" w:hAnsi="Times New Roman" w:cs="Times New Roman"/>
                <w:lang w:val="en-GB"/>
              </w:rPr>
              <w:t>. 2019;21:955-964. doi: 10.1002/ejhf.1534</w:t>
            </w:r>
          </w:p>
          <w:p w14:paraId="16A7F4A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73.</w:t>
            </w:r>
            <w:r w:rsidRPr="00D95AC0">
              <w:rPr>
                <w:rFonts w:ascii="Times New Roman" w:hAnsi="Times New Roman" w:cs="Times New Roman"/>
                <w:lang w:val="en-GB"/>
              </w:rPr>
              <w:tab/>
              <w:t xml:space="preserve">Gandjbakhch E, Redheuil A, Pousset F, Charron P, Frank R. Clinical Diagnosis, Imaging, and Genetics of Arrhythmogenic Right Ventricular Cardiomyopathy/Dysplasia: JACC State-of-the-Art Review. </w:t>
            </w:r>
            <w:r w:rsidRPr="00D95AC0">
              <w:rPr>
                <w:rFonts w:ascii="Times New Roman" w:hAnsi="Times New Roman" w:cs="Times New Roman"/>
                <w:i/>
                <w:lang w:val="en-GB"/>
              </w:rPr>
              <w:t>J Am Coll Cardiol</w:t>
            </w:r>
            <w:r w:rsidRPr="00D95AC0">
              <w:rPr>
                <w:rFonts w:ascii="Times New Roman" w:hAnsi="Times New Roman" w:cs="Times New Roman"/>
                <w:lang w:val="en-GB"/>
              </w:rPr>
              <w:t>. 2018;72:784-804. doi: 10.1016/j.jacc.2018.05.065</w:t>
            </w:r>
          </w:p>
          <w:p w14:paraId="4461527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74.</w:t>
            </w:r>
            <w:r w:rsidRPr="00D95AC0">
              <w:rPr>
                <w:rFonts w:ascii="Times New Roman" w:hAnsi="Times New Roman" w:cs="Times New Roman"/>
                <w:lang w:val="en-GB"/>
              </w:rPr>
              <w:tab/>
              <w:t xml:space="preserve">Wang W, James CA, Calkins H. Diagnostic and therapeutic strategies for arrhythmogenic right ventricular dysplasia/cardiomyopathy patient. </w:t>
            </w:r>
            <w:r w:rsidRPr="00D95AC0">
              <w:rPr>
                <w:rFonts w:ascii="Times New Roman" w:hAnsi="Times New Roman" w:cs="Times New Roman"/>
                <w:i/>
                <w:lang w:val="en-GB"/>
              </w:rPr>
              <w:t>Europace</w:t>
            </w:r>
            <w:r w:rsidRPr="00D95AC0">
              <w:rPr>
                <w:rFonts w:ascii="Times New Roman" w:hAnsi="Times New Roman" w:cs="Times New Roman"/>
                <w:lang w:val="en-GB"/>
              </w:rPr>
              <w:t>. 2019;21:9-21. doi: 10.1093/europace/euy063</w:t>
            </w:r>
          </w:p>
          <w:p w14:paraId="64A5174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75.</w:t>
            </w:r>
            <w:r w:rsidRPr="00D95AC0">
              <w:rPr>
                <w:rFonts w:ascii="Times New Roman" w:hAnsi="Times New Roman" w:cs="Times New Roman"/>
                <w:lang w:val="en-GB"/>
              </w:rPr>
              <w:tab/>
              <w:t xml:space="preserve">Hoorntje ET, Te Rijdt WP, James CA, Pilichou K, Basso C, Judge DP, Bezzina CR, van Tintelen JP. Arrhythmogenic cardiomyopathy: pathology, genetics, and concepts in pathogenesis. </w:t>
            </w:r>
            <w:r w:rsidRPr="00D95AC0">
              <w:rPr>
                <w:rFonts w:ascii="Times New Roman" w:hAnsi="Times New Roman" w:cs="Times New Roman"/>
                <w:i/>
                <w:lang w:val="en-GB"/>
              </w:rPr>
              <w:t>Cardiovasc Res</w:t>
            </w:r>
            <w:r w:rsidRPr="00D95AC0">
              <w:rPr>
                <w:rFonts w:ascii="Times New Roman" w:hAnsi="Times New Roman" w:cs="Times New Roman"/>
                <w:lang w:val="en-GB"/>
              </w:rPr>
              <w:t>. 2017;113:1521-1531. doi: 10.1093/cvr/cvx150</w:t>
            </w:r>
          </w:p>
          <w:p w14:paraId="2C7B41F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76.</w:t>
            </w:r>
            <w:r w:rsidRPr="00D95AC0">
              <w:rPr>
                <w:rFonts w:ascii="Times New Roman" w:hAnsi="Times New Roman" w:cs="Times New Roman"/>
                <w:lang w:val="en-GB"/>
              </w:rPr>
              <w:tab/>
              <w:t xml:space="preserve">Corrado D, Basso C, Judge DP. Arrhythmogenic Cardiomyopathy. </w:t>
            </w:r>
            <w:r w:rsidRPr="00D95AC0">
              <w:rPr>
                <w:rFonts w:ascii="Times New Roman" w:hAnsi="Times New Roman" w:cs="Times New Roman"/>
                <w:i/>
                <w:lang w:val="en-GB"/>
              </w:rPr>
              <w:t>Circ Res</w:t>
            </w:r>
            <w:r w:rsidRPr="00D95AC0">
              <w:rPr>
                <w:rFonts w:ascii="Times New Roman" w:hAnsi="Times New Roman" w:cs="Times New Roman"/>
                <w:lang w:val="en-GB"/>
              </w:rPr>
              <w:t>. 2017;121:784-802. doi: 10.1161/CIRCRESAHA.117.309345</w:t>
            </w:r>
          </w:p>
          <w:p w14:paraId="0F9F1AB2"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77.</w:t>
            </w:r>
            <w:r w:rsidRPr="00D95AC0">
              <w:rPr>
                <w:rFonts w:ascii="Times New Roman" w:hAnsi="Times New Roman" w:cs="Times New Roman"/>
                <w:lang w:val="en-GB"/>
              </w:rPr>
              <w:tab/>
              <w:t xml:space="preserve">Mazurek S, Kim GH. Genetic and epigenetic regulation of arrhythmogenic cardiomyopathy. </w:t>
            </w:r>
            <w:r w:rsidRPr="00D95AC0">
              <w:rPr>
                <w:rFonts w:ascii="Times New Roman" w:hAnsi="Times New Roman" w:cs="Times New Roman"/>
                <w:i/>
                <w:lang w:val="en-GB"/>
              </w:rPr>
              <w:t>Biochim Biophys Acta Mol Basis Dis</w:t>
            </w:r>
            <w:r w:rsidRPr="00D95AC0">
              <w:rPr>
                <w:rFonts w:ascii="Times New Roman" w:hAnsi="Times New Roman" w:cs="Times New Roman"/>
                <w:lang w:val="en-GB"/>
              </w:rPr>
              <w:t>. 2017;1863:2064-2069. doi: 10.1016/j.bbadis.2017.04.020</w:t>
            </w:r>
          </w:p>
          <w:p w14:paraId="65CFD05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lastRenderedPageBreak/>
              <w:t>78.</w:t>
            </w:r>
            <w:r w:rsidRPr="00D95AC0">
              <w:rPr>
                <w:rFonts w:ascii="Times New Roman" w:hAnsi="Times New Roman" w:cs="Times New Roman"/>
                <w:lang w:val="en-GB"/>
              </w:rPr>
              <w:tab/>
              <w:t xml:space="preserve">Haugaa KH, Haland TF, Leren IS, Saberniak J, Edvardsen T. Arrhythmogenic right ventricular cardiomyopathy, clinical manifestations, and diagnosis. </w:t>
            </w:r>
            <w:r w:rsidRPr="00D95AC0">
              <w:rPr>
                <w:rFonts w:ascii="Times New Roman" w:hAnsi="Times New Roman" w:cs="Times New Roman"/>
                <w:i/>
                <w:lang w:val="en-GB"/>
              </w:rPr>
              <w:t>Europace</w:t>
            </w:r>
            <w:r w:rsidRPr="00D95AC0">
              <w:rPr>
                <w:rFonts w:ascii="Times New Roman" w:hAnsi="Times New Roman" w:cs="Times New Roman"/>
                <w:lang w:val="en-GB"/>
              </w:rPr>
              <w:t>. 2016;18:965-972. doi: 10.1093/europace/euv340</w:t>
            </w:r>
          </w:p>
          <w:p w14:paraId="707883D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79.</w:t>
            </w:r>
            <w:r w:rsidRPr="00D95AC0">
              <w:rPr>
                <w:rFonts w:ascii="Times New Roman" w:hAnsi="Times New Roman" w:cs="Times New Roman"/>
                <w:lang w:val="en-GB"/>
              </w:rPr>
              <w:tab/>
              <w:t xml:space="preserve">McGregor SM, Husain AN. A Brief Review and Update of the Clinicopathologic Diagnosis of Arrhythmogenic Cardiomyopathy. </w:t>
            </w:r>
            <w:r w:rsidRPr="00D95AC0">
              <w:rPr>
                <w:rFonts w:ascii="Times New Roman" w:hAnsi="Times New Roman" w:cs="Times New Roman"/>
                <w:i/>
                <w:lang w:val="en-GB"/>
              </w:rPr>
              <w:t>Arch Pathol Lab Med</w:t>
            </w:r>
            <w:r w:rsidRPr="00D95AC0">
              <w:rPr>
                <w:rFonts w:ascii="Times New Roman" w:hAnsi="Times New Roman" w:cs="Times New Roman"/>
                <w:lang w:val="en-GB"/>
              </w:rPr>
              <w:t>. 2015;139:1181-1186. doi: 10.5858/arpa.2014-0114-RS</w:t>
            </w:r>
          </w:p>
          <w:p w14:paraId="5A6731C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80.</w:t>
            </w:r>
            <w:r w:rsidRPr="00D95AC0">
              <w:rPr>
                <w:rFonts w:ascii="Times New Roman" w:hAnsi="Times New Roman" w:cs="Times New Roman"/>
                <w:lang w:val="en-GB"/>
              </w:rPr>
              <w:tab/>
              <w:t xml:space="preserve">Que D, Yang P, Song X, Liu L. Traditional vs. genetic pathogenesis of arrhythmogenic right ventricular cardiomyopathy. </w:t>
            </w:r>
            <w:r w:rsidRPr="00D95AC0">
              <w:rPr>
                <w:rFonts w:ascii="Times New Roman" w:hAnsi="Times New Roman" w:cs="Times New Roman"/>
                <w:i/>
                <w:lang w:val="en-GB"/>
              </w:rPr>
              <w:t>Europace</w:t>
            </w:r>
            <w:r w:rsidRPr="00D95AC0">
              <w:rPr>
                <w:rFonts w:ascii="Times New Roman" w:hAnsi="Times New Roman" w:cs="Times New Roman"/>
                <w:lang w:val="en-GB"/>
              </w:rPr>
              <w:t>. 2015;17:1770-1776. doi: 10.1093/europace/euv042</w:t>
            </w:r>
          </w:p>
          <w:p w14:paraId="43ECF18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81.</w:t>
            </w:r>
            <w:r w:rsidRPr="00D95AC0">
              <w:rPr>
                <w:rFonts w:ascii="Times New Roman" w:hAnsi="Times New Roman" w:cs="Times New Roman"/>
                <w:lang w:val="en-GB"/>
              </w:rPr>
              <w:tab/>
              <w:t xml:space="preserve">Alcalde M, Campuzano O, Sarquella-Brugada G, Arbelo E, Allegue C, Partemi S, Iglesias A, Oliva A, Brugada J, Brugada R. Clinical interpretation of genetic variants in arrhythmogenic right ventricular cardiomyopathy. </w:t>
            </w:r>
            <w:r w:rsidRPr="00D95AC0">
              <w:rPr>
                <w:rFonts w:ascii="Times New Roman" w:hAnsi="Times New Roman" w:cs="Times New Roman"/>
                <w:i/>
                <w:lang w:val="en-GB"/>
              </w:rPr>
              <w:t>Clin Res Cardiol</w:t>
            </w:r>
            <w:r w:rsidRPr="00D95AC0">
              <w:rPr>
                <w:rFonts w:ascii="Times New Roman" w:hAnsi="Times New Roman" w:cs="Times New Roman"/>
                <w:lang w:val="en-GB"/>
              </w:rPr>
              <w:t>. 2015;104:288-303. doi: 10.1007/s00392-014-0794-z</w:t>
            </w:r>
          </w:p>
          <w:p w14:paraId="73FA091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82.</w:t>
            </w:r>
            <w:r w:rsidRPr="00D95AC0">
              <w:rPr>
                <w:rFonts w:ascii="Times New Roman" w:hAnsi="Times New Roman" w:cs="Times New Roman"/>
                <w:lang w:val="en-GB"/>
              </w:rPr>
              <w:tab/>
              <w:t xml:space="preserve">Genomics England PanelApp. Arrhythmogenic cardiomyopathy (v. 2.13) [Internet]. 2021 [accessed November 18, 2021]. Available from: https://panelapp.genomicsengland.co.uk/panels/134/. </w:t>
            </w:r>
          </w:p>
          <w:p w14:paraId="5A3C147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83.</w:t>
            </w:r>
            <w:r w:rsidRPr="00D95AC0">
              <w:rPr>
                <w:rFonts w:ascii="Times New Roman" w:hAnsi="Times New Roman" w:cs="Times New Roman"/>
                <w:lang w:val="en-GB"/>
              </w:rPr>
              <w:tab/>
              <w:t xml:space="preserve">Stadiotti I, Pompilio G, Maione AS, Pilato CA, D'Alessandra Y, Sommariva E. Arrhythmogenic cardiomyopathy: what blood can reveal? </w:t>
            </w:r>
            <w:r w:rsidRPr="00D95AC0">
              <w:rPr>
                <w:rFonts w:ascii="Times New Roman" w:hAnsi="Times New Roman" w:cs="Times New Roman"/>
                <w:i/>
                <w:lang w:val="en-GB"/>
              </w:rPr>
              <w:t>Heart Rhythm</w:t>
            </w:r>
            <w:r w:rsidRPr="00D95AC0">
              <w:rPr>
                <w:rFonts w:ascii="Times New Roman" w:hAnsi="Times New Roman" w:cs="Times New Roman"/>
                <w:lang w:val="en-GB"/>
              </w:rPr>
              <w:t>. 2019;16:470-477. doi: 10.1016/j.hrthm.2018.09.023</w:t>
            </w:r>
          </w:p>
          <w:p w14:paraId="4DEA1A5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84.</w:t>
            </w:r>
            <w:r w:rsidRPr="00D95AC0">
              <w:rPr>
                <w:rFonts w:ascii="Times New Roman" w:hAnsi="Times New Roman" w:cs="Times New Roman"/>
                <w:lang w:val="en-GB"/>
              </w:rPr>
              <w:tab/>
              <w:t xml:space="preserve">Moncayo-Arlandi J, Brugada R. Unmasking the molecular link between arrhythmogenic cardiomyopathy and Brugada syndrome. </w:t>
            </w:r>
            <w:r w:rsidRPr="00D95AC0">
              <w:rPr>
                <w:rFonts w:ascii="Times New Roman" w:hAnsi="Times New Roman" w:cs="Times New Roman"/>
                <w:i/>
                <w:lang w:val="en-GB"/>
              </w:rPr>
              <w:t>Nat Rev Cardiol</w:t>
            </w:r>
            <w:r w:rsidRPr="00D95AC0">
              <w:rPr>
                <w:rFonts w:ascii="Times New Roman" w:hAnsi="Times New Roman" w:cs="Times New Roman"/>
                <w:lang w:val="en-GB"/>
              </w:rPr>
              <w:t>. 2017;14:744-756. doi: 10.1038/nrcardio.2017.103</w:t>
            </w:r>
          </w:p>
          <w:p w14:paraId="29010772"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85.</w:t>
            </w:r>
            <w:r w:rsidRPr="00D95AC0">
              <w:rPr>
                <w:rFonts w:ascii="Times New Roman" w:hAnsi="Times New Roman" w:cs="Times New Roman"/>
                <w:lang w:val="en-GB"/>
              </w:rPr>
              <w:tab/>
              <w:t xml:space="preserve">Basso C, Pilichou K, Bauce B, Corrado D, Thiene G. Diagnostic Criteria, Genetics, and Molecular Basis of Arrhythmogenic Cardiomyopathy. </w:t>
            </w:r>
            <w:r w:rsidRPr="00D95AC0">
              <w:rPr>
                <w:rFonts w:ascii="Times New Roman" w:hAnsi="Times New Roman" w:cs="Times New Roman"/>
                <w:i/>
                <w:lang w:val="en-GB"/>
              </w:rPr>
              <w:t>Heart Fail Clin</w:t>
            </w:r>
            <w:r w:rsidRPr="00D95AC0">
              <w:rPr>
                <w:rFonts w:ascii="Times New Roman" w:hAnsi="Times New Roman" w:cs="Times New Roman"/>
                <w:lang w:val="en-GB"/>
              </w:rPr>
              <w:t>. 2018;14:201-213. doi: 10.1016/j.hfc.2018.01.002</w:t>
            </w:r>
          </w:p>
          <w:p w14:paraId="27876EB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86.</w:t>
            </w:r>
            <w:r w:rsidRPr="00D95AC0">
              <w:rPr>
                <w:rFonts w:ascii="Times New Roman" w:hAnsi="Times New Roman" w:cs="Times New Roman"/>
                <w:lang w:val="en-GB"/>
              </w:rPr>
              <w:tab/>
              <w:t xml:space="preserve">Cipriani A, Perazzolo Marra M, Bariani R, Mattesi G, Vio R, Bettella N, M DEL, Motta R, Bauce B, Zorzi A, et al. Differential diagnosis of arrhythmogenic cardiomyopathy: phenocopies versus disease variants. </w:t>
            </w:r>
            <w:r w:rsidRPr="00D95AC0">
              <w:rPr>
                <w:rFonts w:ascii="Times New Roman" w:hAnsi="Times New Roman" w:cs="Times New Roman"/>
                <w:i/>
                <w:lang w:val="en-GB"/>
              </w:rPr>
              <w:t>Minerva Med</w:t>
            </w:r>
            <w:r w:rsidRPr="00D95AC0">
              <w:rPr>
                <w:rFonts w:ascii="Times New Roman" w:hAnsi="Times New Roman" w:cs="Times New Roman"/>
                <w:lang w:val="en-GB"/>
              </w:rPr>
              <w:t>. 2021;112:269-280. doi: 10.23736/S0026-4806.20.06782-8</w:t>
            </w:r>
          </w:p>
          <w:p w14:paraId="11AF3534"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87.</w:t>
            </w:r>
            <w:r w:rsidRPr="00D95AC0">
              <w:rPr>
                <w:rFonts w:ascii="Times New Roman" w:hAnsi="Times New Roman" w:cs="Times New Roman"/>
                <w:lang w:val="en-GB"/>
              </w:rPr>
              <w:tab/>
              <w:t xml:space="preserve">Karmouch J, Protonotarios A, Syrris P. Genetic basis of arrhythmogenic cardiomyopathy. </w:t>
            </w:r>
            <w:r w:rsidRPr="00D95AC0">
              <w:rPr>
                <w:rFonts w:ascii="Times New Roman" w:hAnsi="Times New Roman" w:cs="Times New Roman"/>
                <w:i/>
                <w:lang w:val="en-GB"/>
              </w:rPr>
              <w:t>Curr Opin Cardiol</w:t>
            </w:r>
            <w:r w:rsidRPr="00D95AC0">
              <w:rPr>
                <w:rFonts w:ascii="Times New Roman" w:hAnsi="Times New Roman" w:cs="Times New Roman"/>
                <w:lang w:val="en-GB"/>
              </w:rPr>
              <w:t>. 2018;33:276-281. doi: 10.1097/HCO.0000000000000509</w:t>
            </w:r>
          </w:p>
          <w:p w14:paraId="0998D3C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88.</w:t>
            </w:r>
            <w:r w:rsidRPr="00D95AC0">
              <w:rPr>
                <w:rFonts w:ascii="Times New Roman" w:hAnsi="Times New Roman" w:cs="Times New Roman"/>
                <w:lang w:val="en-GB"/>
              </w:rPr>
              <w:tab/>
              <w:t xml:space="preserve">Poloni G, De Bortoli M, Calore M, Rampazzo A, Lorenzon A. Arrhythmogenic right-ventricular cardiomyopathy: molecular genetics into clinical practice in the era of next generation sequencing. </w:t>
            </w:r>
            <w:r w:rsidRPr="00D95AC0">
              <w:rPr>
                <w:rFonts w:ascii="Times New Roman" w:hAnsi="Times New Roman" w:cs="Times New Roman"/>
                <w:i/>
                <w:lang w:val="en-GB"/>
              </w:rPr>
              <w:t>J Cardiovasc Med (Hagerstown)</w:t>
            </w:r>
            <w:r w:rsidRPr="00D95AC0">
              <w:rPr>
                <w:rFonts w:ascii="Times New Roman" w:hAnsi="Times New Roman" w:cs="Times New Roman"/>
                <w:lang w:val="en-GB"/>
              </w:rPr>
              <w:t>. 2016;17:399-407. doi: 10.2459/JCM.0000000000000385</w:t>
            </w:r>
          </w:p>
          <w:p w14:paraId="470027A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89.</w:t>
            </w:r>
            <w:r w:rsidRPr="00D95AC0">
              <w:rPr>
                <w:rFonts w:ascii="Times New Roman" w:hAnsi="Times New Roman" w:cs="Times New Roman"/>
                <w:lang w:val="en-GB"/>
              </w:rPr>
              <w:tab/>
              <w:t xml:space="preserve">Wicks EC, Elliott PM. Application of current diagnostic criteria for arrhythmogenic right ventricular cardiomyopathy in every day clinical practice. </w:t>
            </w:r>
            <w:r w:rsidRPr="00D95AC0">
              <w:rPr>
                <w:rFonts w:ascii="Times New Roman" w:hAnsi="Times New Roman" w:cs="Times New Roman"/>
                <w:i/>
                <w:lang w:val="en-GB"/>
              </w:rPr>
              <w:t>Curr Pharm Des</w:t>
            </w:r>
            <w:r w:rsidRPr="00D95AC0">
              <w:rPr>
                <w:rFonts w:ascii="Times New Roman" w:hAnsi="Times New Roman" w:cs="Times New Roman"/>
                <w:lang w:val="en-GB"/>
              </w:rPr>
              <w:t>. 2015;21:515-524. doi: 10.2174/138161282104141204144402</w:t>
            </w:r>
          </w:p>
          <w:p w14:paraId="6BFDB5F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90.</w:t>
            </w:r>
            <w:r w:rsidRPr="00D95AC0">
              <w:rPr>
                <w:rFonts w:ascii="Times New Roman" w:hAnsi="Times New Roman" w:cs="Times New Roman"/>
                <w:lang w:val="en-GB"/>
              </w:rPr>
              <w:tab/>
              <w:t xml:space="preserve">Levanovich PE, Diaczok A, Rossi NF. Clinical and Molecular Perspectives of Monogenic Hypertension. </w:t>
            </w:r>
            <w:r w:rsidRPr="00D95AC0">
              <w:rPr>
                <w:rFonts w:ascii="Times New Roman" w:hAnsi="Times New Roman" w:cs="Times New Roman"/>
                <w:i/>
                <w:lang w:val="en-GB"/>
              </w:rPr>
              <w:t>Curr Hypertens Rev</w:t>
            </w:r>
            <w:r w:rsidRPr="00D95AC0">
              <w:rPr>
                <w:rFonts w:ascii="Times New Roman" w:hAnsi="Times New Roman" w:cs="Times New Roman"/>
                <w:lang w:val="en-GB"/>
              </w:rPr>
              <w:t>. 2020;16:91-107. doi: 10.2174/1573402115666190409115330</w:t>
            </w:r>
          </w:p>
          <w:p w14:paraId="7F399F9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91.</w:t>
            </w:r>
            <w:r w:rsidRPr="00D95AC0">
              <w:rPr>
                <w:rFonts w:ascii="Times New Roman" w:hAnsi="Times New Roman" w:cs="Times New Roman"/>
                <w:lang w:val="en-GB"/>
              </w:rPr>
              <w:tab/>
              <w:t xml:space="preserve">Padmanabhan S, Aman A, Dominiczak AF. Genomics of hypertension. </w:t>
            </w:r>
            <w:r w:rsidRPr="00D95AC0">
              <w:rPr>
                <w:rFonts w:ascii="Times New Roman" w:hAnsi="Times New Roman" w:cs="Times New Roman"/>
                <w:i/>
                <w:lang w:val="en-GB"/>
              </w:rPr>
              <w:t>Pharmacol Res</w:t>
            </w:r>
            <w:r w:rsidRPr="00D95AC0">
              <w:rPr>
                <w:rFonts w:ascii="Times New Roman" w:hAnsi="Times New Roman" w:cs="Times New Roman"/>
                <w:lang w:val="en-GB"/>
              </w:rPr>
              <w:t>. 2017;121:219-229. doi: 10.1016/j.phrs.2017.04.031</w:t>
            </w:r>
          </w:p>
          <w:p w14:paraId="60AC30CE"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92.</w:t>
            </w:r>
            <w:r w:rsidRPr="00D95AC0">
              <w:rPr>
                <w:rFonts w:ascii="Times New Roman" w:hAnsi="Times New Roman" w:cs="Times New Roman"/>
                <w:lang w:val="en-GB"/>
              </w:rPr>
              <w:tab/>
              <w:t xml:space="preserve">Padmanabhan S, Caulfield M, Dominiczak AF. Genetic and molecular aspects of hypertension. </w:t>
            </w:r>
            <w:r w:rsidRPr="00D95AC0">
              <w:rPr>
                <w:rFonts w:ascii="Times New Roman" w:hAnsi="Times New Roman" w:cs="Times New Roman"/>
                <w:i/>
                <w:lang w:val="en-GB"/>
              </w:rPr>
              <w:t>Circ Res</w:t>
            </w:r>
            <w:r w:rsidRPr="00D95AC0">
              <w:rPr>
                <w:rFonts w:ascii="Times New Roman" w:hAnsi="Times New Roman" w:cs="Times New Roman"/>
                <w:lang w:val="en-GB"/>
              </w:rPr>
              <w:t>. 2015;116:937-959. doi: 10.1161/CIRCRESAHA.116.303647</w:t>
            </w:r>
          </w:p>
          <w:p w14:paraId="48D93DA8" w14:textId="77777777" w:rsidR="00FA1D9C" w:rsidRPr="007E6892" w:rsidRDefault="00FA1D9C" w:rsidP="0092319D">
            <w:pPr>
              <w:pStyle w:val="EndNoteBibliography"/>
              <w:ind w:left="720" w:hanging="720"/>
              <w:rPr>
                <w:rFonts w:ascii="Times New Roman" w:hAnsi="Times New Roman" w:cs="Times New Roman"/>
                <w:lang w:val="sv-SE"/>
              </w:rPr>
            </w:pPr>
            <w:r w:rsidRPr="00D95AC0">
              <w:rPr>
                <w:rFonts w:ascii="Times New Roman" w:hAnsi="Times New Roman" w:cs="Times New Roman"/>
                <w:lang w:val="en-GB"/>
              </w:rPr>
              <w:t>93.</w:t>
            </w:r>
            <w:r w:rsidRPr="00D95AC0">
              <w:rPr>
                <w:rFonts w:ascii="Times New Roman" w:hAnsi="Times New Roman" w:cs="Times New Roman"/>
                <w:lang w:val="en-GB"/>
              </w:rPr>
              <w:tab/>
              <w:t xml:space="preserve">James CA, Jongbloed JDH, Hershberger RE, Morales A, Judge DP, Syrris P, Pilichou K, Domingo AM, Murray B, Cadrin-Tourigny J, et al. International Evidence Based Reappraisal of Genes Associated With Arrhythmogenic Right </w:t>
            </w:r>
            <w:r w:rsidRPr="00D95AC0">
              <w:rPr>
                <w:rFonts w:ascii="Times New Roman" w:hAnsi="Times New Roman" w:cs="Times New Roman"/>
                <w:lang w:val="en-GB"/>
              </w:rPr>
              <w:lastRenderedPageBreak/>
              <w:t xml:space="preserve">Ventricular Cardiomyopathy Using the Clinical Genome Resource Framework. </w:t>
            </w:r>
            <w:r w:rsidRPr="007E6892">
              <w:rPr>
                <w:rFonts w:ascii="Times New Roman" w:hAnsi="Times New Roman" w:cs="Times New Roman"/>
                <w:i/>
                <w:lang w:val="sv-SE"/>
              </w:rPr>
              <w:t>Circ Genom Precis Med</w:t>
            </w:r>
            <w:r w:rsidRPr="007E6892">
              <w:rPr>
                <w:rFonts w:ascii="Times New Roman" w:hAnsi="Times New Roman" w:cs="Times New Roman"/>
                <w:lang w:val="sv-SE"/>
              </w:rPr>
              <w:t>. 2021;14:e003273. doi: 10.1161/CIRCGEN.120.003273</w:t>
            </w:r>
          </w:p>
          <w:p w14:paraId="511F224F" w14:textId="77777777" w:rsidR="00FA1D9C" w:rsidRPr="00D95AC0" w:rsidRDefault="00FA1D9C" w:rsidP="0092319D">
            <w:pPr>
              <w:pStyle w:val="EndNoteBibliography"/>
              <w:ind w:left="720" w:hanging="720"/>
              <w:rPr>
                <w:rFonts w:ascii="Times New Roman" w:hAnsi="Times New Roman" w:cs="Times New Roman"/>
                <w:lang w:val="en-GB"/>
              </w:rPr>
            </w:pPr>
            <w:r w:rsidRPr="007E6892">
              <w:rPr>
                <w:rFonts w:ascii="Times New Roman" w:hAnsi="Times New Roman" w:cs="Times New Roman"/>
                <w:lang w:val="sv-SE"/>
              </w:rPr>
              <w:t>94.</w:t>
            </w:r>
            <w:r w:rsidRPr="007E6892">
              <w:rPr>
                <w:rFonts w:ascii="Times New Roman" w:hAnsi="Times New Roman" w:cs="Times New Roman"/>
                <w:lang w:val="sv-SE"/>
              </w:rPr>
              <w:tab/>
              <w:t xml:space="preserve">Oomen A, Semsarian C, Puranik R, Sy RW. </w:t>
            </w:r>
            <w:r w:rsidRPr="00D95AC0">
              <w:rPr>
                <w:rFonts w:ascii="Times New Roman" w:hAnsi="Times New Roman" w:cs="Times New Roman"/>
                <w:lang w:val="en-GB"/>
              </w:rPr>
              <w:t xml:space="preserve">Diagnosis of Arrhythmogenic Right Ventricular Cardiomyopathy: Progress and Pitfalls. </w:t>
            </w:r>
            <w:r w:rsidRPr="00D95AC0">
              <w:rPr>
                <w:rFonts w:ascii="Times New Roman" w:hAnsi="Times New Roman" w:cs="Times New Roman"/>
                <w:i/>
                <w:lang w:val="en-GB"/>
              </w:rPr>
              <w:t>Heart Lung Circ</w:t>
            </w:r>
            <w:r w:rsidRPr="00D95AC0">
              <w:rPr>
                <w:rFonts w:ascii="Times New Roman" w:hAnsi="Times New Roman" w:cs="Times New Roman"/>
                <w:lang w:val="en-GB"/>
              </w:rPr>
              <w:t>. 2018;27:1310-1317. doi: 10.1016/j.hlc.2018.03.023</w:t>
            </w:r>
          </w:p>
          <w:p w14:paraId="3274071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95.</w:t>
            </w:r>
            <w:r w:rsidRPr="00D95AC0">
              <w:rPr>
                <w:rFonts w:ascii="Times New Roman" w:hAnsi="Times New Roman" w:cs="Times New Roman"/>
                <w:lang w:val="en-GB"/>
              </w:rPr>
              <w:tab/>
              <w:t xml:space="preserve">Castanos Gutierrez SL, Kamel IR, Zimmerman SL. Current Concepts on Diagnosis and Prognosis of Arrhythmogenic Right Ventricular Cardiomyopathy/Dysplasia. </w:t>
            </w:r>
            <w:r w:rsidRPr="00D95AC0">
              <w:rPr>
                <w:rFonts w:ascii="Times New Roman" w:hAnsi="Times New Roman" w:cs="Times New Roman"/>
                <w:i/>
                <w:lang w:val="en-GB"/>
              </w:rPr>
              <w:t>J Thorac Imaging</w:t>
            </w:r>
            <w:r w:rsidRPr="00D95AC0">
              <w:rPr>
                <w:rFonts w:ascii="Times New Roman" w:hAnsi="Times New Roman" w:cs="Times New Roman"/>
                <w:lang w:val="en-GB"/>
              </w:rPr>
              <w:t>. 2016;31:324-335. doi: 10.1097/RTI.0000000000000171</w:t>
            </w:r>
          </w:p>
          <w:p w14:paraId="2840E7C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96.</w:t>
            </w:r>
            <w:r w:rsidRPr="00D95AC0">
              <w:rPr>
                <w:rFonts w:ascii="Times New Roman" w:hAnsi="Times New Roman" w:cs="Times New Roman"/>
                <w:lang w:val="en-GB"/>
              </w:rPr>
              <w:tab/>
              <w:t xml:space="preserve">Iacocca MA, Chora JR, Carrie A, Freiberger T, Leigh SE, Defesche JC, Kurtz CL, DiStefano MT, Santos RD, Humphries SE, et al. ClinVar database of global familial hypercholesterolemia-associated DNA variants. </w:t>
            </w:r>
            <w:r w:rsidRPr="00D95AC0">
              <w:rPr>
                <w:rFonts w:ascii="Times New Roman" w:hAnsi="Times New Roman" w:cs="Times New Roman"/>
                <w:i/>
                <w:lang w:val="en-GB"/>
              </w:rPr>
              <w:t>Hum Mutat</w:t>
            </w:r>
            <w:r w:rsidRPr="00D95AC0">
              <w:rPr>
                <w:rFonts w:ascii="Times New Roman" w:hAnsi="Times New Roman" w:cs="Times New Roman"/>
                <w:lang w:val="en-GB"/>
              </w:rPr>
              <w:t>. 2018;39:1631-1640. doi: 10.1002/humu.23634</w:t>
            </w:r>
          </w:p>
          <w:p w14:paraId="5D07AE41"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97.</w:t>
            </w:r>
            <w:r w:rsidRPr="00D95AC0">
              <w:rPr>
                <w:rFonts w:ascii="Times New Roman" w:hAnsi="Times New Roman" w:cs="Times New Roman"/>
                <w:lang w:val="en-GB"/>
              </w:rPr>
              <w:tab/>
              <w:t xml:space="preserve">Genomics England PanelApp. Familial hypercholesterolaemia - targeted panel (v. 1.9) [Internet]. 2021 [accessed November 18, 2021]. Available from: https://panelapp.genomicsengland.co.uk/panels/772/. </w:t>
            </w:r>
          </w:p>
          <w:p w14:paraId="0AB4D6F9"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98.</w:t>
            </w:r>
            <w:r w:rsidRPr="00D95AC0">
              <w:rPr>
                <w:rFonts w:ascii="Times New Roman" w:hAnsi="Times New Roman" w:cs="Times New Roman"/>
                <w:lang w:val="en-GB"/>
              </w:rPr>
              <w:tab/>
              <w:t xml:space="preserve">Teekakirikul P, Zhu W, Huang HC, Fung E. Hypertrophic Cardiomyopathy: An Overview of Genetics and Management. </w:t>
            </w:r>
            <w:r w:rsidRPr="00D95AC0">
              <w:rPr>
                <w:rFonts w:ascii="Times New Roman" w:hAnsi="Times New Roman" w:cs="Times New Roman"/>
                <w:i/>
                <w:lang w:val="en-GB"/>
              </w:rPr>
              <w:t>Biomolecules</w:t>
            </w:r>
            <w:r w:rsidRPr="00D95AC0">
              <w:rPr>
                <w:rFonts w:ascii="Times New Roman" w:hAnsi="Times New Roman" w:cs="Times New Roman"/>
                <w:lang w:val="en-GB"/>
              </w:rPr>
              <w:t>. 2019;9. doi: 10.3390/biom9120878</w:t>
            </w:r>
          </w:p>
          <w:p w14:paraId="56A7BC6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99.</w:t>
            </w:r>
            <w:r w:rsidRPr="00D95AC0">
              <w:rPr>
                <w:rFonts w:ascii="Times New Roman" w:hAnsi="Times New Roman" w:cs="Times New Roman"/>
                <w:lang w:val="en-GB"/>
              </w:rPr>
              <w:tab/>
              <w:t xml:space="preserve">Pierpont ME, Digilio MC. Cardiovascular disease in Noonan syndrome. </w:t>
            </w:r>
            <w:r w:rsidRPr="00D95AC0">
              <w:rPr>
                <w:rFonts w:ascii="Times New Roman" w:hAnsi="Times New Roman" w:cs="Times New Roman"/>
                <w:i/>
                <w:lang w:val="en-GB"/>
              </w:rPr>
              <w:t>Curr Opin Pediatr</w:t>
            </w:r>
            <w:r w:rsidRPr="00D95AC0">
              <w:rPr>
                <w:rFonts w:ascii="Times New Roman" w:hAnsi="Times New Roman" w:cs="Times New Roman"/>
                <w:lang w:val="en-GB"/>
              </w:rPr>
              <w:t>. 2018;30:601-608. doi: 10.1097/MOP.0000000000000669</w:t>
            </w:r>
          </w:p>
          <w:p w14:paraId="7BF30910"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100.</w:t>
            </w:r>
            <w:r w:rsidRPr="00D95AC0">
              <w:rPr>
                <w:rFonts w:ascii="Times New Roman" w:hAnsi="Times New Roman" w:cs="Times New Roman"/>
                <w:lang w:val="en-GB"/>
              </w:rPr>
              <w:tab/>
              <w:t xml:space="preserve">Calcagni G, Adorisio R, Martinelli S, Grutter G, Baban A, Versacci P, Digilio MC, Drago F, Gelb BD, Tartaglia M, et al. Clinical Presentation and Natural History of Hypertrophic Cardiomyopathy in RASopathies. </w:t>
            </w:r>
            <w:r w:rsidRPr="00D95AC0">
              <w:rPr>
                <w:rFonts w:ascii="Times New Roman" w:hAnsi="Times New Roman" w:cs="Times New Roman"/>
                <w:i/>
                <w:lang w:val="en-GB"/>
              </w:rPr>
              <w:t>Heart Fail Clin</w:t>
            </w:r>
            <w:r w:rsidRPr="00D95AC0">
              <w:rPr>
                <w:rFonts w:ascii="Times New Roman" w:hAnsi="Times New Roman" w:cs="Times New Roman"/>
                <w:lang w:val="en-GB"/>
              </w:rPr>
              <w:t>. 2018;14:225-235. doi: 10.1016/j.hfc.2017.12.005</w:t>
            </w:r>
          </w:p>
          <w:p w14:paraId="35AFA89E"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101.</w:t>
            </w:r>
            <w:r w:rsidRPr="00D95AC0">
              <w:rPr>
                <w:rFonts w:ascii="Times New Roman" w:hAnsi="Times New Roman" w:cs="Times New Roman"/>
                <w:lang w:val="en-GB"/>
              </w:rPr>
              <w:tab/>
              <w:t xml:space="preserve">Bayona-Bafaluy MP, Iglesias E, Lopez-Gallardo E, Emperador S, Pacheu-Grau D, Labarta L, Montoya J, Ruiz-Pesini E. Genetic aspects of the oxidative phosphorylation dysfunction in dilated cardiomyopathy. </w:t>
            </w:r>
            <w:r w:rsidRPr="00D95AC0">
              <w:rPr>
                <w:rFonts w:ascii="Times New Roman" w:hAnsi="Times New Roman" w:cs="Times New Roman"/>
                <w:i/>
                <w:lang w:val="en-GB"/>
              </w:rPr>
              <w:t>Mutat Res Rev Mutat Res</w:t>
            </w:r>
            <w:r w:rsidRPr="00D95AC0">
              <w:rPr>
                <w:rFonts w:ascii="Times New Roman" w:hAnsi="Times New Roman" w:cs="Times New Roman"/>
                <w:lang w:val="en-GB"/>
              </w:rPr>
              <w:t>. 2020;786:108334. doi: 10.1016/j.mrrev.2020.108334</w:t>
            </w:r>
          </w:p>
          <w:p w14:paraId="2EE48E5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102.</w:t>
            </w:r>
            <w:r w:rsidRPr="00D95AC0">
              <w:rPr>
                <w:rFonts w:ascii="Times New Roman" w:hAnsi="Times New Roman" w:cs="Times New Roman"/>
                <w:lang w:val="en-GB"/>
              </w:rPr>
              <w:tab/>
              <w:t xml:space="preserve">Padmanabhan S, Dominiczak AF. Genomics of hypertension: the road to precision medicine. </w:t>
            </w:r>
            <w:r w:rsidRPr="00D95AC0">
              <w:rPr>
                <w:rFonts w:ascii="Times New Roman" w:hAnsi="Times New Roman" w:cs="Times New Roman"/>
                <w:i/>
                <w:lang w:val="en-GB"/>
              </w:rPr>
              <w:t>Nat Rev Cardiol</w:t>
            </w:r>
            <w:r w:rsidRPr="00D95AC0">
              <w:rPr>
                <w:rFonts w:ascii="Times New Roman" w:hAnsi="Times New Roman" w:cs="Times New Roman"/>
                <w:lang w:val="en-GB"/>
              </w:rPr>
              <w:t>. 2021;18:235-250. doi: 10.1038/s41569-020-00466-4</w:t>
            </w:r>
          </w:p>
          <w:p w14:paraId="11356A63"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103.</w:t>
            </w:r>
            <w:r w:rsidRPr="00D95AC0">
              <w:rPr>
                <w:rFonts w:ascii="Times New Roman" w:hAnsi="Times New Roman" w:cs="Times New Roman"/>
                <w:lang w:val="en-GB"/>
              </w:rPr>
              <w:tab/>
              <w:t xml:space="preserve">Lip S, Padmanabhan S. Genomics of Blood Pressure and Hypertension: Extending the Mosaic Theory Toward Stratification. </w:t>
            </w:r>
            <w:r w:rsidRPr="00D95AC0">
              <w:rPr>
                <w:rFonts w:ascii="Times New Roman" w:hAnsi="Times New Roman" w:cs="Times New Roman"/>
                <w:i/>
                <w:lang w:val="en-GB"/>
              </w:rPr>
              <w:t>Can J Cardiol</w:t>
            </w:r>
            <w:r w:rsidRPr="00D95AC0">
              <w:rPr>
                <w:rFonts w:ascii="Times New Roman" w:hAnsi="Times New Roman" w:cs="Times New Roman"/>
                <w:lang w:val="en-GB"/>
              </w:rPr>
              <w:t>. 2020;36:694-705. doi: 10.1016/j.cjca.2020.03.001</w:t>
            </w:r>
          </w:p>
          <w:p w14:paraId="493F1615"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104.</w:t>
            </w:r>
            <w:r w:rsidRPr="00D95AC0">
              <w:rPr>
                <w:rFonts w:ascii="Times New Roman" w:hAnsi="Times New Roman" w:cs="Times New Roman"/>
                <w:lang w:val="en-GB"/>
              </w:rPr>
              <w:tab/>
              <w:t xml:space="preserve">Cornu E, Belmihoub I, Burnichon N, Grataloup C, Zinzindohoue F, Baron S, Billaud E, Azizi M, Gimenez-Roqueplo AP, Amar L. [Phaeochromocytoma and paraganglioma]. </w:t>
            </w:r>
            <w:r w:rsidRPr="00D95AC0">
              <w:rPr>
                <w:rFonts w:ascii="Times New Roman" w:hAnsi="Times New Roman" w:cs="Times New Roman"/>
                <w:i/>
                <w:lang w:val="en-GB"/>
              </w:rPr>
              <w:t>Rev Med Interne</w:t>
            </w:r>
            <w:r w:rsidRPr="00D95AC0">
              <w:rPr>
                <w:rFonts w:ascii="Times New Roman" w:hAnsi="Times New Roman" w:cs="Times New Roman"/>
                <w:lang w:val="en-GB"/>
              </w:rPr>
              <w:t>. 2019;40:733-741. doi: 10.1016/j.revmed.2019.07.008</w:t>
            </w:r>
          </w:p>
          <w:p w14:paraId="143EED5D"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105.</w:t>
            </w:r>
            <w:r w:rsidRPr="00D95AC0">
              <w:rPr>
                <w:rFonts w:ascii="Times New Roman" w:hAnsi="Times New Roman" w:cs="Times New Roman"/>
                <w:lang w:val="en-GB"/>
              </w:rPr>
              <w:tab/>
              <w:t xml:space="preserve">Burrello J, Monticone S, Buffolo F, Tetti M, Veglio F, Williams TA, Mulatero P. Is There a Role for Genomics in the Management of Hypertension? </w:t>
            </w:r>
            <w:r w:rsidRPr="00D95AC0">
              <w:rPr>
                <w:rFonts w:ascii="Times New Roman" w:hAnsi="Times New Roman" w:cs="Times New Roman"/>
                <w:i/>
                <w:lang w:val="en-GB"/>
              </w:rPr>
              <w:t>Int J Mol Sci</w:t>
            </w:r>
            <w:r w:rsidRPr="00D95AC0">
              <w:rPr>
                <w:rFonts w:ascii="Times New Roman" w:hAnsi="Times New Roman" w:cs="Times New Roman"/>
                <w:lang w:val="en-GB"/>
              </w:rPr>
              <w:t>. 2017;18. doi: 10.3390/ijms18061131</w:t>
            </w:r>
          </w:p>
          <w:p w14:paraId="4D24B212"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106.</w:t>
            </w:r>
            <w:r w:rsidRPr="00D95AC0">
              <w:rPr>
                <w:rFonts w:ascii="Times New Roman" w:hAnsi="Times New Roman" w:cs="Times New Roman"/>
                <w:lang w:val="en-GB"/>
              </w:rPr>
              <w:tab/>
              <w:t xml:space="preserve">Louca P, Menni C, Padmanabhan S. Genomic Determinants of Hypertension With a Focus on Metabolomics and the Gut Microbiome. </w:t>
            </w:r>
            <w:r w:rsidRPr="00D95AC0">
              <w:rPr>
                <w:rFonts w:ascii="Times New Roman" w:hAnsi="Times New Roman" w:cs="Times New Roman"/>
                <w:i/>
                <w:lang w:val="en-GB"/>
              </w:rPr>
              <w:t>Am J Hypertens</w:t>
            </w:r>
            <w:r w:rsidRPr="00D95AC0">
              <w:rPr>
                <w:rFonts w:ascii="Times New Roman" w:hAnsi="Times New Roman" w:cs="Times New Roman"/>
                <w:lang w:val="en-GB"/>
              </w:rPr>
              <w:t>. 2020;33:473-481. doi: 10.1093/ajh/hpaa022</w:t>
            </w:r>
          </w:p>
          <w:p w14:paraId="13D0399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107.</w:t>
            </w:r>
            <w:r w:rsidRPr="00D95AC0">
              <w:rPr>
                <w:rFonts w:ascii="Times New Roman" w:hAnsi="Times New Roman" w:cs="Times New Roman"/>
                <w:lang w:val="en-GB"/>
              </w:rPr>
              <w:tab/>
              <w:t xml:space="preserve">Seidel E, Schewe J, Scholl UI. Genetic causes of primary aldosteronism. </w:t>
            </w:r>
            <w:r w:rsidRPr="00D95AC0">
              <w:rPr>
                <w:rFonts w:ascii="Times New Roman" w:hAnsi="Times New Roman" w:cs="Times New Roman"/>
                <w:i/>
                <w:lang w:val="en-GB"/>
              </w:rPr>
              <w:t>Exp Mol Med</w:t>
            </w:r>
            <w:r w:rsidRPr="00D95AC0">
              <w:rPr>
                <w:rFonts w:ascii="Times New Roman" w:hAnsi="Times New Roman" w:cs="Times New Roman"/>
                <w:lang w:val="en-GB"/>
              </w:rPr>
              <w:t>. 2019;51:1-12. doi: 10.1038/s12276-019-0337-9</w:t>
            </w:r>
          </w:p>
          <w:p w14:paraId="363E935A"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108.</w:t>
            </w:r>
            <w:r w:rsidRPr="00D95AC0">
              <w:rPr>
                <w:rFonts w:ascii="Times New Roman" w:hAnsi="Times New Roman" w:cs="Times New Roman"/>
                <w:lang w:val="en-GB"/>
              </w:rPr>
              <w:tab/>
              <w:t xml:space="preserve">Seidel E, Scholl UI. Genetic mechanisms of human hypertension and their implications for blood pressure physiology. </w:t>
            </w:r>
            <w:r w:rsidRPr="00D95AC0">
              <w:rPr>
                <w:rFonts w:ascii="Times New Roman" w:hAnsi="Times New Roman" w:cs="Times New Roman"/>
                <w:i/>
                <w:lang w:val="en-GB"/>
              </w:rPr>
              <w:t>Physiol Genomics</w:t>
            </w:r>
            <w:r w:rsidRPr="00D95AC0">
              <w:rPr>
                <w:rFonts w:ascii="Times New Roman" w:hAnsi="Times New Roman" w:cs="Times New Roman"/>
                <w:lang w:val="en-GB"/>
              </w:rPr>
              <w:t>. 2017;49:630-652. doi: 10.1152/physiolgenomics.00032.2017</w:t>
            </w:r>
          </w:p>
          <w:p w14:paraId="19A7A556"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109.</w:t>
            </w:r>
            <w:r w:rsidRPr="00D95AC0">
              <w:rPr>
                <w:rFonts w:ascii="Times New Roman" w:hAnsi="Times New Roman" w:cs="Times New Roman"/>
                <w:lang w:val="en-GB"/>
              </w:rPr>
              <w:tab/>
              <w:t xml:space="preserve">Geller DS. New Developments in the Genetics of Hypertension: What Should Clinicians Know? </w:t>
            </w:r>
            <w:r w:rsidRPr="00D95AC0">
              <w:rPr>
                <w:rFonts w:ascii="Times New Roman" w:hAnsi="Times New Roman" w:cs="Times New Roman"/>
                <w:i/>
                <w:lang w:val="en-GB"/>
              </w:rPr>
              <w:t>Curr Cardiol Rep</w:t>
            </w:r>
            <w:r w:rsidRPr="00D95AC0">
              <w:rPr>
                <w:rFonts w:ascii="Times New Roman" w:hAnsi="Times New Roman" w:cs="Times New Roman"/>
                <w:lang w:val="en-GB"/>
              </w:rPr>
              <w:t>. 2015;17:122. doi: 10.1007/s11886-015-0664-y</w:t>
            </w:r>
          </w:p>
          <w:p w14:paraId="4F7E8C37"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lastRenderedPageBreak/>
              <w:t>110.</w:t>
            </w:r>
            <w:r w:rsidRPr="00D95AC0">
              <w:rPr>
                <w:rFonts w:ascii="Times New Roman" w:hAnsi="Times New Roman" w:cs="Times New Roman"/>
                <w:lang w:val="en-GB"/>
              </w:rPr>
              <w:tab/>
              <w:t xml:space="preserve">Precone V, Krasi G, Guerri G, Stuppia L, Romeo F, Perrone M, Marinelli C, Zulian A, Dallavilla T, Bertelli M. Monogenic hypertension. </w:t>
            </w:r>
            <w:r w:rsidRPr="00D95AC0">
              <w:rPr>
                <w:rFonts w:ascii="Times New Roman" w:hAnsi="Times New Roman" w:cs="Times New Roman"/>
                <w:i/>
                <w:lang w:val="en-GB"/>
              </w:rPr>
              <w:t>Acta Biomed</w:t>
            </w:r>
            <w:r w:rsidRPr="00D95AC0">
              <w:rPr>
                <w:rFonts w:ascii="Times New Roman" w:hAnsi="Times New Roman" w:cs="Times New Roman"/>
                <w:lang w:val="en-GB"/>
              </w:rPr>
              <w:t>. 2019;90:50-52. doi: 10.23750/abm.v90i10-S.8759</w:t>
            </w:r>
          </w:p>
          <w:p w14:paraId="44D5E7C2"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111.</w:t>
            </w:r>
            <w:r w:rsidRPr="00D95AC0">
              <w:rPr>
                <w:rFonts w:ascii="Times New Roman" w:hAnsi="Times New Roman" w:cs="Times New Roman"/>
                <w:lang w:val="en-GB"/>
              </w:rPr>
              <w:tab/>
              <w:t xml:space="preserve">Aggarwal A, Rodriguez-Buritica D. Monogenic Hypertension in Children: A Review With Emphasis on Genetics. </w:t>
            </w:r>
            <w:r w:rsidRPr="00D95AC0">
              <w:rPr>
                <w:rFonts w:ascii="Times New Roman" w:hAnsi="Times New Roman" w:cs="Times New Roman"/>
                <w:i/>
                <w:lang w:val="en-GB"/>
              </w:rPr>
              <w:t>Adv Chronic Kidney Dis</w:t>
            </w:r>
            <w:r w:rsidRPr="00D95AC0">
              <w:rPr>
                <w:rFonts w:ascii="Times New Roman" w:hAnsi="Times New Roman" w:cs="Times New Roman"/>
                <w:lang w:val="en-GB"/>
              </w:rPr>
              <w:t>. 2017;24:372-379. doi: 10.1053/j.ackd.2017.09.006</w:t>
            </w:r>
          </w:p>
          <w:p w14:paraId="5D28C5C8"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112.</w:t>
            </w:r>
            <w:r w:rsidRPr="00D95AC0">
              <w:rPr>
                <w:rFonts w:ascii="Times New Roman" w:hAnsi="Times New Roman" w:cs="Times New Roman"/>
                <w:lang w:val="en-GB"/>
              </w:rPr>
              <w:tab/>
              <w:t xml:space="preserve">Zennaro MC, Boulkroun S, Fernandes-Rosa F. Inherited forms of mineralocorticoid hypertension. </w:t>
            </w:r>
            <w:r w:rsidRPr="00D95AC0">
              <w:rPr>
                <w:rFonts w:ascii="Times New Roman" w:hAnsi="Times New Roman" w:cs="Times New Roman"/>
                <w:i/>
                <w:lang w:val="en-GB"/>
              </w:rPr>
              <w:t>Best Pract Res Clin Endocrinol Metab</w:t>
            </w:r>
            <w:r w:rsidRPr="00D95AC0">
              <w:rPr>
                <w:rFonts w:ascii="Times New Roman" w:hAnsi="Times New Roman" w:cs="Times New Roman"/>
                <w:lang w:val="en-GB"/>
              </w:rPr>
              <w:t>. 2015;29:633-645. doi: 10.1016/j.beem.2015.04.010</w:t>
            </w:r>
          </w:p>
          <w:p w14:paraId="00386E5D"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113.</w:t>
            </w:r>
            <w:r w:rsidRPr="00D95AC0">
              <w:rPr>
                <w:rFonts w:ascii="Times New Roman" w:hAnsi="Times New Roman" w:cs="Times New Roman"/>
                <w:lang w:val="en-GB"/>
              </w:rPr>
              <w:tab/>
              <w:t xml:space="preserve">Dodoo SN, Benjamin IJ. Genomic Approaches to Hypertension. </w:t>
            </w:r>
            <w:r w:rsidRPr="00D95AC0">
              <w:rPr>
                <w:rFonts w:ascii="Times New Roman" w:hAnsi="Times New Roman" w:cs="Times New Roman"/>
                <w:i/>
                <w:lang w:val="en-GB"/>
              </w:rPr>
              <w:t>Cardiol Clin</w:t>
            </w:r>
            <w:r w:rsidRPr="00D95AC0">
              <w:rPr>
                <w:rFonts w:ascii="Times New Roman" w:hAnsi="Times New Roman" w:cs="Times New Roman"/>
                <w:lang w:val="en-GB"/>
              </w:rPr>
              <w:t>. 2017;35:185-196. doi: 10.1016/j.ccl.2016.12.001</w:t>
            </w:r>
          </w:p>
          <w:p w14:paraId="0FEE9E0F"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114.</w:t>
            </w:r>
            <w:r w:rsidRPr="00D95AC0">
              <w:rPr>
                <w:rFonts w:ascii="Times New Roman" w:hAnsi="Times New Roman" w:cs="Times New Roman"/>
                <w:lang w:val="en-GB"/>
              </w:rPr>
              <w:tab/>
              <w:t xml:space="preserve">Luft FC. What Have We Learned from the Genetics of Hypertension? </w:t>
            </w:r>
            <w:r w:rsidRPr="00D95AC0">
              <w:rPr>
                <w:rFonts w:ascii="Times New Roman" w:hAnsi="Times New Roman" w:cs="Times New Roman"/>
                <w:i/>
                <w:lang w:val="en-GB"/>
              </w:rPr>
              <w:t>Med Clin North Am</w:t>
            </w:r>
            <w:r w:rsidRPr="00D95AC0">
              <w:rPr>
                <w:rFonts w:ascii="Times New Roman" w:hAnsi="Times New Roman" w:cs="Times New Roman"/>
                <w:lang w:val="en-GB"/>
              </w:rPr>
              <w:t>. 2017;101:195-206. doi: 10.1016/j.mcna.2016.08.015</w:t>
            </w:r>
          </w:p>
          <w:p w14:paraId="503268BC" w14:textId="77777777" w:rsidR="00FA1D9C" w:rsidRPr="00D95AC0" w:rsidRDefault="00FA1D9C" w:rsidP="0092319D">
            <w:pPr>
              <w:pStyle w:val="EndNoteBibliography"/>
              <w:ind w:left="720" w:hanging="720"/>
              <w:rPr>
                <w:rFonts w:ascii="Times New Roman" w:hAnsi="Times New Roman" w:cs="Times New Roman"/>
                <w:lang w:val="en-GB"/>
              </w:rPr>
            </w:pPr>
            <w:r w:rsidRPr="00D95AC0">
              <w:rPr>
                <w:rFonts w:ascii="Times New Roman" w:hAnsi="Times New Roman" w:cs="Times New Roman"/>
                <w:lang w:val="en-GB"/>
              </w:rPr>
              <w:t>115.</w:t>
            </w:r>
            <w:r w:rsidRPr="00D95AC0">
              <w:rPr>
                <w:rFonts w:ascii="Times New Roman" w:hAnsi="Times New Roman" w:cs="Times New Roman"/>
                <w:lang w:val="en-GB"/>
              </w:rPr>
              <w:tab/>
              <w:t xml:space="preserve">Singh M, Singh AK, Pandey P, Chandra S, Singh KA, Gambhir IS. Molecular genetics of essential hypertension. </w:t>
            </w:r>
            <w:r w:rsidRPr="00D95AC0">
              <w:rPr>
                <w:rFonts w:ascii="Times New Roman" w:hAnsi="Times New Roman" w:cs="Times New Roman"/>
                <w:i/>
                <w:lang w:val="en-GB"/>
              </w:rPr>
              <w:t>Clin Exp Hypertens</w:t>
            </w:r>
            <w:r w:rsidRPr="00D95AC0">
              <w:rPr>
                <w:rFonts w:ascii="Times New Roman" w:hAnsi="Times New Roman" w:cs="Times New Roman"/>
                <w:lang w:val="en-GB"/>
              </w:rPr>
              <w:t>. 2016;38:268-277. doi: 10.3109/10641963.2015.1116543</w:t>
            </w:r>
          </w:p>
          <w:p w14:paraId="38E8E0DA" w14:textId="77777777" w:rsidR="00FA1D9C" w:rsidRPr="00D95AC0" w:rsidRDefault="00FA1D9C" w:rsidP="0092319D">
            <w:pPr>
              <w:contextualSpacing/>
              <w:rPr>
                <w:rFonts w:ascii="Times New Roman" w:eastAsia="Times New Roman" w:hAnsi="Times New Roman" w:cs="Times New Roman"/>
                <w:color w:val="000000"/>
                <w:sz w:val="22"/>
                <w:lang w:val="en-GB"/>
              </w:rPr>
            </w:pPr>
          </w:p>
        </w:tc>
      </w:tr>
    </w:tbl>
    <w:p w14:paraId="751DC383"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sectPr w:rsidR="00FA1D9C" w:rsidRPr="00D95AC0" w:rsidSect="00FA1D9C">
          <w:pgSz w:w="11906" w:h="16838"/>
          <w:pgMar w:top="1417" w:right="1417" w:bottom="1417" w:left="1417" w:header="708" w:footer="708" w:gutter="0"/>
          <w:cols w:space="708"/>
          <w:docGrid w:linePitch="360"/>
        </w:sectPr>
      </w:pPr>
    </w:p>
    <w:tbl>
      <w:tblPr>
        <w:tblW w:w="5812" w:type="dxa"/>
        <w:tblCellMar>
          <w:left w:w="70" w:type="dxa"/>
          <w:right w:w="70" w:type="dxa"/>
        </w:tblCellMar>
        <w:tblLook w:val="04A0" w:firstRow="1" w:lastRow="0" w:firstColumn="1" w:lastColumn="0" w:noHBand="0" w:noVBand="1"/>
      </w:tblPr>
      <w:tblGrid>
        <w:gridCol w:w="1140"/>
        <w:gridCol w:w="2121"/>
        <w:gridCol w:w="2551"/>
      </w:tblGrid>
      <w:tr w:rsidR="00FA1D9C" w:rsidRPr="009072A6" w14:paraId="3771DECE" w14:textId="77777777" w:rsidTr="009072A6">
        <w:trPr>
          <w:trHeight w:val="426"/>
        </w:trPr>
        <w:tc>
          <w:tcPr>
            <w:tcW w:w="5812" w:type="dxa"/>
            <w:gridSpan w:val="3"/>
            <w:tcBorders>
              <w:top w:val="nil"/>
              <w:left w:val="nil"/>
              <w:bottom w:val="nil"/>
              <w:right w:val="nil"/>
            </w:tcBorders>
            <w:shd w:val="clear" w:color="auto" w:fill="FFFFFF" w:themeFill="background1"/>
            <w:noWrap/>
            <w:vAlign w:val="center"/>
          </w:tcPr>
          <w:p w14:paraId="11E27367" w14:textId="77777777" w:rsidR="00FA1D9C" w:rsidRPr="009072A6" w:rsidRDefault="00FA1D9C" w:rsidP="009072A6">
            <w:pPr>
              <w:spacing w:after="0" w:line="240" w:lineRule="auto"/>
              <w:rPr>
                <w:rFonts w:ascii="Times New Roman" w:eastAsia="Times New Roman" w:hAnsi="Times New Roman" w:cs="Times New Roman"/>
                <w:color w:val="FFFFFF"/>
                <w:sz w:val="22"/>
                <w:lang w:eastAsia="sv-SE"/>
              </w:rPr>
            </w:pPr>
            <w:r w:rsidRPr="009072A6">
              <w:rPr>
                <w:rFonts w:ascii="Times New Roman" w:eastAsia="Times New Roman" w:hAnsi="Times New Roman" w:cs="Times New Roman"/>
                <w:b/>
                <w:bCs/>
                <w:sz w:val="22"/>
                <w:lang w:eastAsia="sv-SE"/>
              </w:rPr>
              <w:lastRenderedPageBreak/>
              <w:t xml:space="preserve">Table S2. </w:t>
            </w:r>
            <w:r w:rsidRPr="009072A6">
              <w:rPr>
                <w:rFonts w:ascii="Times New Roman" w:eastAsia="Times New Roman" w:hAnsi="Times New Roman" w:cs="Times New Roman"/>
                <w:sz w:val="22"/>
                <w:lang w:eastAsia="sv-SE"/>
              </w:rPr>
              <w:t>Restrictive panel consisting of genes curated as moderate or higher level of evidence for pathogenicity by ClinGen</w:t>
            </w:r>
          </w:p>
        </w:tc>
      </w:tr>
      <w:tr w:rsidR="00FA1D9C" w:rsidRPr="009072A6" w14:paraId="0B92E30C" w14:textId="77777777" w:rsidTr="009072A6">
        <w:trPr>
          <w:trHeight w:val="426"/>
        </w:trPr>
        <w:tc>
          <w:tcPr>
            <w:tcW w:w="1140" w:type="dxa"/>
            <w:tcBorders>
              <w:top w:val="nil"/>
              <w:left w:val="nil"/>
              <w:bottom w:val="nil"/>
              <w:right w:val="nil"/>
            </w:tcBorders>
            <w:shd w:val="clear" w:color="000000" w:fill="002060"/>
            <w:noWrap/>
            <w:vAlign w:val="center"/>
            <w:hideMark/>
          </w:tcPr>
          <w:p w14:paraId="267D5B01" w14:textId="77777777" w:rsidR="00FA1D9C" w:rsidRPr="009072A6" w:rsidRDefault="00FA1D9C" w:rsidP="009072A6">
            <w:pPr>
              <w:spacing w:after="0" w:line="240" w:lineRule="auto"/>
              <w:rPr>
                <w:rFonts w:ascii="Times New Roman" w:eastAsia="Times New Roman" w:hAnsi="Times New Roman" w:cs="Times New Roman"/>
                <w:b/>
                <w:bCs/>
                <w:color w:val="FFFFFF"/>
                <w:sz w:val="22"/>
                <w:lang w:eastAsia="sv-SE"/>
              </w:rPr>
            </w:pPr>
            <w:r w:rsidRPr="009072A6">
              <w:rPr>
                <w:rFonts w:ascii="Times New Roman" w:eastAsia="Times New Roman" w:hAnsi="Times New Roman" w:cs="Times New Roman"/>
                <w:b/>
                <w:bCs/>
                <w:color w:val="FFFFFF"/>
                <w:sz w:val="22"/>
                <w:lang w:eastAsia="sv-SE"/>
              </w:rPr>
              <w:t>Name</w:t>
            </w:r>
          </w:p>
        </w:tc>
        <w:tc>
          <w:tcPr>
            <w:tcW w:w="2121" w:type="dxa"/>
            <w:tcBorders>
              <w:top w:val="nil"/>
              <w:left w:val="nil"/>
              <w:bottom w:val="nil"/>
              <w:right w:val="nil"/>
            </w:tcBorders>
            <w:shd w:val="clear" w:color="000000" w:fill="002060"/>
            <w:noWrap/>
            <w:vAlign w:val="center"/>
            <w:hideMark/>
          </w:tcPr>
          <w:p w14:paraId="32190ADC" w14:textId="77777777" w:rsidR="00FA1D9C" w:rsidRPr="009072A6" w:rsidRDefault="00FA1D9C" w:rsidP="009072A6">
            <w:pPr>
              <w:spacing w:after="0" w:line="240" w:lineRule="auto"/>
              <w:rPr>
                <w:rFonts w:ascii="Times New Roman" w:eastAsia="Times New Roman" w:hAnsi="Times New Roman" w:cs="Times New Roman"/>
                <w:b/>
                <w:bCs/>
                <w:color w:val="FFFFFF"/>
                <w:sz w:val="22"/>
                <w:lang w:eastAsia="sv-SE"/>
              </w:rPr>
            </w:pPr>
            <w:r w:rsidRPr="009072A6">
              <w:rPr>
                <w:rFonts w:ascii="Times New Roman" w:eastAsia="Times New Roman" w:hAnsi="Times New Roman" w:cs="Times New Roman"/>
                <w:b/>
                <w:bCs/>
                <w:color w:val="FFFFFF"/>
                <w:sz w:val="22"/>
                <w:lang w:eastAsia="sv-SE"/>
              </w:rPr>
              <w:t>Phenotype</w:t>
            </w:r>
          </w:p>
        </w:tc>
        <w:tc>
          <w:tcPr>
            <w:tcW w:w="2551" w:type="dxa"/>
            <w:tcBorders>
              <w:top w:val="nil"/>
              <w:left w:val="nil"/>
              <w:bottom w:val="nil"/>
              <w:right w:val="nil"/>
            </w:tcBorders>
            <w:shd w:val="clear" w:color="000000" w:fill="002060"/>
            <w:noWrap/>
            <w:vAlign w:val="center"/>
            <w:hideMark/>
          </w:tcPr>
          <w:p w14:paraId="05C25711" w14:textId="77777777" w:rsidR="00FA1D9C" w:rsidRPr="009072A6" w:rsidRDefault="00FA1D9C" w:rsidP="009072A6">
            <w:pPr>
              <w:spacing w:after="0" w:line="240" w:lineRule="auto"/>
              <w:rPr>
                <w:rFonts w:ascii="Times New Roman" w:eastAsia="Times New Roman" w:hAnsi="Times New Roman" w:cs="Times New Roman"/>
                <w:b/>
                <w:bCs/>
                <w:color w:val="FFFFFF"/>
                <w:sz w:val="22"/>
                <w:lang w:eastAsia="sv-SE"/>
              </w:rPr>
            </w:pPr>
            <w:r w:rsidRPr="009072A6">
              <w:rPr>
                <w:rFonts w:ascii="Times New Roman" w:eastAsia="Times New Roman" w:hAnsi="Times New Roman" w:cs="Times New Roman"/>
                <w:b/>
                <w:bCs/>
                <w:color w:val="FFFFFF"/>
                <w:sz w:val="22"/>
                <w:lang w:eastAsia="sv-SE"/>
              </w:rPr>
              <w:t>Highest level of evidence</w:t>
            </w:r>
          </w:p>
        </w:tc>
      </w:tr>
      <w:tr w:rsidR="00FA1D9C" w:rsidRPr="009072A6" w14:paraId="5FF03B5D" w14:textId="77777777" w:rsidTr="009072A6">
        <w:trPr>
          <w:trHeight w:val="300"/>
        </w:trPr>
        <w:tc>
          <w:tcPr>
            <w:tcW w:w="1140" w:type="dxa"/>
            <w:tcBorders>
              <w:top w:val="nil"/>
              <w:left w:val="nil"/>
              <w:bottom w:val="nil"/>
              <w:right w:val="nil"/>
            </w:tcBorders>
            <w:shd w:val="clear" w:color="000000" w:fill="FFFFFF"/>
            <w:noWrap/>
            <w:vAlign w:val="bottom"/>
            <w:hideMark/>
          </w:tcPr>
          <w:p w14:paraId="1D1CFBDC"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ACTC1</w:t>
            </w:r>
          </w:p>
        </w:tc>
        <w:tc>
          <w:tcPr>
            <w:tcW w:w="2121" w:type="dxa"/>
            <w:tcBorders>
              <w:top w:val="nil"/>
              <w:left w:val="nil"/>
              <w:bottom w:val="nil"/>
              <w:right w:val="nil"/>
            </w:tcBorders>
            <w:shd w:val="clear" w:color="000000" w:fill="FFFFFF"/>
            <w:noWrap/>
            <w:vAlign w:val="bottom"/>
            <w:hideMark/>
          </w:tcPr>
          <w:p w14:paraId="7BF6D8BF"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DCM, HCM</w:t>
            </w:r>
          </w:p>
        </w:tc>
        <w:tc>
          <w:tcPr>
            <w:tcW w:w="2551" w:type="dxa"/>
            <w:tcBorders>
              <w:top w:val="nil"/>
              <w:left w:val="nil"/>
              <w:bottom w:val="nil"/>
              <w:right w:val="nil"/>
            </w:tcBorders>
            <w:shd w:val="clear" w:color="000000" w:fill="FFFFFF"/>
            <w:noWrap/>
            <w:vAlign w:val="bottom"/>
            <w:hideMark/>
          </w:tcPr>
          <w:p w14:paraId="47E60F92"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Definitive</w:t>
            </w:r>
          </w:p>
        </w:tc>
      </w:tr>
      <w:tr w:rsidR="00FA1D9C" w:rsidRPr="009072A6" w14:paraId="0396B8D0" w14:textId="77777777" w:rsidTr="009072A6">
        <w:trPr>
          <w:trHeight w:val="300"/>
        </w:trPr>
        <w:tc>
          <w:tcPr>
            <w:tcW w:w="1140" w:type="dxa"/>
            <w:tcBorders>
              <w:top w:val="nil"/>
              <w:left w:val="nil"/>
              <w:bottom w:val="nil"/>
              <w:right w:val="nil"/>
            </w:tcBorders>
            <w:shd w:val="clear" w:color="000000" w:fill="FFFFFF"/>
            <w:noWrap/>
            <w:vAlign w:val="bottom"/>
            <w:hideMark/>
          </w:tcPr>
          <w:p w14:paraId="1E224B22"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ACTN2</w:t>
            </w:r>
          </w:p>
        </w:tc>
        <w:tc>
          <w:tcPr>
            <w:tcW w:w="2121" w:type="dxa"/>
            <w:tcBorders>
              <w:top w:val="nil"/>
              <w:left w:val="nil"/>
              <w:bottom w:val="nil"/>
              <w:right w:val="nil"/>
            </w:tcBorders>
            <w:shd w:val="clear" w:color="000000" w:fill="FFFFFF"/>
            <w:noWrap/>
            <w:vAlign w:val="bottom"/>
            <w:hideMark/>
          </w:tcPr>
          <w:p w14:paraId="24A923DB"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DCM, HCM</w:t>
            </w:r>
          </w:p>
        </w:tc>
        <w:tc>
          <w:tcPr>
            <w:tcW w:w="2551" w:type="dxa"/>
            <w:tcBorders>
              <w:top w:val="nil"/>
              <w:left w:val="nil"/>
              <w:bottom w:val="nil"/>
              <w:right w:val="nil"/>
            </w:tcBorders>
            <w:shd w:val="clear" w:color="000000" w:fill="FFFFFF"/>
            <w:noWrap/>
            <w:vAlign w:val="bottom"/>
            <w:hideMark/>
          </w:tcPr>
          <w:p w14:paraId="07D14D7F"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Moderate</w:t>
            </w:r>
          </w:p>
        </w:tc>
      </w:tr>
      <w:tr w:rsidR="00FA1D9C" w:rsidRPr="009072A6" w14:paraId="3E580A8A" w14:textId="77777777" w:rsidTr="009072A6">
        <w:trPr>
          <w:trHeight w:val="300"/>
        </w:trPr>
        <w:tc>
          <w:tcPr>
            <w:tcW w:w="1140" w:type="dxa"/>
            <w:tcBorders>
              <w:top w:val="nil"/>
              <w:left w:val="nil"/>
              <w:bottom w:val="nil"/>
              <w:right w:val="nil"/>
            </w:tcBorders>
            <w:shd w:val="clear" w:color="000000" w:fill="FFFFFF"/>
            <w:noWrap/>
            <w:vAlign w:val="bottom"/>
            <w:hideMark/>
          </w:tcPr>
          <w:p w14:paraId="483CB577"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ALPK3</w:t>
            </w:r>
          </w:p>
        </w:tc>
        <w:tc>
          <w:tcPr>
            <w:tcW w:w="2121" w:type="dxa"/>
            <w:tcBorders>
              <w:top w:val="nil"/>
              <w:left w:val="nil"/>
              <w:bottom w:val="nil"/>
              <w:right w:val="nil"/>
            </w:tcBorders>
            <w:shd w:val="clear" w:color="000000" w:fill="FFFFFF"/>
            <w:noWrap/>
            <w:vAlign w:val="bottom"/>
            <w:hideMark/>
          </w:tcPr>
          <w:p w14:paraId="5C0A6F05"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HCM</w:t>
            </w:r>
          </w:p>
        </w:tc>
        <w:tc>
          <w:tcPr>
            <w:tcW w:w="2551" w:type="dxa"/>
            <w:tcBorders>
              <w:top w:val="nil"/>
              <w:left w:val="nil"/>
              <w:bottom w:val="nil"/>
              <w:right w:val="nil"/>
            </w:tcBorders>
            <w:shd w:val="clear" w:color="000000" w:fill="FFFFFF"/>
            <w:noWrap/>
            <w:vAlign w:val="bottom"/>
            <w:hideMark/>
          </w:tcPr>
          <w:p w14:paraId="1751F606"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Strong</w:t>
            </w:r>
          </w:p>
        </w:tc>
      </w:tr>
      <w:tr w:rsidR="00FA1D9C" w:rsidRPr="009072A6" w14:paraId="7A1E17D6" w14:textId="77777777" w:rsidTr="009072A6">
        <w:trPr>
          <w:trHeight w:val="300"/>
        </w:trPr>
        <w:tc>
          <w:tcPr>
            <w:tcW w:w="1140" w:type="dxa"/>
            <w:tcBorders>
              <w:top w:val="nil"/>
              <w:left w:val="nil"/>
              <w:bottom w:val="nil"/>
              <w:right w:val="nil"/>
            </w:tcBorders>
            <w:shd w:val="clear" w:color="000000" w:fill="FFFFFF"/>
            <w:noWrap/>
            <w:vAlign w:val="bottom"/>
            <w:hideMark/>
          </w:tcPr>
          <w:p w14:paraId="5299191D"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BAG3</w:t>
            </w:r>
          </w:p>
        </w:tc>
        <w:tc>
          <w:tcPr>
            <w:tcW w:w="2121" w:type="dxa"/>
            <w:tcBorders>
              <w:top w:val="nil"/>
              <w:left w:val="nil"/>
              <w:bottom w:val="nil"/>
              <w:right w:val="nil"/>
            </w:tcBorders>
            <w:shd w:val="clear" w:color="000000" w:fill="FFFFFF"/>
            <w:noWrap/>
            <w:vAlign w:val="bottom"/>
            <w:hideMark/>
          </w:tcPr>
          <w:p w14:paraId="5665443A"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DCM, HCM</w:t>
            </w:r>
          </w:p>
        </w:tc>
        <w:tc>
          <w:tcPr>
            <w:tcW w:w="2551" w:type="dxa"/>
            <w:tcBorders>
              <w:top w:val="nil"/>
              <w:left w:val="nil"/>
              <w:bottom w:val="nil"/>
              <w:right w:val="nil"/>
            </w:tcBorders>
            <w:shd w:val="clear" w:color="000000" w:fill="FFFFFF"/>
            <w:noWrap/>
            <w:vAlign w:val="bottom"/>
            <w:hideMark/>
          </w:tcPr>
          <w:p w14:paraId="05F744FB"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Definitive</w:t>
            </w:r>
          </w:p>
        </w:tc>
      </w:tr>
      <w:tr w:rsidR="00FA1D9C" w:rsidRPr="009072A6" w14:paraId="25BD2DDD" w14:textId="77777777" w:rsidTr="009072A6">
        <w:trPr>
          <w:trHeight w:val="300"/>
        </w:trPr>
        <w:tc>
          <w:tcPr>
            <w:tcW w:w="1140" w:type="dxa"/>
            <w:tcBorders>
              <w:top w:val="nil"/>
              <w:left w:val="nil"/>
              <w:bottom w:val="nil"/>
              <w:right w:val="nil"/>
            </w:tcBorders>
            <w:shd w:val="clear" w:color="000000" w:fill="FFFFFF"/>
            <w:noWrap/>
            <w:vAlign w:val="bottom"/>
            <w:hideMark/>
          </w:tcPr>
          <w:p w14:paraId="6F8577F5"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CACNA1C</w:t>
            </w:r>
          </w:p>
        </w:tc>
        <w:tc>
          <w:tcPr>
            <w:tcW w:w="2121" w:type="dxa"/>
            <w:tcBorders>
              <w:top w:val="nil"/>
              <w:left w:val="nil"/>
              <w:bottom w:val="nil"/>
              <w:right w:val="nil"/>
            </w:tcBorders>
            <w:shd w:val="clear" w:color="000000" w:fill="FFFFFF"/>
            <w:noWrap/>
            <w:vAlign w:val="bottom"/>
            <w:hideMark/>
          </w:tcPr>
          <w:p w14:paraId="6E57DEB9"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HCM</w:t>
            </w:r>
          </w:p>
        </w:tc>
        <w:tc>
          <w:tcPr>
            <w:tcW w:w="2551" w:type="dxa"/>
            <w:tcBorders>
              <w:top w:val="nil"/>
              <w:left w:val="nil"/>
              <w:bottom w:val="nil"/>
              <w:right w:val="nil"/>
            </w:tcBorders>
            <w:shd w:val="clear" w:color="000000" w:fill="FFFFFF"/>
            <w:noWrap/>
            <w:vAlign w:val="bottom"/>
            <w:hideMark/>
          </w:tcPr>
          <w:p w14:paraId="3C084EA0"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Definitive</w:t>
            </w:r>
          </w:p>
        </w:tc>
      </w:tr>
      <w:tr w:rsidR="00FA1D9C" w:rsidRPr="009072A6" w14:paraId="46B1B18A" w14:textId="77777777" w:rsidTr="009072A6">
        <w:trPr>
          <w:trHeight w:val="300"/>
        </w:trPr>
        <w:tc>
          <w:tcPr>
            <w:tcW w:w="1140" w:type="dxa"/>
            <w:tcBorders>
              <w:top w:val="nil"/>
              <w:left w:val="nil"/>
              <w:bottom w:val="nil"/>
              <w:right w:val="nil"/>
            </w:tcBorders>
            <w:shd w:val="clear" w:color="000000" w:fill="FFFFFF"/>
            <w:noWrap/>
            <w:vAlign w:val="bottom"/>
            <w:hideMark/>
          </w:tcPr>
          <w:p w14:paraId="659533AD" w14:textId="77777777" w:rsidR="00FA1D9C" w:rsidRPr="009072A6" w:rsidRDefault="00FA1D9C" w:rsidP="009072A6">
            <w:pPr>
              <w:spacing w:after="0" w:line="240" w:lineRule="auto"/>
              <w:rPr>
                <w:rFonts w:ascii="Times New Roman" w:eastAsia="Times New Roman" w:hAnsi="Times New Roman" w:cs="Times New Roman"/>
                <w:i/>
                <w:iCs/>
                <w:color w:val="000000"/>
                <w:sz w:val="22"/>
                <w:lang w:eastAsia="sv-SE"/>
              </w:rPr>
            </w:pPr>
            <w:r w:rsidRPr="009072A6">
              <w:rPr>
                <w:rFonts w:ascii="Times New Roman" w:eastAsia="Times New Roman" w:hAnsi="Times New Roman" w:cs="Times New Roman"/>
                <w:i/>
                <w:iCs/>
                <w:color w:val="000000"/>
                <w:sz w:val="22"/>
                <w:lang w:eastAsia="sv-SE"/>
              </w:rPr>
              <w:t>CSRP3</w:t>
            </w:r>
          </w:p>
        </w:tc>
        <w:tc>
          <w:tcPr>
            <w:tcW w:w="2121" w:type="dxa"/>
            <w:tcBorders>
              <w:top w:val="nil"/>
              <w:left w:val="nil"/>
              <w:bottom w:val="nil"/>
              <w:right w:val="nil"/>
            </w:tcBorders>
            <w:shd w:val="clear" w:color="000000" w:fill="FFFFFF"/>
            <w:noWrap/>
            <w:vAlign w:val="bottom"/>
            <w:hideMark/>
          </w:tcPr>
          <w:p w14:paraId="27EC5D20"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HCM</w:t>
            </w:r>
          </w:p>
        </w:tc>
        <w:tc>
          <w:tcPr>
            <w:tcW w:w="2551" w:type="dxa"/>
            <w:tcBorders>
              <w:top w:val="nil"/>
              <w:left w:val="nil"/>
              <w:bottom w:val="nil"/>
              <w:right w:val="nil"/>
            </w:tcBorders>
            <w:shd w:val="clear" w:color="000000" w:fill="FFFFFF"/>
            <w:noWrap/>
            <w:vAlign w:val="bottom"/>
            <w:hideMark/>
          </w:tcPr>
          <w:p w14:paraId="31BD4FF8" w14:textId="77777777" w:rsidR="00FA1D9C" w:rsidRPr="009072A6" w:rsidRDefault="00FA1D9C" w:rsidP="009072A6">
            <w:pPr>
              <w:spacing w:after="0" w:line="240" w:lineRule="auto"/>
              <w:rPr>
                <w:rFonts w:ascii="Times New Roman" w:eastAsia="Times New Roman" w:hAnsi="Times New Roman" w:cs="Times New Roman"/>
                <w:color w:val="000000"/>
                <w:sz w:val="22"/>
                <w:lang w:eastAsia="sv-SE"/>
              </w:rPr>
            </w:pPr>
            <w:r w:rsidRPr="009072A6">
              <w:rPr>
                <w:rFonts w:ascii="Times New Roman" w:eastAsia="Times New Roman" w:hAnsi="Times New Roman" w:cs="Times New Roman"/>
                <w:color w:val="000000"/>
                <w:sz w:val="22"/>
                <w:lang w:eastAsia="sv-SE"/>
              </w:rPr>
              <w:t>Moderate</w:t>
            </w:r>
          </w:p>
        </w:tc>
      </w:tr>
      <w:tr w:rsidR="00FA1D9C" w:rsidRPr="009072A6" w14:paraId="38283E41" w14:textId="77777777" w:rsidTr="009072A6">
        <w:trPr>
          <w:trHeight w:val="300"/>
        </w:trPr>
        <w:tc>
          <w:tcPr>
            <w:tcW w:w="1140" w:type="dxa"/>
            <w:tcBorders>
              <w:top w:val="nil"/>
              <w:left w:val="nil"/>
              <w:bottom w:val="nil"/>
              <w:right w:val="nil"/>
            </w:tcBorders>
            <w:shd w:val="clear" w:color="000000" w:fill="FFFFFF"/>
            <w:noWrap/>
            <w:vAlign w:val="bottom"/>
            <w:hideMark/>
          </w:tcPr>
          <w:p w14:paraId="29F4C9CF"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DES</w:t>
            </w:r>
          </w:p>
        </w:tc>
        <w:tc>
          <w:tcPr>
            <w:tcW w:w="2121" w:type="dxa"/>
            <w:tcBorders>
              <w:top w:val="nil"/>
              <w:left w:val="nil"/>
              <w:bottom w:val="nil"/>
              <w:right w:val="nil"/>
            </w:tcBorders>
            <w:shd w:val="clear" w:color="000000" w:fill="FFFFFF"/>
            <w:noWrap/>
            <w:vAlign w:val="bottom"/>
            <w:hideMark/>
          </w:tcPr>
          <w:p w14:paraId="2EEED966"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 ARVC</w:t>
            </w:r>
          </w:p>
        </w:tc>
        <w:tc>
          <w:tcPr>
            <w:tcW w:w="2551" w:type="dxa"/>
            <w:tcBorders>
              <w:top w:val="nil"/>
              <w:left w:val="nil"/>
              <w:bottom w:val="nil"/>
              <w:right w:val="nil"/>
            </w:tcBorders>
            <w:shd w:val="clear" w:color="000000" w:fill="FFFFFF"/>
            <w:noWrap/>
            <w:vAlign w:val="bottom"/>
            <w:hideMark/>
          </w:tcPr>
          <w:p w14:paraId="1C16F7A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0621B72A" w14:textId="77777777" w:rsidTr="009072A6">
        <w:trPr>
          <w:trHeight w:val="300"/>
        </w:trPr>
        <w:tc>
          <w:tcPr>
            <w:tcW w:w="1140" w:type="dxa"/>
            <w:tcBorders>
              <w:top w:val="nil"/>
              <w:left w:val="nil"/>
              <w:bottom w:val="nil"/>
              <w:right w:val="nil"/>
            </w:tcBorders>
            <w:shd w:val="clear" w:color="000000" w:fill="FFFFFF"/>
            <w:noWrap/>
            <w:vAlign w:val="bottom"/>
            <w:hideMark/>
          </w:tcPr>
          <w:p w14:paraId="7AE90300"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DSC2</w:t>
            </w:r>
          </w:p>
        </w:tc>
        <w:tc>
          <w:tcPr>
            <w:tcW w:w="2121" w:type="dxa"/>
            <w:tcBorders>
              <w:top w:val="nil"/>
              <w:left w:val="nil"/>
              <w:bottom w:val="nil"/>
              <w:right w:val="nil"/>
            </w:tcBorders>
            <w:shd w:val="clear" w:color="000000" w:fill="FFFFFF"/>
            <w:noWrap/>
            <w:vAlign w:val="bottom"/>
            <w:hideMark/>
          </w:tcPr>
          <w:p w14:paraId="58250A77"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ARVC</w:t>
            </w:r>
          </w:p>
        </w:tc>
        <w:tc>
          <w:tcPr>
            <w:tcW w:w="2551" w:type="dxa"/>
            <w:tcBorders>
              <w:top w:val="nil"/>
              <w:left w:val="nil"/>
              <w:bottom w:val="nil"/>
              <w:right w:val="nil"/>
            </w:tcBorders>
            <w:shd w:val="clear" w:color="000000" w:fill="FFFFFF"/>
            <w:noWrap/>
            <w:vAlign w:val="bottom"/>
            <w:hideMark/>
          </w:tcPr>
          <w:p w14:paraId="200F4DA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74EF350B" w14:textId="77777777" w:rsidTr="009072A6">
        <w:trPr>
          <w:trHeight w:val="300"/>
        </w:trPr>
        <w:tc>
          <w:tcPr>
            <w:tcW w:w="1140" w:type="dxa"/>
            <w:tcBorders>
              <w:top w:val="nil"/>
              <w:left w:val="nil"/>
              <w:bottom w:val="nil"/>
              <w:right w:val="nil"/>
            </w:tcBorders>
            <w:shd w:val="clear" w:color="000000" w:fill="FFFFFF"/>
            <w:noWrap/>
            <w:vAlign w:val="bottom"/>
            <w:hideMark/>
          </w:tcPr>
          <w:p w14:paraId="567C7709"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DSG2</w:t>
            </w:r>
          </w:p>
        </w:tc>
        <w:tc>
          <w:tcPr>
            <w:tcW w:w="2121" w:type="dxa"/>
            <w:tcBorders>
              <w:top w:val="nil"/>
              <w:left w:val="nil"/>
              <w:bottom w:val="nil"/>
              <w:right w:val="nil"/>
            </w:tcBorders>
            <w:shd w:val="clear" w:color="000000" w:fill="FFFFFF"/>
            <w:noWrap/>
            <w:vAlign w:val="bottom"/>
            <w:hideMark/>
          </w:tcPr>
          <w:p w14:paraId="7FEF779F"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ARVC</w:t>
            </w:r>
          </w:p>
        </w:tc>
        <w:tc>
          <w:tcPr>
            <w:tcW w:w="2551" w:type="dxa"/>
            <w:tcBorders>
              <w:top w:val="nil"/>
              <w:left w:val="nil"/>
              <w:bottom w:val="nil"/>
              <w:right w:val="nil"/>
            </w:tcBorders>
            <w:shd w:val="clear" w:color="000000" w:fill="FFFFFF"/>
            <w:noWrap/>
            <w:vAlign w:val="bottom"/>
            <w:hideMark/>
          </w:tcPr>
          <w:p w14:paraId="20CD096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4E23B3F7" w14:textId="77777777" w:rsidTr="009072A6">
        <w:trPr>
          <w:trHeight w:val="300"/>
        </w:trPr>
        <w:tc>
          <w:tcPr>
            <w:tcW w:w="1140" w:type="dxa"/>
            <w:tcBorders>
              <w:top w:val="nil"/>
              <w:left w:val="nil"/>
              <w:bottom w:val="nil"/>
              <w:right w:val="nil"/>
            </w:tcBorders>
            <w:shd w:val="clear" w:color="000000" w:fill="FFFFFF"/>
            <w:noWrap/>
            <w:vAlign w:val="bottom"/>
            <w:hideMark/>
          </w:tcPr>
          <w:p w14:paraId="17D2EBC6"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DSP</w:t>
            </w:r>
          </w:p>
        </w:tc>
        <w:tc>
          <w:tcPr>
            <w:tcW w:w="2121" w:type="dxa"/>
            <w:tcBorders>
              <w:top w:val="nil"/>
              <w:left w:val="nil"/>
              <w:bottom w:val="nil"/>
              <w:right w:val="nil"/>
            </w:tcBorders>
            <w:shd w:val="clear" w:color="000000" w:fill="FFFFFF"/>
            <w:noWrap/>
            <w:vAlign w:val="bottom"/>
            <w:hideMark/>
          </w:tcPr>
          <w:p w14:paraId="11ABB95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ARVC</w:t>
            </w:r>
          </w:p>
        </w:tc>
        <w:tc>
          <w:tcPr>
            <w:tcW w:w="2551" w:type="dxa"/>
            <w:tcBorders>
              <w:top w:val="nil"/>
              <w:left w:val="nil"/>
              <w:bottom w:val="nil"/>
              <w:right w:val="nil"/>
            </w:tcBorders>
            <w:shd w:val="clear" w:color="000000" w:fill="FFFFFF"/>
            <w:noWrap/>
            <w:vAlign w:val="bottom"/>
            <w:hideMark/>
          </w:tcPr>
          <w:p w14:paraId="03F0F64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0AD215E7" w14:textId="77777777" w:rsidTr="009072A6">
        <w:trPr>
          <w:trHeight w:val="300"/>
        </w:trPr>
        <w:tc>
          <w:tcPr>
            <w:tcW w:w="1140" w:type="dxa"/>
            <w:tcBorders>
              <w:top w:val="nil"/>
              <w:left w:val="nil"/>
              <w:bottom w:val="nil"/>
              <w:right w:val="nil"/>
            </w:tcBorders>
            <w:shd w:val="clear" w:color="000000" w:fill="FFFFFF"/>
            <w:noWrap/>
            <w:vAlign w:val="bottom"/>
            <w:hideMark/>
          </w:tcPr>
          <w:p w14:paraId="4ABBE5D8"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FHL1</w:t>
            </w:r>
          </w:p>
        </w:tc>
        <w:tc>
          <w:tcPr>
            <w:tcW w:w="2121" w:type="dxa"/>
            <w:tcBorders>
              <w:top w:val="nil"/>
              <w:left w:val="nil"/>
              <w:bottom w:val="nil"/>
              <w:right w:val="nil"/>
            </w:tcBorders>
            <w:shd w:val="clear" w:color="000000" w:fill="FFFFFF"/>
            <w:noWrap/>
            <w:vAlign w:val="bottom"/>
            <w:hideMark/>
          </w:tcPr>
          <w:p w14:paraId="256D6484"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70B5D5A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2139C748" w14:textId="77777777" w:rsidTr="009072A6">
        <w:trPr>
          <w:trHeight w:val="300"/>
        </w:trPr>
        <w:tc>
          <w:tcPr>
            <w:tcW w:w="1140" w:type="dxa"/>
            <w:tcBorders>
              <w:top w:val="nil"/>
              <w:left w:val="nil"/>
              <w:bottom w:val="nil"/>
              <w:right w:val="nil"/>
            </w:tcBorders>
            <w:shd w:val="clear" w:color="000000" w:fill="FFFFFF"/>
            <w:noWrap/>
            <w:vAlign w:val="bottom"/>
            <w:hideMark/>
          </w:tcPr>
          <w:p w14:paraId="389EF53E"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FLNC</w:t>
            </w:r>
          </w:p>
        </w:tc>
        <w:tc>
          <w:tcPr>
            <w:tcW w:w="2121" w:type="dxa"/>
            <w:tcBorders>
              <w:top w:val="nil"/>
              <w:left w:val="nil"/>
              <w:bottom w:val="nil"/>
              <w:right w:val="nil"/>
            </w:tcBorders>
            <w:shd w:val="clear" w:color="000000" w:fill="FFFFFF"/>
            <w:noWrap/>
            <w:vAlign w:val="bottom"/>
            <w:hideMark/>
          </w:tcPr>
          <w:p w14:paraId="45331973"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5464270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0F9AE5C6" w14:textId="77777777" w:rsidTr="009072A6">
        <w:trPr>
          <w:trHeight w:val="300"/>
        </w:trPr>
        <w:tc>
          <w:tcPr>
            <w:tcW w:w="1140" w:type="dxa"/>
            <w:tcBorders>
              <w:top w:val="nil"/>
              <w:left w:val="nil"/>
              <w:bottom w:val="nil"/>
              <w:right w:val="nil"/>
            </w:tcBorders>
            <w:shd w:val="clear" w:color="000000" w:fill="FFFFFF"/>
            <w:noWrap/>
            <w:vAlign w:val="bottom"/>
            <w:hideMark/>
          </w:tcPr>
          <w:p w14:paraId="409ECE2D"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GLA</w:t>
            </w:r>
          </w:p>
        </w:tc>
        <w:tc>
          <w:tcPr>
            <w:tcW w:w="2121" w:type="dxa"/>
            <w:tcBorders>
              <w:top w:val="nil"/>
              <w:left w:val="nil"/>
              <w:bottom w:val="nil"/>
              <w:right w:val="nil"/>
            </w:tcBorders>
            <w:shd w:val="clear" w:color="000000" w:fill="FFFFFF"/>
            <w:noWrap/>
            <w:vAlign w:val="bottom"/>
            <w:hideMark/>
          </w:tcPr>
          <w:p w14:paraId="275876F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07D849FB"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1C689D02" w14:textId="77777777" w:rsidTr="009072A6">
        <w:trPr>
          <w:trHeight w:val="300"/>
        </w:trPr>
        <w:tc>
          <w:tcPr>
            <w:tcW w:w="1140" w:type="dxa"/>
            <w:tcBorders>
              <w:top w:val="nil"/>
              <w:left w:val="nil"/>
              <w:bottom w:val="nil"/>
              <w:right w:val="nil"/>
            </w:tcBorders>
            <w:shd w:val="clear" w:color="000000" w:fill="FFFFFF"/>
            <w:noWrap/>
            <w:vAlign w:val="bottom"/>
            <w:hideMark/>
          </w:tcPr>
          <w:p w14:paraId="446D8A43"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JPH2</w:t>
            </w:r>
          </w:p>
        </w:tc>
        <w:tc>
          <w:tcPr>
            <w:tcW w:w="2121" w:type="dxa"/>
            <w:tcBorders>
              <w:top w:val="nil"/>
              <w:left w:val="nil"/>
              <w:bottom w:val="nil"/>
              <w:right w:val="nil"/>
            </w:tcBorders>
            <w:shd w:val="clear" w:color="000000" w:fill="FFFFFF"/>
            <w:noWrap/>
            <w:vAlign w:val="bottom"/>
            <w:hideMark/>
          </w:tcPr>
          <w:p w14:paraId="395E020F"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6681CB7E"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Moderate</w:t>
            </w:r>
          </w:p>
        </w:tc>
      </w:tr>
      <w:tr w:rsidR="00FA1D9C" w:rsidRPr="009072A6" w14:paraId="1777BA3F" w14:textId="77777777" w:rsidTr="009072A6">
        <w:trPr>
          <w:trHeight w:val="300"/>
        </w:trPr>
        <w:tc>
          <w:tcPr>
            <w:tcW w:w="1140" w:type="dxa"/>
            <w:tcBorders>
              <w:top w:val="nil"/>
              <w:left w:val="nil"/>
              <w:bottom w:val="nil"/>
              <w:right w:val="nil"/>
            </w:tcBorders>
            <w:shd w:val="clear" w:color="000000" w:fill="FFFFFF"/>
            <w:noWrap/>
            <w:vAlign w:val="bottom"/>
            <w:hideMark/>
          </w:tcPr>
          <w:p w14:paraId="745C0F58"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JUP</w:t>
            </w:r>
          </w:p>
        </w:tc>
        <w:tc>
          <w:tcPr>
            <w:tcW w:w="2121" w:type="dxa"/>
            <w:tcBorders>
              <w:top w:val="nil"/>
              <w:left w:val="nil"/>
              <w:bottom w:val="nil"/>
              <w:right w:val="nil"/>
            </w:tcBorders>
            <w:shd w:val="clear" w:color="000000" w:fill="FFFFFF"/>
            <w:noWrap/>
            <w:vAlign w:val="bottom"/>
            <w:hideMark/>
          </w:tcPr>
          <w:p w14:paraId="0AC596F6"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ARVC</w:t>
            </w:r>
          </w:p>
        </w:tc>
        <w:tc>
          <w:tcPr>
            <w:tcW w:w="2551" w:type="dxa"/>
            <w:tcBorders>
              <w:top w:val="nil"/>
              <w:left w:val="nil"/>
              <w:bottom w:val="nil"/>
              <w:right w:val="nil"/>
            </w:tcBorders>
            <w:shd w:val="clear" w:color="000000" w:fill="FFFFFF"/>
            <w:noWrap/>
            <w:vAlign w:val="bottom"/>
            <w:hideMark/>
          </w:tcPr>
          <w:p w14:paraId="593D15B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45595E5E" w14:textId="77777777" w:rsidTr="009072A6">
        <w:trPr>
          <w:trHeight w:val="300"/>
        </w:trPr>
        <w:tc>
          <w:tcPr>
            <w:tcW w:w="1140" w:type="dxa"/>
            <w:tcBorders>
              <w:top w:val="nil"/>
              <w:left w:val="nil"/>
              <w:bottom w:val="nil"/>
              <w:right w:val="nil"/>
            </w:tcBorders>
            <w:shd w:val="clear" w:color="000000" w:fill="FFFFFF"/>
            <w:noWrap/>
            <w:vAlign w:val="bottom"/>
            <w:hideMark/>
          </w:tcPr>
          <w:p w14:paraId="6730BA68"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LAMP2</w:t>
            </w:r>
          </w:p>
        </w:tc>
        <w:tc>
          <w:tcPr>
            <w:tcW w:w="2121" w:type="dxa"/>
            <w:tcBorders>
              <w:top w:val="nil"/>
              <w:left w:val="nil"/>
              <w:bottom w:val="nil"/>
              <w:right w:val="nil"/>
            </w:tcBorders>
            <w:shd w:val="clear" w:color="000000" w:fill="FFFFFF"/>
            <w:noWrap/>
            <w:vAlign w:val="bottom"/>
            <w:hideMark/>
          </w:tcPr>
          <w:p w14:paraId="536C1879"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74F3BAF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489CF04A" w14:textId="77777777" w:rsidTr="009072A6">
        <w:trPr>
          <w:trHeight w:val="300"/>
        </w:trPr>
        <w:tc>
          <w:tcPr>
            <w:tcW w:w="1140" w:type="dxa"/>
            <w:tcBorders>
              <w:top w:val="nil"/>
              <w:left w:val="nil"/>
              <w:bottom w:val="nil"/>
              <w:right w:val="nil"/>
            </w:tcBorders>
            <w:shd w:val="clear" w:color="000000" w:fill="FFFFFF"/>
            <w:noWrap/>
            <w:vAlign w:val="bottom"/>
            <w:hideMark/>
          </w:tcPr>
          <w:p w14:paraId="108609B4"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LMNA</w:t>
            </w:r>
          </w:p>
        </w:tc>
        <w:tc>
          <w:tcPr>
            <w:tcW w:w="2121" w:type="dxa"/>
            <w:tcBorders>
              <w:top w:val="nil"/>
              <w:left w:val="nil"/>
              <w:bottom w:val="nil"/>
              <w:right w:val="nil"/>
            </w:tcBorders>
            <w:shd w:val="clear" w:color="000000" w:fill="FFFFFF"/>
            <w:noWrap/>
            <w:vAlign w:val="bottom"/>
            <w:hideMark/>
          </w:tcPr>
          <w:p w14:paraId="012EF1C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00FEC374"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3622968F" w14:textId="77777777" w:rsidTr="009072A6">
        <w:trPr>
          <w:trHeight w:val="300"/>
        </w:trPr>
        <w:tc>
          <w:tcPr>
            <w:tcW w:w="1140" w:type="dxa"/>
            <w:tcBorders>
              <w:top w:val="nil"/>
              <w:left w:val="nil"/>
              <w:bottom w:val="nil"/>
              <w:right w:val="nil"/>
            </w:tcBorders>
            <w:shd w:val="clear" w:color="000000" w:fill="FFFFFF"/>
            <w:noWrap/>
            <w:vAlign w:val="bottom"/>
            <w:hideMark/>
          </w:tcPr>
          <w:p w14:paraId="47BB203B"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MYBPC3</w:t>
            </w:r>
          </w:p>
        </w:tc>
        <w:tc>
          <w:tcPr>
            <w:tcW w:w="2121" w:type="dxa"/>
            <w:tcBorders>
              <w:top w:val="nil"/>
              <w:left w:val="nil"/>
              <w:bottom w:val="nil"/>
              <w:right w:val="nil"/>
            </w:tcBorders>
            <w:shd w:val="clear" w:color="000000" w:fill="FFFFFF"/>
            <w:noWrap/>
            <w:vAlign w:val="bottom"/>
            <w:hideMark/>
          </w:tcPr>
          <w:p w14:paraId="70D064C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05B61A7B"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01E6AEFC" w14:textId="77777777" w:rsidTr="009072A6">
        <w:trPr>
          <w:trHeight w:val="300"/>
        </w:trPr>
        <w:tc>
          <w:tcPr>
            <w:tcW w:w="1140" w:type="dxa"/>
            <w:tcBorders>
              <w:top w:val="nil"/>
              <w:left w:val="nil"/>
              <w:bottom w:val="nil"/>
              <w:right w:val="nil"/>
            </w:tcBorders>
            <w:shd w:val="clear" w:color="000000" w:fill="FFFFFF"/>
            <w:noWrap/>
            <w:vAlign w:val="bottom"/>
            <w:hideMark/>
          </w:tcPr>
          <w:p w14:paraId="67F6B66D"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MYH7</w:t>
            </w:r>
          </w:p>
        </w:tc>
        <w:tc>
          <w:tcPr>
            <w:tcW w:w="2121" w:type="dxa"/>
            <w:tcBorders>
              <w:top w:val="nil"/>
              <w:left w:val="nil"/>
              <w:bottom w:val="nil"/>
              <w:right w:val="nil"/>
            </w:tcBorders>
            <w:shd w:val="clear" w:color="000000" w:fill="FFFFFF"/>
            <w:noWrap/>
            <w:vAlign w:val="bottom"/>
            <w:hideMark/>
          </w:tcPr>
          <w:p w14:paraId="7EC1629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5BEF2EE3"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2F1C6010" w14:textId="77777777" w:rsidTr="009072A6">
        <w:trPr>
          <w:trHeight w:val="300"/>
        </w:trPr>
        <w:tc>
          <w:tcPr>
            <w:tcW w:w="1140" w:type="dxa"/>
            <w:tcBorders>
              <w:top w:val="nil"/>
              <w:left w:val="nil"/>
              <w:bottom w:val="nil"/>
              <w:right w:val="nil"/>
            </w:tcBorders>
            <w:shd w:val="clear" w:color="000000" w:fill="FFFFFF"/>
            <w:noWrap/>
            <w:vAlign w:val="bottom"/>
            <w:hideMark/>
          </w:tcPr>
          <w:p w14:paraId="09D397F9"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MYL2</w:t>
            </w:r>
          </w:p>
        </w:tc>
        <w:tc>
          <w:tcPr>
            <w:tcW w:w="2121" w:type="dxa"/>
            <w:tcBorders>
              <w:top w:val="nil"/>
              <w:left w:val="nil"/>
              <w:bottom w:val="nil"/>
              <w:right w:val="nil"/>
            </w:tcBorders>
            <w:shd w:val="clear" w:color="000000" w:fill="FFFFFF"/>
            <w:noWrap/>
            <w:vAlign w:val="bottom"/>
            <w:hideMark/>
          </w:tcPr>
          <w:p w14:paraId="1579D533"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7DF4B04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5ED970A5" w14:textId="77777777" w:rsidTr="009072A6">
        <w:trPr>
          <w:trHeight w:val="300"/>
        </w:trPr>
        <w:tc>
          <w:tcPr>
            <w:tcW w:w="1140" w:type="dxa"/>
            <w:tcBorders>
              <w:top w:val="nil"/>
              <w:left w:val="nil"/>
              <w:bottom w:val="nil"/>
              <w:right w:val="nil"/>
            </w:tcBorders>
            <w:shd w:val="clear" w:color="000000" w:fill="FFFFFF"/>
            <w:noWrap/>
            <w:vAlign w:val="bottom"/>
            <w:hideMark/>
          </w:tcPr>
          <w:p w14:paraId="6E9E1F33"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MYL3</w:t>
            </w:r>
          </w:p>
        </w:tc>
        <w:tc>
          <w:tcPr>
            <w:tcW w:w="2121" w:type="dxa"/>
            <w:tcBorders>
              <w:top w:val="nil"/>
              <w:left w:val="nil"/>
              <w:bottom w:val="nil"/>
              <w:right w:val="nil"/>
            </w:tcBorders>
            <w:shd w:val="clear" w:color="000000" w:fill="FFFFFF"/>
            <w:noWrap/>
            <w:vAlign w:val="bottom"/>
            <w:hideMark/>
          </w:tcPr>
          <w:p w14:paraId="431FDC1E"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384C36A7"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08CF4192" w14:textId="77777777" w:rsidTr="009072A6">
        <w:trPr>
          <w:trHeight w:val="300"/>
        </w:trPr>
        <w:tc>
          <w:tcPr>
            <w:tcW w:w="1140" w:type="dxa"/>
            <w:tcBorders>
              <w:top w:val="nil"/>
              <w:left w:val="nil"/>
              <w:bottom w:val="nil"/>
              <w:right w:val="nil"/>
            </w:tcBorders>
            <w:shd w:val="clear" w:color="000000" w:fill="FFFFFF"/>
            <w:noWrap/>
            <w:vAlign w:val="bottom"/>
            <w:hideMark/>
          </w:tcPr>
          <w:p w14:paraId="56C34AD3"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NEXN</w:t>
            </w:r>
          </w:p>
        </w:tc>
        <w:tc>
          <w:tcPr>
            <w:tcW w:w="2121" w:type="dxa"/>
            <w:tcBorders>
              <w:top w:val="nil"/>
              <w:left w:val="nil"/>
              <w:bottom w:val="nil"/>
              <w:right w:val="nil"/>
            </w:tcBorders>
            <w:shd w:val="clear" w:color="000000" w:fill="FFFFFF"/>
            <w:noWrap/>
            <w:vAlign w:val="bottom"/>
            <w:hideMark/>
          </w:tcPr>
          <w:p w14:paraId="1D1A552D"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16424EA1"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Moderate</w:t>
            </w:r>
          </w:p>
        </w:tc>
      </w:tr>
      <w:tr w:rsidR="00FA1D9C" w:rsidRPr="009072A6" w14:paraId="35A0F396" w14:textId="77777777" w:rsidTr="009072A6">
        <w:trPr>
          <w:trHeight w:val="300"/>
        </w:trPr>
        <w:tc>
          <w:tcPr>
            <w:tcW w:w="1140" w:type="dxa"/>
            <w:tcBorders>
              <w:top w:val="nil"/>
              <w:left w:val="nil"/>
              <w:bottom w:val="nil"/>
              <w:right w:val="nil"/>
            </w:tcBorders>
            <w:shd w:val="clear" w:color="000000" w:fill="FFFFFF"/>
            <w:noWrap/>
            <w:vAlign w:val="bottom"/>
            <w:hideMark/>
          </w:tcPr>
          <w:p w14:paraId="121331AB"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PKP2</w:t>
            </w:r>
          </w:p>
        </w:tc>
        <w:tc>
          <w:tcPr>
            <w:tcW w:w="2121" w:type="dxa"/>
            <w:tcBorders>
              <w:top w:val="nil"/>
              <w:left w:val="nil"/>
              <w:bottom w:val="nil"/>
              <w:right w:val="nil"/>
            </w:tcBorders>
            <w:shd w:val="clear" w:color="000000" w:fill="FFFFFF"/>
            <w:noWrap/>
            <w:vAlign w:val="bottom"/>
            <w:hideMark/>
          </w:tcPr>
          <w:p w14:paraId="0565265F"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ARVC</w:t>
            </w:r>
          </w:p>
        </w:tc>
        <w:tc>
          <w:tcPr>
            <w:tcW w:w="2551" w:type="dxa"/>
            <w:tcBorders>
              <w:top w:val="nil"/>
              <w:left w:val="nil"/>
              <w:bottom w:val="nil"/>
              <w:right w:val="nil"/>
            </w:tcBorders>
            <w:shd w:val="clear" w:color="000000" w:fill="FFFFFF"/>
            <w:noWrap/>
            <w:vAlign w:val="bottom"/>
            <w:hideMark/>
          </w:tcPr>
          <w:p w14:paraId="147DB54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3DEA5328" w14:textId="77777777" w:rsidTr="009072A6">
        <w:trPr>
          <w:trHeight w:val="300"/>
        </w:trPr>
        <w:tc>
          <w:tcPr>
            <w:tcW w:w="1140" w:type="dxa"/>
            <w:tcBorders>
              <w:top w:val="nil"/>
              <w:left w:val="nil"/>
              <w:bottom w:val="nil"/>
              <w:right w:val="nil"/>
            </w:tcBorders>
            <w:shd w:val="clear" w:color="000000" w:fill="FFFFFF"/>
            <w:noWrap/>
            <w:vAlign w:val="bottom"/>
            <w:hideMark/>
          </w:tcPr>
          <w:p w14:paraId="7AAD8633"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PLN</w:t>
            </w:r>
          </w:p>
        </w:tc>
        <w:tc>
          <w:tcPr>
            <w:tcW w:w="2121" w:type="dxa"/>
            <w:tcBorders>
              <w:top w:val="nil"/>
              <w:left w:val="nil"/>
              <w:bottom w:val="nil"/>
              <w:right w:val="nil"/>
            </w:tcBorders>
            <w:shd w:val="clear" w:color="000000" w:fill="FFFFFF"/>
            <w:noWrap/>
            <w:vAlign w:val="bottom"/>
            <w:hideMark/>
          </w:tcPr>
          <w:p w14:paraId="6E02420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 ARVC</w:t>
            </w:r>
          </w:p>
        </w:tc>
        <w:tc>
          <w:tcPr>
            <w:tcW w:w="2551" w:type="dxa"/>
            <w:tcBorders>
              <w:top w:val="nil"/>
              <w:left w:val="nil"/>
              <w:bottom w:val="nil"/>
              <w:right w:val="nil"/>
            </w:tcBorders>
            <w:shd w:val="clear" w:color="000000" w:fill="FFFFFF"/>
            <w:noWrap/>
            <w:vAlign w:val="bottom"/>
            <w:hideMark/>
          </w:tcPr>
          <w:p w14:paraId="67AB9E71"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1BF9816F" w14:textId="77777777" w:rsidTr="009072A6">
        <w:trPr>
          <w:trHeight w:val="300"/>
        </w:trPr>
        <w:tc>
          <w:tcPr>
            <w:tcW w:w="1140" w:type="dxa"/>
            <w:tcBorders>
              <w:top w:val="nil"/>
              <w:left w:val="nil"/>
              <w:bottom w:val="nil"/>
              <w:right w:val="nil"/>
            </w:tcBorders>
            <w:shd w:val="clear" w:color="000000" w:fill="FFFFFF"/>
            <w:noWrap/>
            <w:vAlign w:val="bottom"/>
            <w:hideMark/>
          </w:tcPr>
          <w:p w14:paraId="6184F3E8"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PRKAG2</w:t>
            </w:r>
          </w:p>
        </w:tc>
        <w:tc>
          <w:tcPr>
            <w:tcW w:w="2121" w:type="dxa"/>
            <w:tcBorders>
              <w:top w:val="nil"/>
              <w:left w:val="nil"/>
              <w:bottom w:val="nil"/>
              <w:right w:val="nil"/>
            </w:tcBorders>
            <w:shd w:val="clear" w:color="000000" w:fill="FFFFFF"/>
            <w:noWrap/>
            <w:vAlign w:val="bottom"/>
            <w:hideMark/>
          </w:tcPr>
          <w:p w14:paraId="448DE4F8"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1295E832"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6EC917F6" w14:textId="77777777" w:rsidTr="009072A6">
        <w:trPr>
          <w:trHeight w:val="300"/>
        </w:trPr>
        <w:tc>
          <w:tcPr>
            <w:tcW w:w="1140" w:type="dxa"/>
            <w:tcBorders>
              <w:top w:val="nil"/>
              <w:left w:val="nil"/>
              <w:bottom w:val="nil"/>
              <w:right w:val="nil"/>
            </w:tcBorders>
            <w:shd w:val="clear" w:color="000000" w:fill="FFFFFF"/>
            <w:noWrap/>
            <w:vAlign w:val="bottom"/>
            <w:hideMark/>
          </w:tcPr>
          <w:p w14:paraId="4DE74CCD"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PTPN11</w:t>
            </w:r>
          </w:p>
        </w:tc>
        <w:tc>
          <w:tcPr>
            <w:tcW w:w="2121" w:type="dxa"/>
            <w:tcBorders>
              <w:top w:val="nil"/>
              <w:left w:val="nil"/>
              <w:bottom w:val="nil"/>
              <w:right w:val="nil"/>
            </w:tcBorders>
            <w:shd w:val="clear" w:color="000000" w:fill="FFFFFF"/>
            <w:noWrap/>
            <w:vAlign w:val="bottom"/>
            <w:hideMark/>
          </w:tcPr>
          <w:p w14:paraId="3D7A274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124150E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6CE0D378" w14:textId="77777777" w:rsidTr="009072A6">
        <w:trPr>
          <w:trHeight w:val="300"/>
        </w:trPr>
        <w:tc>
          <w:tcPr>
            <w:tcW w:w="1140" w:type="dxa"/>
            <w:tcBorders>
              <w:top w:val="nil"/>
              <w:left w:val="nil"/>
              <w:bottom w:val="nil"/>
              <w:right w:val="nil"/>
            </w:tcBorders>
            <w:shd w:val="clear" w:color="000000" w:fill="FFFFFF"/>
            <w:noWrap/>
            <w:vAlign w:val="bottom"/>
            <w:hideMark/>
          </w:tcPr>
          <w:p w14:paraId="33A9301B"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RAF1</w:t>
            </w:r>
          </w:p>
        </w:tc>
        <w:tc>
          <w:tcPr>
            <w:tcW w:w="2121" w:type="dxa"/>
            <w:tcBorders>
              <w:top w:val="nil"/>
              <w:left w:val="nil"/>
              <w:bottom w:val="nil"/>
              <w:right w:val="nil"/>
            </w:tcBorders>
            <w:shd w:val="clear" w:color="000000" w:fill="FFFFFF"/>
            <w:noWrap/>
            <w:vAlign w:val="bottom"/>
            <w:hideMark/>
          </w:tcPr>
          <w:p w14:paraId="7CA73979"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3654C39B"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38538E0D" w14:textId="77777777" w:rsidTr="009072A6">
        <w:trPr>
          <w:trHeight w:val="300"/>
        </w:trPr>
        <w:tc>
          <w:tcPr>
            <w:tcW w:w="1140" w:type="dxa"/>
            <w:tcBorders>
              <w:top w:val="nil"/>
              <w:left w:val="nil"/>
              <w:bottom w:val="nil"/>
              <w:right w:val="nil"/>
            </w:tcBorders>
            <w:shd w:val="clear" w:color="000000" w:fill="FFFFFF"/>
            <w:noWrap/>
            <w:vAlign w:val="bottom"/>
            <w:hideMark/>
          </w:tcPr>
          <w:p w14:paraId="081D8B59"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RBM20</w:t>
            </w:r>
          </w:p>
        </w:tc>
        <w:tc>
          <w:tcPr>
            <w:tcW w:w="2121" w:type="dxa"/>
            <w:tcBorders>
              <w:top w:val="nil"/>
              <w:left w:val="nil"/>
              <w:bottom w:val="nil"/>
              <w:right w:val="nil"/>
            </w:tcBorders>
            <w:shd w:val="clear" w:color="000000" w:fill="FFFFFF"/>
            <w:noWrap/>
            <w:vAlign w:val="bottom"/>
            <w:hideMark/>
          </w:tcPr>
          <w:p w14:paraId="70778668"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346C4303"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78DF1E33" w14:textId="77777777" w:rsidTr="009072A6">
        <w:trPr>
          <w:trHeight w:val="300"/>
        </w:trPr>
        <w:tc>
          <w:tcPr>
            <w:tcW w:w="1140" w:type="dxa"/>
            <w:tcBorders>
              <w:top w:val="nil"/>
              <w:left w:val="nil"/>
              <w:bottom w:val="nil"/>
              <w:right w:val="nil"/>
            </w:tcBorders>
            <w:shd w:val="clear" w:color="000000" w:fill="FFFFFF"/>
            <w:noWrap/>
            <w:vAlign w:val="bottom"/>
            <w:hideMark/>
          </w:tcPr>
          <w:p w14:paraId="787D58E5"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RIT1</w:t>
            </w:r>
          </w:p>
        </w:tc>
        <w:tc>
          <w:tcPr>
            <w:tcW w:w="2121" w:type="dxa"/>
            <w:tcBorders>
              <w:top w:val="nil"/>
              <w:left w:val="nil"/>
              <w:bottom w:val="nil"/>
              <w:right w:val="nil"/>
            </w:tcBorders>
            <w:shd w:val="clear" w:color="000000" w:fill="FFFFFF"/>
            <w:noWrap/>
            <w:vAlign w:val="bottom"/>
            <w:hideMark/>
          </w:tcPr>
          <w:p w14:paraId="7BC830AA"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49FFE41E"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41C4AA6A" w14:textId="77777777" w:rsidTr="009072A6">
        <w:trPr>
          <w:trHeight w:val="300"/>
        </w:trPr>
        <w:tc>
          <w:tcPr>
            <w:tcW w:w="1140" w:type="dxa"/>
            <w:tcBorders>
              <w:top w:val="nil"/>
              <w:left w:val="nil"/>
              <w:bottom w:val="nil"/>
              <w:right w:val="nil"/>
            </w:tcBorders>
            <w:shd w:val="clear" w:color="000000" w:fill="FFFFFF"/>
            <w:noWrap/>
            <w:vAlign w:val="bottom"/>
            <w:hideMark/>
          </w:tcPr>
          <w:p w14:paraId="2296796C"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SCN5A</w:t>
            </w:r>
          </w:p>
        </w:tc>
        <w:tc>
          <w:tcPr>
            <w:tcW w:w="2121" w:type="dxa"/>
            <w:tcBorders>
              <w:top w:val="nil"/>
              <w:left w:val="nil"/>
              <w:bottom w:val="nil"/>
              <w:right w:val="nil"/>
            </w:tcBorders>
            <w:shd w:val="clear" w:color="000000" w:fill="FFFFFF"/>
            <w:noWrap/>
            <w:vAlign w:val="bottom"/>
            <w:hideMark/>
          </w:tcPr>
          <w:p w14:paraId="01BCF77C"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496EFBF4"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2EF868C2" w14:textId="77777777" w:rsidTr="009072A6">
        <w:trPr>
          <w:trHeight w:val="300"/>
        </w:trPr>
        <w:tc>
          <w:tcPr>
            <w:tcW w:w="1140" w:type="dxa"/>
            <w:tcBorders>
              <w:top w:val="nil"/>
              <w:left w:val="nil"/>
              <w:bottom w:val="nil"/>
              <w:right w:val="nil"/>
            </w:tcBorders>
            <w:shd w:val="clear" w:color="000000" w:fill="FFFFFF"/>
            <w:noWrap/>
            <w:vAlign w:val="bottom"/>
            <w:hideMark/>
          </w:tcPr>
          <w:p w14:paraId="30CA8F22"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TMEM43</w:t>
            </w:r>
          </w:p>
        </w:tc>
        <w:tc>
          <w:tcPr>
            <w:tcW w:w="2121" w:type="dxa"/>
            <w:tcBorders>
              <w:top w:val="nil"/>
              <w:left w:val="nil"/>
              <w:bottom w:val="nil"/>
              <w:right w:val="nil"/>
            </w:tcBorders>
            <w:shd w:val="clear" w:color="000000" w:fill="FFFFFF"/>
            <w:noWrap/>
            <w:vAlign w:val="bottom"/>
            <w:hideMark/>
          </w:tcPr>
          <w:p w14:paraId="65E1D108"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ARVC</w:t>
            </w:r>
          </w:p>
        </w:tc>
        <w:tc>
          <w:tcPr>
            <w:tcW w:w="2551" w:type="dxa"/>
            <w:tcBorders>
              <w:top w:val="nil"/>
              <w:left w:val="nil"/>
              <w:bottom w:val="nil"/>
              <w:right w:val="nil"/>
            </w:tcBorders>
            <w:shd w:val="clear" w:color="000000" w:fill="FFFFFF"/>
            <w:noWrap/>
            <w:vAlign w:val="bottom"/>
            <w:hideMark/>
          </w:tcPr>
          <w:p w14:paraId="231D1D43"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72C1507B" w14:textId="77777777" w:rsidTr="009072A6">
        <w:trPr>
          <w:trHeight w:val="300"/>
        </w:trPr>
        <w:tc>
          <w:tcPr>
            <w:tcW w:w="1140" w:type="dxa"/>
            <w:tcBorders>
              <w:top w:val="nil"/>
              <w:left w:val="nil"/>
              <w:bottom w:val="nil"/>
              <w:right w:val="nil"/>
            </w:tcBorders>
            <w:shd w:val="clear" w:color="000000" w:fill="FFFFFF"/>
            <w:noWrap/>
            <w:vAlign w:val="bottom"/>
            <w:hideMark/>
          </w:tcPr>
          <w:p w14:paraId="0AD7B704"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TNNC1</w:t>
            </w:r>
          </w:p>
        </w:tc>
        <w:tc>
          <w:tcPr>
            <w:tcW w:w="2121" w:type="dxa"/>
            <w:tcBorders>
              <w:top w:val="nil"/>
              <w:left w:val="nil"/>
              <w:bottom w:val="nil"/>
              <w:right w:val="nil"/>
            </w:tcBorders>
            <w:shd w:val="clear" w:color="000000" w:fill="FFFFFF"/>
            <w:noWrap/>
            <w:vAlign w:val="bottom"/>
            <w:hideMark/>
          </w:tcPr>
          <w:p w14:paraId="1094D472"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38A6D189"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6C44920B" w14:textId="77777777" w:rsidTr="009072A6">
        <w:trPr>
          <w:trHeight w:val="300"/>
        </w:trPr>
        <w:tc>
          <w:tcPr>
            <w:tcW w:w="1140" w:type="dxa"/>
            <w:tcBorders>
              <w:top w:val="nil"/>
              <w:left w:val="nil"/>
              <w:bottom w:val="nil"/>
              <w:right w:val="nil"/>
            </w:tcBorders>
            <w:shd w:val="clear" w:color="000000" w:fill="FFFFFF"/>
            <w:noWrap/>
            <w:vAlign w:val="bottom"/>
            <w:hideMark/>
          </w:tcPr>
          <w:p w14:paraId="7D39651B"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TNNI3</w:t>
            </w:r>
          </w:p>
        </w:tc>
        <w:tc>
          <w:tcPr>
            <w:tcW w:w="2121" w:type="dxa"/>
            <w:tcBorders>
              <w:top w:val="nil"/>
              <w:left w:val="nil"/>
              <w:bottom w:val="nil"/>
              <w:right w:val="nil"/>
            </w:tcBorders>
            <w:shd w:val="clear" w:color="000000" w:fill="FFFFFF"/>
            <w:noWrap/>
            <w:vAlign w:val="bottom"/>
            <w:hideMark/>
          </w:tcPr>
          <w:p w14:paraId="1DE8C8B4"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066859AA"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7F00B26D" w14:textId="77777777" w:rsidTr="009072A6">
        <w:trPr>
          <w:trHeight w:val="300"/>
        </w:trPr>
        <w:tc>
          <w:tcPr>
            <w:tcW w:w="1140" w:type="dxa"/>
            <w:tcBorders>
              <w:top w:val="nil"/>
              <w:left w:val="nil"/>
              <w:bottom w:val="nil"/>
              <w:right w:val="nil"/>
            </w:tcBorders>
            <w:shd w:val="clear" w:color="000000" w:fill="FFFFFF"/>
            <w:noWrap/>
            <w:vAlign w:val="bottom"/>
            <w:hideMark/>
          </w:tcPr>
          <w:p w14:paraId="1DA38E2F"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TNNT2</w:t>
            </w:r>
          </w:p>
        </w:tc>
        <w:tc>
          <w:tcPr>
            <w:tcW w:w="2121" w:type="dxa"/>
            <w:tcBorders>
              <w:top w:val="nil"/>
              <w:left w:val="nil"/>
              <w:bottom w:val="nil"/>
              <w:right w:val="nil"/>
            </w:tcBorders>
            <w:shd w:val="clear" w:color="000000" w:fill="FFFFFF"/>
            <w:noWrap/>
            <w:vAlign w:val="bottom"/>
            <w:hideMark/>
          </w:tcPr>
          <w:p w14:paraId="269260FD"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589FA16D"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4A124770" w14:textId="77777777" w:rsidTr="009072A6">
        <w:trPr>
          <w:trHeight w:val="300"/>
        </w:trPr>
        <w:tc>
          <w:tcPr>
            <w:tcW w:w="1140" w:type="dxa"/>
            <w:tcBorders>
              <w:top w:val="nil"/>
              <w:left w:val="nil"/>
              <w:bottom w:val="nil"/>
              <w:right w:val="nil"/>
            </w:tcBorders>
            <w:shd w:val="clear" w:color="000000" w:fill="FFFFFF"/>
            <w:noWrap/>
            <w:vAlign w:val="bottom"/>
            <w:hideMark/>
          </w:tcPr>
          <w:p w14:paraId="58CA0C03"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TPM1</w:t>
            </w:r>
          </w:p>
        </w:tc>
        <w:tc>
          <w:tcPr>
            <w:tcW w:w="2121" w:type="dxa"/>
            <w:tcBorders>
              <w:top w:val="nil"/>
              <w:left w:val="nil"/>
              <w:bottom w:val="nil"/>
              <w:right w:val="nil"/>
            </w:tcBorders>
            <w:shd w:val="clear" w:color="000000" w:fill="FFFFFF"/>
            <w:noWrap/>
            <w:vAlign w:val="bottom"/>
            <w:hideMark/>
          </w:tcPr>
          <w:p w14:paraId="5A3BB837"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 HCM</w:t>
            </w:r>
          </w:p>
        </w:tc>
        <w:tc>
          <w:tcPr>
            <w:tcW w:w="2551" w:type="dxa"/>
            <w:tcBorders>
              <w:top w:val="nil"/>
              <w:left w:val="nil"/>
              <w:bottom w:val="nil"/>
              <w:right w:val="nil"/>
            </w:tcBorders>
            <w:shd w:val="clear" w:color="000000" w:fill="FFFFFF"/>
            <w:noWrap/>
            <w:vAlign w:val="bottom"/>
            <w:hideMark/>
          </w:tcPr>
          <w:p w14:paraId="4016E9C0"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75170725" w14:textId="77777777" w:rsidTr="009072A6">
        <w:trPr>
          <w:trHeight w:val="300"/>
        </w:trPr>
        <w:tc>
          <w:tcPr>
            <w:tcW w:w="1140" w:type="dxa"/>
            <w:tcBorders>
              <w:top w:val="nil"/>
              <w:left w:val="nil"/>
              <w:bottom w:val="nil"/>
              <w:right w:val="nil"/>
            </w:tcBorders>
            <w:shd w:val="clear" w:color="000000" w:fill="FFFFFF"/>
            <w:noWrap/>
            <w:vAlign w:val="bottom"/>
            <w:hideMark/>
          </w:tcPr>
          <w:p w14:paraId="3A4B619D"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TTN</w:t>
            </w:r>
          </w:p>
        </w:tc>
        <w:tc>
          <w:tcPr>
            <w:tcW w:w="2121" w:type="dxa"/>
            <w:tcBorders>
              <w:top w:val="nil"/>
              <w:left w:val="nil"/>
              <w:bottom w:val="nil"/>
              <w:right w:val="nil"/>
            </w:tcBorders>
            <w:shd w:val="clear" w:color="000000" w:fill="FFFFFF"/>
            <w:noWrap/>
            <w:vAlign w:val="bottom"/>
            <w:hideMark/>
          </w:tcPr>
          <w:p w14:paraId="78EC9A46"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27E77242"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167EEE3B" w14:textId="77777777" w:rsidTr="009072A6">
        <w:trPr>
          <w:trHeight w:val="300"/>
        </w:trPr>
        <w:tc>
          <w:tcPr>
            <w:tcW w:w="1140" w:type="dxa"/>
            <w:tcBorders>
              <w:top w:val="nil"/>
              <w:left w:val="nil"/>
              <w:bottom w:val="nil"/>
              <w:right w:val="nil"/>
            </w:tcBorders>
            <w:shd w:val="clear" w:color="000000" w:fill="FFFFFF"/>
            <w:noWrap/>
            <w:vAlign w:val="bottom"/>
            <w:hideMark/>
          </w:tcPr>
          <w:p w14:paraId="0F7A06FD"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TTR</w:t>
            </w:r>
          </w:p>
        </w:tc>
        <w:tc>
          <w:tcPr>
            <w:tcW w:w="2121" w:type="dxa"/>
            <w:tcBorders>
              <w:top w:val="nil"/>
              <w:left w:val="nil"/>
              <w:bottom w:val="nil"/>
              <w:right w:val="nil"/>
            </w:tcBorders>
            <w:shd w:val="clear" w:color="000000" w:fill="FFFFFF"/>
            <w:noWrap/>
            <w:vAlign w:val="bottom"/>
            <w:hideMark/>
          </w:tcPr>
          <w:p w14:paraId="576AC4CB"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HCM</w:t>
            </w:r>
          </w:p>
        </w:tc>
        <w:tc>
          <w:tcPr>
            <w:tcW w:w="2551" w:type="dxa"/>
            <w:tcBorders>
              <w:top w:val="nil"/>
              <w:left w:val="nil"/>
              <w:bottom w:val="nil"/>
              <w:right w:val="nil"/>
            </w:tcBorders>
            <w:shd w:val="clear" w:color="000000" w:fill="FFFFFF"/>
            <w:noWrap/>
            <w:vAlign w:val="bottom"/>
            <w:hideMark/>
          </w:tcPr>
          <w:p w14:paraId="360C7205"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Definitive</w:t>
            </w:r>
          </w:p>
        </w:tc>
      </w:tr>
      <w:tr w:rsidR="00FA1D9C" w:rsidRPr="009072A6" w14:paraId="39CE4752" w14:textId="77777777" w:rsidTr="009072A6">
        <w:trPr>
          <w:trHeight w:val="300"/>
        </w:trPr>
        <w:tc>
          <w:tcPr>
            <w:tcW w:w="1140" w:type="dxa"/>
            <w:tcBorders>
              <w:top w:val="nil"/>
              <w:left w:val="nil"/>
              <w:bottom w:val="nil"/>
              <w:right w:val="nil"/>
            </w:tcBorders>
            <w:shd w:val="clear" w:color="000000" w:fill="FFFFFF"/>
            <w:noWrap/>
            <w:vAlign w:val="bottom"/>
            <w:hideMark/>
          </w:tcPr>
          <w:p w14:paraId="1E85FAB1" w14:textId="77777777" w:rsidR="00FA1D9C" w:rsidRPr="009072A6" w:rsidRDefault="00FA1D9C" w:rsidP="009072A6">
            <w:pPr>
              <w:spacing w:after="0" w:line="240" w:lineRule="auto"/>
              <w:rPr>
                <w:rFonts w:ascii="Times New Roman" w:eastAsia="Times New Roman" w:hAnsi="Times New Roman" w:cs="Times New Roman"/>
                <w:i/>
                <w:iCs/>
                <w:color w:val="000000"/>
                <w:sz w:val="22"/>
                <w:lang w:val="sv-SE" w:eastAsia="sv-SE"/>
              </w:rPr>
            </w:pPr>
            <w:r w:rsidRPr="009072A6">
              <w:rPr>
                <w:rFonts w:ascii="Times New Roman" w:eastAsia="Times New Roman" w:hAnsi="Times New Roman" w:cs="Times New Roman"/>
                <w:i/>
                <w:iCs/>
                <w:color w:val="000000"/>
                <w:sz w:val="22"/>
                <w:lang w:val="sv-SE" w:eastAsia="sv-SE"/>
              </w:rPr>
              <w:t>VCL</w:t>
            </w:r>
          </w:p>
        </w:tc>
        <w:tc>
          <w:tcPr>
            <w:tcW w:w="2121" w:type="dxa"/>
            <w:tcBorders>
              <w:top w:val="nil"/>
              <w:left w:val="nil"/>
              <w:bottom w:val="nil"/>
              <w:right w:val="nil"/>
            </w:tcBorders>
            <w:shd w:val="clear" w:color="000000" w:fill="FFFFFF"/>
            <w:noWrap/>
            <w:vAlign w:val="bottom"/>
            <w:hideMark/>
          </w:tcPr>
          <w:p w14:paraId="14EF270E"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DCM</w:t>
            </w:r>
          </w:p>
        </w:tc>
        <w:tc>
          <w:tcPr>
            <w:tcW w:w="2551" w:type="dxa"/>
            <w:tcBorders>
              <w:top w:val="nil"/>
              <w:left w:val="nil"/>
              <w:bottom w:val="nil"/>
              <w:right w:val="nil"/>
            </w:tcBorders>
            <w:shd w:val="clear" w:color="000000" w:fill="FFFFFF"/>
            <w:noWrap/>
            <w:vAlign w:val="bottom"/>
            <w:hideMark/>
          </w:tcPr>
          <w:p w14:paraId="35B9F3E4" w14:textId="77777777" w:rsidR="00FA1D9C" w:rsidRPr="009072A6" w:rsidRDefault="00FA1D9C" w:rsidP="009072A6">
            <w:pPr>
              <w:spacing w:after="0" w:line="240" w:lineRule="auto"/>
              <w:rPr>
                <w:rFonts w:ascii="Times New Roman" w:eastAsia="Times New Roman" w:hAnsi="Times New Roman" w:cs="Times New Roman"/>
                <w:color w:val="000000"/>
                <w:sz w:val="22"/>
                <w:lang w:val="sv-SE" w:eastAsia="sv-SE"/>
              </w:rPr>
            </w:pPr>
            <w:r w:rsidRPr="009072A6">
              <w:rPr>
                <w:rFonts w:ascii="Times New Roman" w:eastAsia="Times New Roman" w:hAnsi="Times New Roman" w:cs="Times New Roman"/>
                <w:color w:val="000000"/>
                <w:sz w:val="22"/>
                <w:lang w:val="sv-SE" w:eastAsia="sv-SE"/>
              </w:rPr>
              <w:t>Moderate</w:t>
            </w:r>
          </w:p>
        </w:tc>
      </w:tr>
    </w:tbl>
    <w:p w14:paraId="3992F84B" w14:textId="77777777" w:rsidR="00FA1D9C" w:rsidRDefault="00FA1D9C">
      <w:r>
        <w:br w:type="page"/>
      </w:r>
    </w:p>
    <w:tbl>
      <w:tblPr>
        <w:tblW w:w="7311" w:type="dxa"/>
        <w:tblLook w:val="04A0" w:firstRow="1" w:lastRow="0" w:firstColumn="1" w:lastColumn="0" w:noHBand="0" w:noVBand="1"/>
      </w:tblPr>
      <w:tblGrid>
        <w:gridCol w:w="2552"/>
        <w:gridCol w:w="2131"/>
        <w:gridCol w:w="2628"/>
      </w:tblGrid>
      <w:tr w:rsidR="00FA1D9C" w:rsidRPr="00310CC2" w14:paraId="44F9222E" w14:textId="77777777" w:rsidTr="00AF7ECF">
        <w:trPr>
          <w:trHeight w:val="416"/>
        </w:trPr>
        <w:tc>
          <w:tcPr>
            <w:tcW w:w="7311" w:type="dxa"/>
            <w:gridSpan w:val="3"/>
            <w:shd w:val="clear" w:color="000000" w:fill="FFFFFF"/>
            <w:noWrap/>
            <w:vAlign w:val="center"/>
            <w:hideMark/>
          </w:tcPr>
          <w:p w14:paraId="564C377A" w14:textId="75CECD27" w:rsidR="00FA1D9C" w:rsidRPr="00D95AC0" w:rsidRDefault="00FA1D9C" w:rsidP="0092319D">
            <w:pPr>
              <w:spacing w:after="0" w:line="240" w:lineRule="auto"/>
              <w:rPr>
                <w:rFonts w:ascii="Times New Roman" w:eastAsia="Times New Roman" w:hAnsi="Times New Roman" w:cs="Times New Roman"/>
                <w:b/>
                <w:bCs/>
                <w:color w:val="000000"/>
                <w:sz w:val="22"/>
                <w:lang w:val="en-GB"/>
              </w:rPr>
            </w:pPr>
            <w:r w:rsidRPr="00D95AC0">
              <w:rPr>
                <w:rFonts w:ascii="Times New Roman" w:eastAsia="Times New Roman" w:hAnsi="Times New Roman" w:cs="Times New Roman"/>
                <w:b/>
                <w:bCs/>
                <w:color w:val="000000"/>
                <w:sz w:val="22"/>
                <w:lang w:val="en-GB"/>
              </w:rPr>
              <w:lastRenderedPageBreak/>
              <w:t>Table S</w:t>
            </w:r>
            <w:r>
              <w:rPr>
                <w:rFonts w:ascii="Times New Roman" w:eastAsia="Times New Roman" w:hAnsi="Times New Roman" w:cs="Times New Roman"/>
                <w:b/>
                <w:bCs/>
                <w:color w:val="000000"/>
                <w:sz w:val="22"/>
                <w:lang w:val="en-GB"/>
              </w:rPr>
              <w:t>3</w:t>
            </w:r>
            <w:r w:rsidRPr="00D95AC0">
              <w:rPr>
                <w:rFonts w:ascii="Times New Roman" w:eastAsia="Times New Roman" w:hAnsi="Times New Roman" w:cs="Times New Roman"/>
                <w:color w:val="000000"/>
                <w:sz w:val="22"/>
                <w:lang w:val="en-GB"/>
              </w:rPr>
              <w:t>. Baseline characteristics of the early onset advanced heart failure cohort (SwedeHeartSeq) and the population-based Malmö Diet and Cancer study.</w:t>
            </w:r>
          </w:p>
        </w:tc>
      </w:tr>
      <w:tr w:rsidR="00FA1D9C" w:rsidRPr="00310CC2" w14:paraId="7828F9E4" w14:textId="77777777" w:rsidTr="00AF7ECF">
        <w:trPr>
          <w:trHeight w:val="447"/>
        </w:trPr>
        <w:tc>
          <w:tcPr>
            <w:tcW w:w="2552" w:type="dxa"/>
            <w:shd w:val="clear" w:color="auto" w:fill="002060"/>
            <w:noWrap/>
            <w:vAlign w:val="center"/>
          </w:tcPr>
          <w:p w14:paraId="24A116E7" w14:textId="77777777" w:rsidR="00FA1D9C" w:rsidRPr="00D95AC0" w:rsidRDefault="00FA1D9C" w:rsidP="0092319D">
            <w:pPr>
              <w:spacing w:after="0" w:line="240" w:lineRule="auto"/>
              <w:rPr>
                <w:rFonts w:ascii="Times New Roman" w:eastAsia="Times New Roman" w:hAnsi="Times New Roman" w:cs="Times New Roman"/>
                <w:b/>
                <w:bCs/>
                <w:sz w:val="22"/>
                <w:lang w:val="en-GB"/>
              </w:rPr>
            </w:pPr>
          </w:p>
        </w:tc>
        <w:tc>
          <w:tcPr>
            <w:tcW w:w="2131" w:type="dxa"/>
            <w:tcBorders>
              <w:bottom w:val="single" w:sz="4" w:space="0" w:color="FFFFFF" w:themeColor="background1"/>
            </w:tcBorders>
            <w:shd w:val="clear" w:color="auto" w:fill="002060"/>
            <w:noWrap/>
            <w:vAlign w:val="center"/>
          </w:tcPr>
          <w:p w14:paraId="52F86DBD" w14:textId="77777777" w:rsidR="00FA1D9C" w:rsidRPr="00D95AC0" w:rsidRDefault="00FA1D9C" w:rsidP="0092319D">
            <w:pPr>
              <w:spacing w:after="0" w:line="240" w:lineRule="auto"/>
              <w:rPr>
                <w:rFonts w:ascii="Times New Roman" w:eastAsia="Times New Roman" w:hAnsi="Times New Roman" w:cs="Times New Roman"/>
                <w:b/>
                <w:bCs/>
                <w:sz w:val="22"/>
                <w:lang w:val="en-GB"/>
              </w:rPr>
            </w:pPr>
            <w:r w:rsidRPr="00D95AC0">
              <w:rPr>
                <w:rFonts w:ascii="Times New Roman" w:eastAsia="Times New Roman" w:hAnsi="Times New Roman" w:cs="Times New Roman"/>
                <w:b/>
                <w:bCs/>
                <w:sz w:val="22"/>
                <w:lang w:val="en-GB"/>
              </w:rPr>
              <w:t>No. (%)</w:t>
            </w:r>
          </w:p>
        </w:tc>
        <w:tc>
          <w:tcPr>
            <w:tcW w:w="2628" w:type="dxa"/>
            <w:tcBorders>
              <w:bottom w:val="single" w:sz="4" w:space="0" w:color="FFFFFF" w:themeColor="background1"/>
            </w:tcBorders>
            <w:shd w:val="clear" w:color="auto" w:fill="002060"/>
          </w:tcPr>
          <w:p w14:paraId="1F96D2FD" w14:textId="77777777" w:rsidR="00FA1D9C" w:rsidRPr="00D95AC0" w:rsidRDefault="00FA1D9C" w:rsidP="0092319D">
            <w:pPr>
              <w:spacing w:after="0" w:line="240" w:lineRule="auto"/>
              <w:rPr>
                <w:rFonts w:ascii="Times New Roman" w:eastAsia="Times New Roman" w:hAnsi="Times New Roman" w:cs="Times New Roman"/>
                <w:b/>
                <w:bCs/>
                <w:sz w:val="22"/>
                <w:lang w:val="en-GB"/>
              </w:rPr>
            </w:pPr>
          </w:p>
        </w:tc>
      </w:tr>
      <w:tr w:rsidR="00FA1D9C" w:rsidRPr="00310CC2" w14:paraId="6828418D" w14:textId="77777777" w:rsidTr="00AF7ECF">
        <w:trPr>
          <w:trHeight w:val="447"/>
        </w:trPr>
        <w:tc>
          <w:tcPr>
            <w:tcW w:w="2552" w:type="dxa"/>
            <w:shd w:val="clear" w:color="auto" w:fill="002060"/>
            <w:noWrap/>
            <w:vAlign w:val="center"/>
          </w:tcPr>
          <w:p w14:paraId="570792B1" w14:textId="77777777" w:rsidR="00FA1D9C" w:rsidRPr="00D95AC0" w:rsidRDefault="00FA1D9C" w:rsidP="0092319D">
            <w:pPr>
              <w:spacing w:after="0" w:line="240" w:lineRule="auto"/>
              <w:rPr>
                <w:rFonts w:ascii="Times New Roman" w:eastAsia="Times New Roman" w:hAnsi="Times New Roman" w:cs="Times New Roman"/>
                <w:b/>
                <w:bCs/>
                <w:sz w:val="22"/>
                <w:lang w:val="en-GB"/>
              </w:rPr>
            </w:pPr>
            <w:r w:rsidRPr="00D95AC0">
              <w:rPr>
                <w:rFonts w:ascii="Times New Roman" w:eastAsia="Times New Roman" w:hAnsi="Times New Roman" w:cs="Times New Roman"/>
                <w:b/>
                <w:bCs/>
                <w:sz w:val="22"/>
                <w:lang w:val="en-GB"/>
              </w:rPr>
              <w:t>Variable</w:t>
            </w:r>
          </w:p>
        </w:tc>
        <w:tc>
          <w:tcPr>
            <w:tcW w:w="2131" w:type="dxa"/>
            <w:tcBorders>
              <w:top w:val="single" w:sz="4" w:space="0" w:color="FFFFFF" w:themeColor="background1"/>
            </w:tcBorders>
            <w:shd w:val="clear" w:color="auto" w:fill="002060"/>
            <w:noWrap/>
            <w:vAlign w:val="center"/>
          </w:tcPr>
          <w:p w14:paraId="58937BAC" w14:textId="77777777" w:rsidR="00FA1D9C" w:rsidRPr="00D95AC0" w:rsidRDefault="00FA1D9C" w:rsidP="0092319D">
            <w:pPr>
              <w:spacing w:after="0" w:line="240" w:lineRule="auto"/>
              <w:rPr>
                <w:rFonts w:ascii="Times New Roman" w:eastAsia="Times New Roman" w:hAnsi="Times New Roman" w:cs="Times New Roman"/>
                <w:b/>
                <w:bCs/>
                <w:sz w:val="22"/>
                <w:lang w:val="en-GB"/>
              </w:rPr>
            </w:pPr>
            <w:r w:rsidRPr="00D95AC0">
              <w:rPr>
                <w:rFonts w:ascii="Times New Roman" w:eastAsia="Times New Roman" w:hAnsi="Times New Roman" w:cs="Times New Roman"/>
                <w:b/>
                <w:bCs/>
                <w:sz w:val="22"/>
                <w:lang w:val="en-GB"/>
              </w:rPr>
              <w:t>SwedeHeartSeq (n=10</w:t>
            </w:r>
            <w:r>
              <w:rPr>
                <w:rFonts w:ascii="Times New Roman" w:eastAsia="Times New Roman" w:hAnsi="Times New Roman" w:cs="Times New Roman"/>
                <w:b/>
                <w:bCs/>
                <w:sz w:val="22"/>
                <w:lang w:val="en-GB"/>
              </w:rPr>
              <w:t>1</w:t>
            </w:r>
            <w:r w:rsidRPr="00D95AC0">
              <w:rPr>
                <w:rFonts w:ascii="Times New Roman" w:eastAsia="Times New Roman" w:hAnsi="Times New Roman" w:cs="Times New Roman"/>
                <w:b/>
                <w:bCs/>
                <w:sz w:val="22"/>
                <w:lang w:val="en-GB"/>
              </w:rPr>
              <w:t>)</w:t>
            </w:r>
          </w:p>
        </w:tc>
        <w:tc>
          <w:tcPr>
            <w:tcW w:w="2628" w:type="dxa"/>
            <w:tcBorders>
              <w:top w:val="single" w:sz="4" w:space="0" w:color="FFFFFF" w:themeColor="background1"/>
            </w:tcBorders>
            <w:shd w:val="clear" w:color="auto" w:fill="002060"/>
          </w:tcPr>
          <w:p w14:paraId="2CFC5A7D" w14:textId="77777777" w:rsidR="00FA1D9C" w:rsidRPr="00D95AC0" w:rsidRDefault="00FA1D9C" w:rsidP="0092319D">
            <w:pPr>
              <w:spacing w:after="0" w:line="240" w:lineRule="auto"/>
              <w:rPr>
                <w:rFonts w:ascii="Times New Roman" w:eastAsia="Times New Roman" w:hAnsi="Times New Roman" w:cs="Times New Roman"/>
                <w:b/>
                <w:bCs/>
                <w:sz w:val="22"/>
                <w:lang w:val="en-GB"/>
              </w:rPr>
            </w:pPr>
            <w:r w:rsidRPr="00D95AC0">
              <w:rPr>
                <w:rFonts w:ascii="Times New Roman" w:eastAsia="Times New Roman" w:hAnsi="Times New Roman" w:cs="Times New Roman"/>
                <w:b/>
                <w:bCs/>
                <w:sz w:val="22"/>
                <w:lang w:val="en-GB"/>
              </w:rPr>
              <w:t>Malmö Diet and Cancer (n=30,447)</w:t>
            </w:r>
          </w:p>
        </w:tc>
      </w:tr>
      <w:tr w:rsidR="00FA1D9C" w:rsidRPr="00310CC2" w14:paraId="6E2429C6" w14:textId="77777777" w:rsidTr="00AF7ECF">
        <w:trPr>
          <w:trHeight w:val="300"/>
        </w:trPr>
        <w:tc>
          <w:tcPr>
            <w:tcW w:w="2552" w:type="dxa"/>
            <w:shd w:val="clear" w:color="000000" w:fill="FFFFFF"/>
            <w:noWrap/>
            <w:vAlign w:val="center"/>
            <w:hideMark/>
          </w:tcPr>
          <w:p w14:paraId="6B67BDC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hAnsi="Times New Roman" w:cs="Times New Roman"/>
                <w:sz w:val="22"/>
                <w:lang w:val="en-GB"/>
              </w:rPr>
              <w:t xml:space="preserve"> Age, mean (SD), y</w:t>
            </w:r>
          </w:p>
        </w:tc>
        <w:tc>
          <w:tcPr>
            <w:tcW w:w="2131" w:type="dxa"/>
            <w:shd w:val="clear" w:color="000000" w:fill="FFFFFF"/>
            <w:noWrap/>
            <w:vAlign w:val="center"/>
            <w:hideMark/>
          </w:tcPr>
          <w:p w14:paraId="05E74E7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hAnsi="Times New Roman" w:cs="Times New Roman"/>
                <w:sz w:val="22"/>
                <w:lang w:val="en-GB"/>
              </w:rPr>
              <w:t>50.</w:t>
            </w:r>
            <w:r>
              <w:rPr>
                <w:rFonts w:ascii="Times New Roman" w:hAnsi="Times New Roman" w:cs="Times New Roman"/>
                <w:sz w:val="22"/>
                <w:lang w:val="en-GB"/>
              </w:rPr>
              <w:t>1</w:t>
            </w:r>
            <w:r w:rsidRPr="00D95AC0">
              <w:rPr>
                <w:rFonts w:ascii="Times New Roman" w:hAnsi="Times New Roman" w:cs="Times New Roman"/>
                <w:sz w:val="22"/>
                <w:lang w:val="en-GB"/>
              </w:rPr>
              <w:t xml:space="preserve"> (14.3)</w:t>
            </w:r>
          </w:p>
        </w:tc>
        <w:tc>
          <w:tcPr>
            <w:tcW w:w="2628" w:type="dxa"/>
            <w:shd w:val="clear" w:color="000000" w:fill="FFFFFF"/>
          </w:tcPr>
          <w:p w14:paraId="15B8D085" w14:textId="77777777" w:rsidR="00FA1D9C" w:rsidRPr="00D95AC0" w:rsidRDefault="00FA1D9C" w:rsidP="0092319D">
            <w:pPr>
              <w:spacing w:after="0" w:line="240" w:lineRule="auto"/>
              <w:rPr>
                <w:rFonts w:ascii="Times New Roman" w:hAnsi="Times New Roman" w:cs="Times New Roman"/>
                <w:sz w:val="22"/>
                <w:lang w:val="en-GB"/>
              </w:rPr>
            </w:pPr>
            <w:r w:rsidRPr="00D95AC0">
              <w:rPr>
                <w:rFonts w:ascii="Times New Roman" w:eastAsia="Times New Roman" w:hAnsi="Times New Roman" w:cs="Times New Roman"/>
                <w:color w:val="000000"/>
                <w:sz w:val="22"/>
                <w:lang w:val="en-GB"/>
              </w:rPr>
              <w:t>58.0 (7.6)</w:t>
            </w:r>
          </w:p>
        </w:tc>
      </w:tr>
      <w:tr w:rsidR="00FA1D9C" w:rsidRPr="00310CC2" w14:paraId="6BD8E7B4" w14:textId="77777777" w:rsidTr="00AF7ECF">
        <w:trPr>
          <w:trHeight w:val="300"/>
        </w:trPr>
        <w:tc>
          <w:tcPr>
            <w:tcW w:w="2552" w:type="dxa"/>
            <w:shd w:val="clear" w:color="000000" w:fill="FFFFFF"/>
            <w:noWrap/>
            <w:vAlign w:val="bottom"/>
            <w:hideMark/>
          </w:tcPr>
          <w:p w14:paraId="7C637841"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Sex</w:t>
            </w:r>
          </w:p>
        </w:tc>
        <w:tc>
          <w:tcPr>
            <w:tcW w:w="2131" w:type="dxa"/>
            <w:shd w:val="clear" w:color="000000" w:fill="FFFFFF"/>
            <w:noWrap/>
            <w:vAlign w:val="bottom"/>
            <w:hideMark/>
          </w:tcPr>
          <w:p w14:paraId="0F09420A"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c>
          <w:tcPr>
            <w:tcW w:w="2628" w:type="dxa"/>
            <w:shd w:val="clear" w:color="000000" w:fill="FFFFFF"/>
          </w:tcPr>
          <w:p w14:paraId="713726D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r>
      <w:tr w:rsidR="00FA1D9C" w:rsidRPr="00310CC2" w14:paraId="2AED3DF4" w14:textId="77777777" w:rsidTr="00AF7ECF">
        <w:trPr>
          <w:trHeight w:val="300"/>
        </w:trPr>
        <w:tc>
          <w:tcPr>
            <w:tcW w:w="2552" w:type="dxa"/>
            <w:shd w:val="clear" w:color="000000" w:fill="FFFFFF"/>
            <w:noWrap/>
            <w:vAlign w:val="bottom"/>
          </w:tcPr>
          <w:p w14:paraId="7B3DE53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Female</w:t>
            </w:r>
          </w:p>
        </w:tc>
        <w:tc>
          <w:tcPr>
            <w:tcW w:w="2131" w:type="dxa"/>
            <w:shd w:val="clear" w:color="000000" w:fill="FFFFFF"/>
            <w:noWrap/>
            <w:vAlign w:val="bottom"/>
          </w:tcPr>
          <w:p w14:paraId="108E6BEF"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26 (</w:t>
            </w:r>
            <w:r>
              <w:rPr>
                <w:rFonts w:ascii="Times New Roman" w:eastAsia="Times New Roman" w:hAnsi="Times New Roman" w:cs="Times New Roman"/>
                <w:color w:val="000000"/>
                <w:sz w:val="22"/>
                <w:lang w:val="en-GB"/>
              </w:rPr>
              <w:t>26</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42CF6F4A"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18,326 (60)</w:t>
            </w:r>
          </w:p>
        </w:tc>
      </w:tr>
      <w:tr w:rsidR="00FA1D9C" w:rsidRPr="00310CC2" w14:paraId="4F874052" w14:textId="77777777" w:rsidTr="00AF7ECF">
        <w:trPr>
          <w:trHeight w:val="300"/>
        </w:trPr>
        <w:tc>
          <w:tcPr>
            <w:tcW w:w="2552" w:type="dxa"/>
            <w:shd w:val="clear" w:color="000000" w:fill="FFFFFF"/>
            <w:noWrap/>
            <w:vAlign w:val="bottom"/>
          </w:tcPr>
          <w:p w14:paraId="6A6E8BD6"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Male</w:t>
            </w:r>
          </w:p>
        </w:tc>
        <w:tc>
          <w:tcPr>
            <w:tcW w:w="2131" w:type="dxa"/>
            <w:shd w:val="clear" w:color="000000" w:fill="FFFFFF"/>
            <w:noWrap/>
            <w:vAlign w:val="bottom"/>
          </w:tcPr>
          <w:p w14:paraId="2DF7748C"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7</w:t>
            </w:r>
            <w:r>
              <w:rPr>
                <w:rFonts w:ascii="Times New Roman" w:eastAsia="Times New Roman" w:hAnsi="Times New Roman" w:cs="Times New Roman"/>
                <w:color w:val="000000"/>
                <w:sz w:val="22"/>
                <w:lang w:val="en-GB"/>
              </w:rPr>
              <w:t>5</w:t>
            </w:r>
            <w:r w:rsidRPr="00D95AC0">
              <w:rPr>
                <w:rFonts w:ascii="Times New Roman" w:eastAsia="Times New Roman" w:hAnsi="Times New Roman" w:cs="Times New Roman"/>
                <w:color w:val="000000"/>
                <w:sz w:val="22"/>
                <w:lang w:val="en-GB"/>
              </w:rPr>
              <w:t xml:space="preserve"> (74)</w:t>
            </w:r>
          </w:p>
        </w:tc>
        <w:tc>
          <w:tcPr>
            <w:tcW w:w="2628" w:type="dxa"/>
            <w:shd w:val="clear" w:color="000000" w:fill="FFFFFF"/>
            <w:vAlign w:val="center"/>
          </w:tcPr>
          <w:p w14:paraId="093EF69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12,121 (</w:t>
            </w:r>
            <w:r>
              <w:rPr>
                <w:rFonts w:ascii="Times New Roman" w:eastAsia="Times New Roman" w:hAnsi="Times New Roman" w:cs="Times New Roman"/>
                <w:color w:val="000000"/>
                <w:sz w:val="22"/>
                <w:lang w:val="en-GB"/>
              </w:rPr>
              <w:t>40</w:t>
            </w:r>
            <w:r w:rsidRPr="00D95AC0">
              <w:rPr>
                <w:rFonts w:ascii="Times New Roman" w:eastAsia="Times New Roman" w:hAnsi="Times New Roman" w:cs="Times New Roman"/>
                <w:color w:val="000000"/>
                <w:sz w:val="22"/>
                <w:lang w:val="en-GB"/>
              </w:rPr>
              <w:t>)</w:t>
            </w:r>
          </w:p>
        </w:tc>
      </w:tr>
      <w:tr w:rsidR="00FA1D9C" w:rsidRPr="00310CC2" w14:paraId="3CC65557" w14:textId="77777777" w:rsidTr="00AF7ECF">
        <w:trPr>
          <w:trHeight w:val="300"/>
        </w:trPr>
        <w:tc>
          <w:tcPr>
            <w:tcW w:w="2552" w:type="dxa"/>
            <w:shd w:val="clear" w:color="000000" w:fill="FFFFFF"/>
            <w:noWrap/>
            <w:vAlign w:val="bottom"/>
            <w:hideMark/>
          </w:tcPr>
          <w:p w14:paraId="12BB637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Hypertension</w:t>
            </w:r>
          </w:p>
        </w:tc>
        <w:tc>
          <w:tcPr>
            <w:tcW w:w="2131" w:type="dxa"/>
            <w:shd w:val="clear" w:color="000000" w:fill="FFFFFF"/>
            <w:noWrap/>
            <w:vAlign w:val="bottom"/>
            <w:hideMark/>
          </w:tcPr>
          <w:p w14:paraId="39E4296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w:t>
            </w:r>
            <w:r>
              <w:rPr>
                <w:rFonts w:ascii="Times New Roman" w:eastAsia="Times New Roman" w:hAnsi="Times New Roman" w:cs="Times New Roman"/>
                <w:color w:val="000000"/>
                <w:sz w:val="22"/>
                <w:lang w:val="en-GB"/>
              </w:rPr>
              <w:t>7</w:t>
            </w:r>
            <w:r w:rsidRPr="00D95AC0">
              <w:rPr>
                <w:rFonts w:ascii="Times New Roman" w:eastAsia="Times New Roman" w:hAnsi="Times New Roman" w:cs="Times New Roman"/>
                <w:color w:val="000000"/>
                <w:sz w:val="22"/>
                <w:lang w:val="en-GB"/>
              </w:rPr>
              <w:t xml:space="preserve"> (</w:t>
            </w:r>
            <w:r>
              <w:rPr>
                <w:rFonts w:ascii="Times New Roman" w:eastAsia="Times New Roman" w:hAnsi="Times New Roman" w:cs="Times New Roman"/>
                <w:color w:val="000000"/>
                <w:sz w:val="22"/>
                <w:lang w:val="en-GB"/>
              </w:rPr>
              <w:t>17</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0115CF8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4,960 (19)</w:t>
            </w:r>
          </w:p>
        </w:tc>
      </w:tr>
      <w:tr w:rsidR="00FA1D9C" w:rsidRPr="00310CC2" w14:paraId="2283F80A" w14:textId="77777777" w:rsidTr="00AF7ECF">
        <w:trPr>
          <w:trHeight w:val="300"/>
        </w:trPr>
        <w:tc>
          <w:tcPr>
            <w:tcW w:w="2552" w:type="dxa"/>
            <w:shd w:val="clear" w:color="000000" w:fill="FFFFFF"/>
            <w:noWrap/>
            <w:vAlign w:val="bottom"/>
            <w:hideMark/>
          </w:tcPr>
          <w:p w14:paraId="1FC4BD68"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Diabetes</w:t>
            </w:r>
          </w:p>
        </w:tc>
        <w:tc>
          <w:tcPr>
            <w:tcW w:w="2131" w:type="dxa"/>
            <w:shd w:val="clear" w:color="000000" w:fill="FFFFFF"/>
            <w:noWrap/>
            <w:vAlign w:val="bottom"/>
            <w:hideMark/>
          </w:tcPr>
          <w:p w14:paraId="59A2F2B5"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w:t>
            </w:r>
            <w:r>
              <w:rPr>
                <w:rFonts w:ascii="Times New Roman" w:eastAsia="Times New Roman" w:hAnsi="Times New Roman" w:cs="Times New Roman"/>
                <w:color w:val="000000"/>
                <w:sz w:val="22"/>
                <w:lang w:val="en-GB"/>
              </w:rPr>
              <w:t>1</w:t>
            </w:r>
            <w:r w:rsidRPr="00D95AC0">
              <w:rPr>
                <w:rFonts w:ascii="Times New Roman" w:eastAsia="Times New Roman" w:hAnsi="Times New Roman" w:cs="Times New Roman"/>
                <w:color w:val="000000"/>
                <w:sz w:val="22"/>
                <w:lang w:val="en-GB"/>
              </w:rPr>
              <w:t xml:space="preserve"> (1</w:t>
            </w:r>
            <w:r>
              <w:rPr>
                <w:rFonts w:ascii="Times New Roman" w:eastAsia="Times New Roman" w:hAnsi="Times New Roman" w:cs="Times New Roman"/>
                <w:color w:val="000000"/>
                <w:sz w:val="22"/>
                <w:lang w:val="en-GB"/>
              </w:rPr>
              <w:t>1</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5B45DEDF"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877 (3)</w:t>
            </w:r>
          </w:p>
        </w:tc>
      </w:tr>
      <w:tr w:rsidR="00FA1D9C" w:rsidRPr="00310CC2" w14:paraId="2858D19F" w14:textId="77777777" w:rsidTr="00AF7ECF">
        <w:trPr>
          <w:trHeight w:val="300"/>
        </w:trPr>
        <w:tc>
          <w:tcPr>
            <w:tcW w:w="2552" w:type="dxa"/>
            <w:shd w:val="clear" w:color="000000" w:fill="FFFFFF"/>
            <w:noWrap/>
            <w:vAlign w:val="bottom"/>
            <w:hideMark/>
          </w:tcPr>
          <w:p w14:paraId="3BCF681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Stroke</w:t>
            </w:r>
          </w:p>
        </w:tc>
        <w:tc>
          <w:tcPr>
            <w:tcW w:w="2131" w:type="dxa"/>
            <w:shd w:val="clear" w:color="000000" w:fill="FFFFFF"/>
            <w:noWrap/>
            <w:vAlign w:val="bottom"/>
            <w:hideMark/>
          </w:tcPr>
          <w:p w14:paraId="1ED9B0CC"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14 (1</w:t>
            </w:r>
            <w:r>
              <w:rPr>
                <w:rFonts w:ascii="Times New Roman" w:eastAsia="Times New Roman" w:hAnsi="Times New Roman" w:cs="Times New Roman"/>
                <w:color w:val="000000"/>
                <w:sz w:val="22"/>
                <w:lang w:val="en-GB"/>
              </w:rPr>
              <w:t>4</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2060458C"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408 (</w:t>
            </w:r>
            <w:r>
              <w:rPr>
                <w:rFonts w:ascii="Times New Roman" w:eastAsia="Times New Roman" w:hAnsi="Times New Roman" w:cs="Times New Roman"/>
                <w:color w:val="000000"/>
                <w:sz w:val="22"/>
                <w:lang w:val="en-GB"/>
              </w:rPr>
              <w:t>2</w:t>
            </w:r>
            <w:r w:rsidRPr="00D95AC0">
              <w:rPr>
                <w:rFonts w:ascii="Times New Roman" w:eastAsia="Times New Roman" w:hAnsi="Times New Roman" w:cs="Times New Roman"/>
                <w:color w:val="000000"/>
                <w:sz w:val="22"/>
                <w:lang w:val="en-GB"/>
              </w:rPr>
              <w:t>)</w:t>
            </w:r>
          </w:p>
        </w:tc>
      </w:tr>
      <w:tr w:rsidR="00FA1D9C" w:rsidRPr="00310CC2" w14:paraId="3CD443D1" w14:textId="77777777" w:rsidTr="00AF7ECF">
        <w:trPr>
          <w:trHeight w:val="300"/>
        </w:trPr>
        <w:tc>
          <w:tcPr>
            <w:tcW w:w="2552" w:type="dxa"/>
            <w:shd w:val="clear" w:color="000000" w:fill="FFFFFF"/>
            <w:noWrap/>
            <w:vAlign w:val="bottom"/>
            <w:hideMark/>
          </w:tcPr>
          <w:p w14:paraId="726E785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Coronary disease</w:t>
            </w:r>
          </w:p>
        </w:tc>
        <w:tc>
          <w:tcPr>
            <w:tcW w:w="2131" w:type="dxa"/>
            <w:shd w:val="clear" w:color="000000" w:fill="FFFFFF"/>
            <w:noWrap/>
            <w:vAlign w:val="bottom"/>
            <w:hideMark/>
          </w:tcPr>
          <w:p w14:paraId="130C32B9"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w:t>
            </w:r>
            <w:r>
              <w:rPr>
                <w:rFonts w:ascii="Times New Roman" w:eastAsia="Times New Roman" w:hAnsi="Times New Roman" w:cs="Times New Roman"/>
                <w:color w:val="000000"/>
                <w:sz w:val="22"/>
                <w:lang w:val="en-GB"/>
              </w:rPr>
              <w:t>8</w:t>
            </w:r>
            <w:r w:rsidRPr="00D95AC0">
              <w:rPr>
                <w:rFonts w:ascii="Times New Roman" w:eastAsia="Times New Roman" w:hAnsi="Times New Roman" w:cs="Times New Roman"/>
                <w:color w:val="000000"/>
                <w:sz w:val="22"/>
                <w:lang w:val="en-GB"/>
              </w:rPr>
              <w:t xml:space="preserve"> (</w:t>
            </w:r>
            <w:r>
              <w:rPr>
                <w:rFonts w:ascii="Times New Roman" w:eastAsia="Times New Roman" w:hAnsi="Times New Roman" w:cs="Times New Roman"/>
                <w:color w:val="000000"/>
                <w:sz w:val="22"/>
                <w:lang w:val="en-GB"/>
              </w:rPr>
              <w:t>18</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560299D4"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600 (2)</w:t>
            </w:r>
          </w:p>
        </w:tc>
      </w:tr>
      <w:tr w:rsidR="00FA1D9C" w:rsidRPr="00310CC2" w14:paraId="1F22F32A" w14:textId="77777777" w:rsidTr="00AF7ECF">
        <w:trPr>
          <w:trHeight w:val="300"/>
        </w:trPr>
        <w:tc>
          <w:tcPr>
            <w:tcW w:w="2552" w:type="dxa"/>
            <w:shd w:val="clear" w:color="000000" w:fill="FFFFFF"/>
            <w:noWrap/>
            <w:vAlign w:val="bottom"/>
            <w:hideMark/>
          </w:tcPr>
          <w:p w14:paraId="363A6EAF"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CABG</w:t>
            </w:r>
          </w:p>
        </w:tc>
        <w:tc>
          <w:tcPr>
            <w:tcW w:w="2131" w:type="dxa"/>
            <w:shd w:val="clear" w:color="000000" w:fill="FFFFFF"/>
            <w:noWrap/>
            <w:vAlign w:val="bottom"/>
            <w:hideMark/>
          </w:tcPr>
          <w:p w14:paraId="7AB50D88"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3 (3)</w:t>
            </w:r>
          </w:p>
        </w:tc>
        <w:tc>
          <w:tcPr>
            <w:tcW w:w="2628" w:type="dxa"/>
            <w:shd w:val="clear" w:color="000000" w:fill="FFFFFF"/>
          </w:tcPr>
          <w:p w14:paraId="0ED5121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NA</w:t>
            </w:r>
          </w:p>
        </w:tc>
      </w:tr>
      <w:tr w:rsidR="00FA1D9C" w:rsidRPr="00310CC2" w14:paraId="134F3377" w14:textId="77777777" w:rsidTr="00AF7ECF">
        <w:trPr>
          <w:trHeight w:val="300"/>
        </w:trPr>
        <w:tc>
          <w:tcPr>
            <w:tcW w:w="2552" w:type="dxa"/>
            <w:shd w:val="clear" w:color="000000" w:fill="FFFFFF"/>
            <w:noWrap/>
            <w:vAlign w:val="bottom"/>
            <w:hideMark/>
          </w:tcPr>
          <w:p w14:paraId="1AD755B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PCI</w:t>
            </w:r>
          </w:p>
        </w:tc>
        <w:tc>
          <w:tcPr>
            <w:tcW w:w="2131" w:type="dxa"/>
            <w:shd w:val="clear" w:color="000000" w:fill="FFFFFF"/>
            <w:noWrap/>
            <w:vAlign w:val="bottom"/>
            <w:hideMark/>
          </w:tcPr>
          <w:p w14:paraId="51FF536C"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w:t>
            </w:r>
            <w:r>
              <w:rPr>
                <w:rFonts w:ascii="Times New Roman" w:eastAsia="Times New Roman" w:hAnsi="Times New Roman" w:cs="Times New Roman"/>
                <w:color w:val="000000"/>
                <w:sz w:val="22"/>
                <w:lang w:val="en-GB"/>
              </w:rPr>
              <w:t>5</w:t>
            </w:r>
            <w:r w:rsidRPr="00D95AC0">
              <w:rPr>
                <w:rFonts w:ascii="Times New Roman" w:eastAsia="Times New Roman" w:hAnsi="Times New Roman" w:cs="Times New Roman"/>
                <w:color w:val="000000"/>
                <w:sz w:val="22"/>
                <w:lang w:val="en-GB"/>
              </w:rPr>
              <w:t xml:space="preserve"> (</w:t>
            </w:r>
            <w:r>
              <w:rPr>
                <w:rFonts w:ascii="Times New Roman" w:eastAsia="Times New Roman" w:hAnsi="Times New Roman" w:cs="Times New Roman"/>
                <w:color w:val="000000"/>
                <w:sz w:val="22"/>
                <w:lang w:val="en-GB"/>
              </w:rPr>
              <w:t>15</w:t>
            </w:r>
            <w:r w:rsidRPr="00D95AC0">
              <w:rPr>
                <w:rFonts w:ascii="Times New Roman" w:eastAsia="Times New Roman" w:hAnsi="Times New Roman" w:cs="Times New Roman"/>
                <w:color w:val="000000"/>
                <w:sz w:val="22"/>
                <w:lang w:val="en-GB"/>
              </w:rPr>
              <w:t>)</w:t>
            </w:r>
          </w:p>
        </w:tc>
        <w:tc>
          <w:tcPr>
            <w:tcW w:w="2628" w:type="dxa"/>
            <w:shd w:val="clear" w:color="000000" w:fill="FFFFFF"/>
          </w:tcPr>
          <w:p w14:paraId="4B30343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NA</w:t>
            </w:r>
          </w:p>
        </w:tc>
      </w:tr>
      <w:tr w:rsidR="00FA1D9C" w:rsidRPr="00310CC2" w14:paraId="6A28CA72" w14:textId="77777777" w:rsidTr="00AF7ECF">
        <w:trPr>
          <w:trHeight w:val="300"/>
        </w:trPr>
        <w:tc>
          <w:tcPr>
            <w:tcW w:w="2552" w:type="dxa"/>
            <w:shd w:val="clear" w:color="000000" w:fill="FFFFFF"/>
            <w:noWrap/>
            <w:vAlign w:val="bottom"/>
            <w:hideMark/>
          </w:tcPr>
          <w:p w14:paraId="607612C7"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Smoking</w:t>
            </w:r>
          </w:p>
        </w:tc>
        <w:tc>
          <w:tcPr>
            <w:tcW w:w="2131" w:type="dxa"/>
            <w:shd w:val="clear" w:color="000000" w:fill="FFFFFF"/>
            <w:noWrap/>
            <w:vAlign w:val="bottom"/>
            <w:hideMark/>
          </w:tcPr>
          <w:p w14:paraId="2CBB3F2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c>
          <w:tcPr>
            <w:tcW w:w="2628" w:type="dxa"/>
            <w:shd w:val="clear" w:color="000000" w:fill="FFFFFF"/>
          </w:tcPr>
          <w:p w14:paraId="2671788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r>
      <w:tr w:rsidR="00FA1D9C" w:rsidRPr="00310CC2" w14:paraId="0F7B041B" w14:textId="77777777" w:rsidTr="00AF7ECF">
        <w:trPr>
          <w:trHeight w:val="300"/>
        </w:trPr>
        <w:tc>
          <w:tcPr>
            <w:tcW w:w="2552" w:type="dxa"/>
            <w:shd w:val="clear" w:color="000000" w:fill="FFFFFF"/>
            <w:noWrap/>
            <w:vAlign w:val="bottom"/>
            <w:hideMark/>
          </w:tcPr>
          <w:p w14:paraId="39EB7299"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Current</w:t>
            </w:r>
          </w:p>
        </w:tc>
        <w:tc>
          <w:tcPr>
            <w:tcW w:w="2131" w:type="dxa"/>
            <w:shd w:val="clear" w:color="000000" w:fill="FFFFFF"/>
            <w:noWrap/>
            <w:vAlign w:val="bottom"/>
            <w:hideMark/>
          </w:tcPr>
          <w:p w14:paraId="189822BD"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0 (0.0)</w:t>
            </w:r>
          </w:p>
        </w:tc>
        <w:tc>
          <w:tcPr>
            <w:tcW w:w="2628" w:type="dxa"/>
            <w:shd w:val="clear" w:color="000000" w:fill="FFFFFF"/>
            <w:vAlign w:val="center"/>
          </w:tcPr>
          <w:p w14:paraId="1F79674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8087 (28)</w:t>
            </w:r>
          </w:p>
        </w:tc>
      </w:tr>
      <w:tr w:rsidR="00FA1D9C" w:rsidRPr="00310CC2" w14:paraId="3C135D64" w14:textId="77777777" w:rsidTr="00AF7ECF">
        <w:trPr>
          <w:trHeight w:val="300"/>
        </w:trPr>
        <w:tc>
          <w:tcPr>
            <w:tcW w:w="2552" w:type="dxa"/>
            <w:shd w:val="clear" w:color="000000" w:fill="FFFFFF"/>
            <w:noWrap/>
            <w:vAlign w:val="bottom"/>
            <w:hideMark/>
          </w:tcPr>
          <w:p w14:paraId="7D592AF7"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Previous</w:t>
            </w:r>
          </w:p>
        </w:tc>
        <w:tc>
          <w:tcPr>
            <w:tcW w:w="2131" w:type="dxa"/>
            <w:shd w:val="clear" w:color="000000" w:fill="FFFFFF"/>
            <w:noWrap/>
            <w:vAlign w:val="bottom"/>
            <w:hideMark/>
          </w:tcPr>
          <w:p w14:paraId="60D2378B"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3</w:t>
            </w:r>
            <w:r>
              <w:rPr>
                <w:rFonts w:ascii="Times New Roman" w:eastAsia="Times New Roman" w:hAnsi="Times New Roman" w:cs="Times New Roman"/>
                <w:color w:val="000000"/>
                <w:sz w:val="22"/>
                <w:lang w:val="en-GB"/>
              </w:rPr>
              <w:t>7</w:t>
            </w:r>
            <w:r w:rsidRPr="00D95AC0">
              <w:rPr>
                <w:rFonts w:ascii="Times New Roman" w:eastAsia="Times New Roman" w:hAnsi="Times New Roman" w:cs="Times New Roman"/>
                <w:color w:val="000000"/>
                <w:sz w:val="22"/>
                <w:lang w:val="en-GB"/>
              </w:rPr>
              <w:t xml:space="preserve"> (</w:t>
            </w:r>
            <w:r>
              <w:rPr>
                <w:rFonts w:ascii="Times New Roman" w:eastAsia="Times New Roman" w:hAnsi="Times New Roman" w:cs="Times New Roman"/>
                <w:color w:val="000000"/>
                <w:sz w:val="22"/>
                <w:lang w:val="en-GB"/>
              </w:rPr>
              <w:t>37</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7BA9CC66"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9658 (3</w:t>
            </w:r>
            <w:r>
              <w:rPr>
                <w:rFonts w:ascii="Times New Roman" w:eastAsia="Times New Roman" w:hAnsi="Times New Roman" w:cs="Times New Roman"/>
                <w:color w:val="000000"/>
                <w:sz w:val="22"/>
                <w:lang w:val="en-GB"/>
              </w:rPr>
              <w:t>4</w:t>
            </w:r>
            <w:r w:rsidRPr="00D95AC0">
              <w:rPr>
                <w:rFonts w:ascii="Times New Roman" w:eastAsia="Times New Roman" w:hAnsi="Times New Roman" w:cs="Times New Roman"/>
                <w:color w:val="000000"/>
                <w:sz w:val="22"/>
                <w:lang w:val="en-GB"/>
              </w:rPr>
              <w:t>)</w:t>
            </w:r>
          </w:p>
        </w:tc>
      </w:tr>
      <w:tr w:rsidR="00FA1D9C" w:rsidRPr="00310CC2" w14:paraId="41C7D251" w14:textId="77777777" w:rsidTr="00AF7ECF">
        <w:trPr>
          <w:trHeight w:val="300"/>
        </w:trPr>
        <w:tc>
          <w:tcPr>
            <w:tcW w:w="2552" w:type="dxa"/>
            <w:shd w:val="clear" w:color="000000" w:fill="FFFFFF"/>
            <w:noWrap/>
            <w:vAlign w:val="bottom"/>
            <w:hideMark/>
          </w:tcPr>
          <w:p w14:paraId="4DF2946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Never</w:t>
            </w:r>
          </w:p>
        </w:tc>
        <w:tc>
          <w:tcPr>
            <w:tcW w:w="2131" w:type="dxa"/>
            <w:shd w:val="clear" w:color="000000" w:fill="FFFFFF"/>
            <w:noWrap/>
            <w:vAlign w:val="bottom"/>
            <w:hideMark/>
          </w:tcPr>
          <w:p w14:paraId="6E3318EA"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6</w:t>
            </w:r>
            <w:r>
              <w:rPr>
                <w:rFonts w:ascii="Times New Roman" w:eastAsia="Times New Roman" w:hAnsi="Times New Roman" w:cs="Times New Roman"/>
                <w:color w:val="000000"/>
                <w:sz w:val="22"/>
                <w:lang w:val="en-GB"/>
              </w:rPr>
              <w:t>4</w:t>
            </w:r>
            <w:r w:rsidRPr="00D95AC0">
              <w:rPr>
                <w:rFonts w:ascii="Times New Roman" w:eastAsia="Times New Roman" w:hAnsi="Times New Roman" w:cs="Times New Roman"/>
                <w:color w:val="000000"/>
                <w:sz w:val="22"/>
                <w:lang w:val="en-GB"/>
              </w:rPr>
              <w:t xml:space="preserve"> (6</w:t>
            </w:r>
            <w:r>
              <w:rPr>
                <w:rFonts w:ascii="Times New Roman" w:eastAsia="Times New Roman" w:hAnsi="Times New Roman" w:cs="Times New Roman"/>
                <w:color w:val="000000"/>
                <w:sz w:val="22"/>
                <w:lang w:val="en-GB"/>
              </w:rPr>
              <w:t>3</w:t>
            </w:r>
            <w:r w:rsidRPr="00D95AC0">
              <w:rPr>
                <w:rFonts w:ascii="Times New Roman" w:eastAsia="Times New Roman" w:hAnsi="Times New Roman" w:cs="Times New Roman"/>
                <w:color w:val="000000"/>
                <w:sz w:val="22"/>
                <w:lang w:val="en-GB"/>
              </w:rPr>
              <w:t>)</w:t>
            </w:r>
          </w:p>
        </w:tc>
        <w:tc>
          <w:tcPr>
            <w:tcW w:w="2628" w:type="dxa"/>
            <w:shd w:val="clear" w:color="000000" w:fill="FFFFFF"/>
            <w:vAlign w:val="center"/>
          </w:tcPr>
          <w:p w14:paraId="394FB461"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10819 (3</w:t>
            </w:r>
            <w:r>
              <w:rPr>
                <w:rFonts w:ascii="Times New Roman" w:eastAsia="Times New Roman" w:hAnsi="Times New Roman" w:cs="Times New Roman"/>
                <w:color w:val="000000"/>
                <w:sz w:val="22"/>
                <w:lang w:val="en-GB"/>
              </w:rPr>
              <w:t>8</w:t>
            </w:r>
            <w:r w:rsidRPr="00D95AC0">
              <w:rPr>
                <w:rFonts w:ascii="Times New Roman" w:eastAsia="Times New Roman" w:hAnsi="Times New Roman" w:cs="Times New Roman"/>
                <w:color w:val="000000"/>
                <w:sz w:val="22"/>
                <w:lang w:val="en-GB"/>
              </w:rPr>
              <w:t>)</w:t>
            </w:r>
          </w:p>
        </w:tc>
      </w:tr>
      <w:tr w:rsidR="00FA1D9C" w:rsidRPr="00310CC2" w14:paraId="64451360" w14:textId="77777777" w:rsidTr="00AF7ECF">
        <w:trPr>
          <w:trHeight w:val="300"/>
        </w:trPr>
        <w:tc>
          <w:tcPr>
            <w:tcW w:w="2552" w:type="dxa"/>
            <w:shd w:val="clear" w:color="000000" w:fill="FFFFFF"/>
            <w:noWrap/>
            <w:vAlign w:val="bottom"/>
          </w:tcPr>
          <w:p w14:paraId="29DC488A"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HTx or LVAD</w:t>
            </w:r>
          </w:p>
        </w:tc>
        <w:tc>
          <w:tcPr>
            <w:tcW w:w="2131" w:type="dxa"/>
            <w:shd w:val="clear" w:color="000000" w:fill="FFFFFF"/>
            <w:noWrap/>
            <w:vAlign w:val="bottom"/>
          </w:tcPr>
          <w:p w14:paraId="02D7AB2E"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c>
          <w:tcPr>
            <w:tcW w:w="2628" w:type="dxa"/>
            <w:shd w:val="clear" w:color="000000" w:fill="FFFFFF"/>
          </w:tcPr>
          <w:p w14:paraId="26CEBD68"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p>
        </w:tc>
      </w:tr>
      <w:tr w:rsidR="00FA1D9C" w:rsidRPr="00310CC2" w14:paraId="398EABED" w14:textId="77777777" w:rsidTr="00AF7ECF">
        <w:trPr>
          <w:trHeight w:val="300"/>
        </w:trPr>
        <w:tc>
          <w:tcPr>
            <w:tcW w:w="2552" w:type="dxa"/>
            <w:shd w:val="clear" w:color="000000" w:fill="FFFFFF"/>
            <w:noWrap/>
            <w:vAlign w:val="bottom"/>
          </w:tcPr>
          <w:p w14:paraId="49053D7D"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HTx</w:t>
            </w:r>
          </w:p>
        </w:tc>
        <w:tc>
          <w:tcPr>
            <w:tcW w:w="2131" w:type="dxa"/>
            <w:shd w:val="clear" w:color="000000" w:fill="FFFFFF"/>
            <w:noWrap/>
            <w:vAlign w:val="bottom"/>
          </w:tcPr>
          <w:p w14:paraId="6914C8A9"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9</w:t>
            </w:r>
            <w:r>
              <w:rPr>
                <w:rFonts w:ascii="Times New Roman" w:eastAsia="Times New Roman" w:hAnsi="Times New Roman" w:cs="Times New Roman"/>
                <w:color w:val="000000"/>
                <w:sz w:val="22"/>
                <w:lang w:val="en-GB"/>
              </w:rPr>
              <w:t>7</w:t>
            </w:r>
            <w:r w:rsidRPr="00D95AC0">
              <w:rPr>
                <w:rFonts w:ascii="Times New Roman" w:eastAsia="Times New Roman" w:hAnsi="Times New Roman" w:cs="Times New Roman"/>
                <w:color w:val="000000"/>
                <w:sz w:val="22"/>
                <w:lang w:val="en-GB"/>
              </w:rPr>
              <w:t xml:space="preserve"> (96)</w:t>
            </w:r>
          </w:p>
        </w:tc>
        <w:tc>
          <w:tcPr>
            <w:tcW w:w="2628" w:type="dxa"/>
            <w:shd w:val="clear" w:color="000000" w:fill="FFFFFF"/>
          </w:tcPr>
          <w:p w14:paraId="5D62FCF2"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NA</w:t>
            </w:r>
          </w:p>
        </w:tc>
      </w:tr>
      <w:tr w:rsidR="00FA1D9C" w:rsidRPr="00310CC2" w14:paraId="74F1F1F6" w14:textId="77777777" w:rsidTr="00AF7ECF">
        <w:trPr>
          <w:trHeight w:val="300"/>
        </w:trPr>
        <w:tc>
          <w:tcPr>
            <w:tcW w:w="2552" w:type="dxa"/>
            <w:tcBorders>
              <w:bottom w:val="single" w:sz="4" w:space="0" w:color="auto"/>
            </w:tcBorders>
            <w:shd w:val="clear" w:color="000000" w:fill="FFFFFF"/>
            <w:noWrap/>
            <w:vAlign w:val="bottom"/>
          </w:tcPr>
          <w:p w14:paraId="31667F09"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 xml:space="preserve">   LVAD</w:t>
            </w:r>
          </w:p>
        </w:tc>
        <w:tc>
          <w:tcPr>
            <w:tcW w:w="2131" w:type="dxa"/>
            <w:tcBorders>
              <w:bottom w:val="single" w:sz="4" w:space="0" w:color="auto"/>
            </w:tcBorders>
            <w:shd w:val="clear" w:color="000000" w:fill="FFFFFF"/>
            <w:noWrap/>
            <w:vAlign w:val="bottom"/>
          </w:tcPr>
          <w:p w14:paraId="4424513D"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4 (</w:t>
            </w:r>
            <w:r>
              <w:rPr>
                <w:rFonts w:ascii="Times New Roman" w:eastAsia="Times New Roman" w:hAnsi="Times New Roman" w:cs="Times New Roman"/>
                <w:color w:val="000000"/>
                <w:sz w:val="22"/>
                <w:lang w:val="en-GB"/>
              </w:rPr>
              <w:t>4</w:t>
            </w:r>
            <w:r w:rsidRPr="00D95AC0">
              <w:rPr>
                <w:rFonts w:ascii="Times New Roman" w:eastAsia="Times New Roman" w:hAnsi="Times New Roman" w:cs="Times New Roman"/>
                <w:color w:val="000000"/>
                <w:sz w:val="22"/>
                <w:lang w:val="en-GB"/>
              </w:rPr>
              <w:t>)</w:t>
            </w:r>
          </w:p>
        </w:tc>
        <w:tc>
          <w:tcPr>
            <w:tcW w:w="2628" w:type="dxa"/>
            <w:tcBorders>
              <w:bottom w:val="single" w:sz="4" w:space="0" w:color="auto"/>
            </w:tcBorders>
            <w:shd w:val="clear" w:color="000000" w:fill="FFFFFF"/>
          </w:tcPr>
          <w:p w14:paraId="404D6A40" w14:textId="77777777" w:rsidR="00FA1D9C" w:rsidRPr="00D95AC0" w:rsidRDefault="00FA1D9C" w:rsidP="0092319D">
            <w:pPr>
              <w:spacing w:after="0" w:line="240" w:lineRule="auto"/>
              <w:rPr>
                <w:rFonts w:ascii="Times New Roman" w:eastAsia="Times New Roman" w:hAnsi="Times New Roman" w:cs="Times New Roman"/>
                <w:color w:val="000000"/>
                <w:sz w:val="22"/>
                <w:lang w:val="en-GB"/>
              </w:rPr>
            </w:pPr>
            <w:r w:rsidRPr="00D95AC0">
              <w:rPr>
                <w:rFonts w:ascii="Times New Roman" w:eastAsia="Times New Roman" w:hAnsi="Times New Roman" w:cs="Times New Roman"/>
                <w:color w:val="000000"/>
                <w:sz w:val="22"/>
                <w:lang w:val="en-GB"/>
              </w:rPr>
              <w:t>NA</w:t>
            </w:r>
          </w:p>
        </w:tc>
      </w:tr>
      <w:tr w:rsidR="00FA1D9C" w:rsidRPr="00310CC2" w14:paraId="63501FE1" w14:textId="77777777" w:rsidTr="00AF7ECF">
        <w:trPr>
          <w:trHeight w:val="300"/>
        </w:trPr>
        <w:tc>
          <w:tcPr>
            <w:tcW w:w="7311" w:type="dxa"/>
            <w:gridSpan w:val="3"/>
            <w:tcBorders>
              <w:top w:val="single" w:sz="4" w:space="0" w:color="auto"/>
            </w:tcBorders>
            <w:shd w:val="clear" w:color="auto" w:fill="auto"/>
            <w:noWrap/>
            <w:vAlign w:val="bottom"/>
            <w:hideMark/>
          </w:tcPr>
          <w:p w14:paraId="00DC6CF9" w14:textId="77777777" w:rsidR="00FA1D9C" w:rsidRPr="00D95AC0" w:rsidRDefault="00FA1D9C" w:rsidP="0092319D">
            <w:pPr>
              <w:spacing w:after="0" w:line="240" w:lineRule="auto"/>
              <w:rPr>
                <w:rFonts w:ascii="Times New Roman" w:eastAsia="Times New Roman" w:hAnsi="Times New Roman" w:cs="Times New Roman"/>
                <w:color w:val="000000"/>
                <w:sz w:val="20"/>
                <w:szCs w:val="20"/>
                <w:lang w:val="en-GB"/>
              </w:rPr>
            </w:pPr>
          </w:p>
          <w:p w14:paraId="234D30A6" w14:textId="77777777" w:rsidR="00FA1D9C" w:rsidRPr="00D95AC0" w:rsidRDefault="00FA1D9C" w:rsidP="0092319D">
            <w:pPr>
              <w:spacing w:after="0" w:line="240" w:lineRule="auto"/>
              <w:rPr>
                <w:rFonts w:ascii="Times New Roman" w:eastAsia="Times New Roman" w:hAnsi="Times New Roman" w:cs="Times New Roman"/>
                <w:color w:val="000000"/>
                <w:sz w:val="20"/>
                <w:szCs w:val="20"/>
                <w:lang w:val="en-GB"/>
              </w:rPr>
            </w:pPr>
            <w:r w:rsidRPr="00D95AC0">
              <w:rPr>
                <w:rFonts w:ascii="Times New Roman" w:eastAsia="Times New Roman" w:hAnsi="Times New Roman" w:cs="Times New Roman"/>
                <w:color w:val="000000"/>
                <w:sz w:val="20"/>
                <w:szCs w:val="20"/>
                <w:lang w:val="en-GB"/>
              </w:rPr>
              <w:t>CABG, coronary artery bypass graft; HTx, heart transplant; LVAD, Left ventricular assist device; NA, not available/applicable; PCI, percutaneous coronary intervention. A total of 87 individuals (0.3%) from the MDCS had been diagnosed with HF prior to study inclusion.</w:t>
            </w:r>
          </w:p>
        </w:tc>
      </w:tr>
    </w:tbl>
    <w:p w14:paraId="13E3DC56" w14:textId="77777777" w:rsidR="00FA1D9C" w:rsidRPr="00D95AC0" w:rsidRDefault="00FA1D9C" w:rsidP="0092319D">
      <w:pPr>
        <w:rPr>
          <w:rFonts w:ascii="Times New Roman" w:hAnsi="Times New Roman" w:cs="Times New Roman"/>
          <w:lang w:val="en-GB"/>
        </w:rPr>
      </w:pPr>
    </w:p>
    <w:p w14:paraId="27888617" w14:textId="77777777" w:rsidR="00FA1D9C" w:rsidRPr="00D95AC0" w:rsidRDefault="00FA1D9C" w:rsidP="0092319D">
      <w:pPr>
        <w:rPr>
          <w:rFonts w:ascii="Times New Roman" w:hAnsi="Times New Roman" w:cs="Times New Roman"/>
          <w:lang w:val="en-GB"/>
        </w:rPr>
      </w:pPr>
    </w:p>
    <w:p w14:paraId="3B8CF8B2" w14:textId="77777777" w:rsidR="00FA1D9C" w:rsidRPr="00D95AC0" w:rsidRDefault="00FA1D9C" w:rsidP="0092319D">
      <w:pPr>
        <w:rPr>
          <w:rFonts w:ascii="Times New Roman" w:hAnsi="Times New Roman" w:cs="Times New Roman"/>
          <w:lang w:val="en-GB"/>
        </w:rPr>
      </w:pPr>
    </w:p>
    <w:p w14:paraId="2A2DA46D" w14:textId="77777777" w:rsidR="00FA1D9C" w:rsidRPr="00D95AC0" w:rsidRDefault="00FA1D9C" w:rsidP="0092319D">
      <w:pPr>
        <w:rPr>
          <w:rFonts w:ascii="Times New Roman" w:hAnsi="Times New Roman" w:cs="Times New Roman"/>
          <w:lang w:val="en-GB"/>
        </w:rPr>
      </w:pPr>
    </w:p>
    <w:p w14:paraId="3409A252" w14:textId="77777777" w:rsidR="00FA1D9C" w:rsidRPr="00D95AC0" w:rsidRDefault="00FA1D9C" w:rsidP="0092319D">
      <w:pPr>
        <w:spacing w:after="0" w:line="240" w:lineRule="auto"/>
        <w:rPr>
          <w:rFonts w:ascii="Times New Roman" w:eastAsia="Times New Roman" w:hAnsi="Times New Roman" w:cs="Times New Roman"/>
          <w:b/>
          <w:bCs/>
          <w:color w:val="000000"/>
          <w:sz w:val="22"/>
          <w:lang w:val="en-GB"/>
        </w:rPr>
        <w:sectPr w:rsidR="00FA1D9C" w:rsidRPr="00D95AC0" w:rsidSect="00FA1D9C">
          <w:pgSz w:w="11906" w:h="16838"/>
          <w:pgMar w:top="1417" w:right="1417" w:bottom="1417" w:left="1417" w:header="708" w:footer="708" w:gutter="0"/>
          <w:cols w:space="708"/>
          <w:docGrid w:linePitch="360"/>
        </w:sectPr>
      </w:pPr>
    </w:p>
    <w:tbl>
      <w:tblPr>
        <w:tblW w:w="1367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051"/>
        <w:gridCol w:w="3330"/>
        <w:gridCol w:w="2268"/>
        <w:gridCol w:w="709"/>
        <w:gridCol w:w="990"/>
        <w:gridCol w:w="1276"/>
        <w:gridCol w:w="3121"/>
      </w:tblGrid>
      <w:tr w:rsidR="00FA1D9C" w:rsidRPr="00310CC2" w14:paraId="01C5DC24" w14:textId="77777777" w:rsidTr="00C12BD1">
        <w:trPr>
          <w:trHeight w:val="399"/>
        </w:trPr>
        <w:tc>
          <w:tcPr>
            <w:tcW w:w="13679" w:type="dxa"/>
            <w:gridSpan w:val="8"/>
            <w:tcBorders>
              <w:top w:val="nil"/>
              <w:left w:val="nil"/>
              <w:bottom w:val="single" w:sz="4" w:space="0" w:color="auto"/>
              <w:right w:val="nil"/>
            </w:tcBorders>
            <w:shd w:val="clear" w:color="auto" w:fill="auto"/>
            <w:noWrap/>
            <w:vAlign w:val="center"/>
          </w:tcPr>
          <w:p w14:paraId="70A4EA85" w14:textId="3D3666CD" w:rsidR="00FA1D9C" w:rsidRPr="00D95AC0" w:rsidRDefault="00FA1D9C" w:rsidP="006A439B">
            <w:pPr>
              <w:spacing w:after="0" w:line="276" w:lineRule="auto"/>
              <w:rPr>
                <w:rFonts w:ascii="Times New Roman" w:eastAsia="Times New Roman" w:hAnsi="Times New Roman" w:cs="Times New Roman"/>
                <w:b/>
                <w:bCs/>
                <w:color w:val="000000"/>
                <w:sz w:val="22"/>
                <w:lang w:val="en-GB"/>
              </w:rPr>
            </w:pPr>
            <w:r w:rsidRPr="00D95AC0">
              <w:rPr>
                <w:rFonts w:ascii="Times New Roman" w:eastAsia="Times New Roman" w:hAnsi="Times New Roman" w:cs="Times New Roman"/>
                <w:b/>
                <w:bCs/>
                <w:color w:val="000000"/>
                <w:sz w:val="22"/>
                <w:lang w:val="en-GB"/>
              </w:rPr>
              <w:lastRenderedPageBreak/>
              <w:t>Table S</w:t>
            </w:r>
            <w:r>
              <w:rPr>
                <w:rFonts w:ascii="Times New Roman" w:eastAsia="Times New Roman" w:hAnsi="Times New Roman" w:cs="Times New Roman"/>
                <w:b/>
                <w:bCs/>
                <w:color w:val="000000"/>
                <w:sz w:val="22"/>
                <w:lang w:val="en-GB"/>
              </w:rPr>
              <w:t>4</w:t>
            </w:r>
            <w:r w:rsidRPr="00D95AC0">
              <w:rPr>
                <w:rFonts w:ascii="Times New Roman" w:eastAsia="Times New Roman" w:hAnsi="Times New Roman" w:cs="Times New Roman"/>
                <w:b/>
                <w:bCs/>
                <w:color w:val="000000"/>
                <w:sz w:val="22"/>
                <w:lang w:val="en-GB"/>
              </w:rPr>
              <w:t xml:space="preserve">. </w:t>
            </w:r>
            <w:r w:rsidRPr="00D95AC0">
              <w:rPr>
                <w:rFonts w:ascii="Times New Roman" w:eastAsia="Times New Roman" w:hAnsi="Times New Roman" w:cs="Times New Roman"/>
                <w:color w:val="000000"/>
                <w:sz w:val="22"/>
                <w:lang w:val="en-GB"/>
              </w:rPr>
              <w:t>List of all variants classified as pathogenic, likely pathogenic, or as variants of uncertain significance with suggestive evidence of pathogenicity. Note that a few individuals had more than one variant simultaneously.</w:t>
            </w:r>
          </w:p>
        </w:tc>
      </w:tr>
      <w:tr w:rsidR="00FA1D9C" w:rsidRPr="00310CC2" w14:paraId="769FDBD1" w14:textId="77777777" w:rsidTr="00C12BD1">
        <w:trPr>
          <w:trHeight w:val="683"/>
        </w:trPr>
        <w:tc>
          <w:tcPr>
            <w:tcW w:w="934" w:type="dxa"/>
            <w:tcBorders>
              <w:top w:val="single" w:sz="4" w:space="0" w:color="auto"/>
            </w:tcBorders>
            <w:shd w:val="clear" w:color="auto" w:fill="002060"/>
            <w:noWrap/>
            <w:vAlign w:val="center"/>
            <w:hideMark/>
          </w:tcPr>
          <w:p w14:paraId="1E9B133E" w14:textId="77777777" w:rsidR="00FA1D9C" w:rsidRPr="00D95AC0" w:rsidRDefault="00FA1D9C" w:rsidP="006A439B">
            <w:pPr>
              <w:spacing w:after="0" w:line="276" w:lineRule="auto"/>
              <w:jc w:val="center"/>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Subject</w:t>
            </w:r>
          </w:p>
        </w:tc>
        <w:tc>
          <w:tcPr>
            <w:tcW w:w="1051" w:type="dxa"/>
            <w:tcBorders>
              <w:top w:val="single" w:sz="4" w:space="0" w:color="auto"/>
            </w:tcBorders>
            <w:shd w:val="clear" w:color="auto" w:fill="002060"/>
            <w:noWrap/>
            <w:vAlign w:val="center"/>
            <w:hideMark/>
          </w:tcPr>
          <w:p w14:paraId="3E3DF3EA" w14:textId="77777777" w:rsidR="00FA1D9C" w:rsidRPr="00D95AC0" w:rsidRDefault="00FA1D9C" w:rsidP="006A439B">
            <w:pPr>
              <w:spacing w:after="0" w:line="276" w:lineRule="auto"/>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Gene</w:t>
            </w:r>
          </w:p>
        </w:tc>
        <w:tc>
          <w:tcPr>
            <w:tcW w:w="3330" w:type="dxa"/>
            <w:tcBorders>
              <w:top w:val="single" w:sz="4" w:space="0" w:color="auto"/>
            </w:tcBorders>
            <w:shd w:val="clear" w:color="auto" w:fill="002060"/>
            <w:noWrap/>
            <w:vAlign w:val="center"/>
            <w:hideMark/>
          </w:tcPr>
          <w:p w14:paraId="69C31FF0" w14:textId="77777777" w:rsidR="00FA1D9C" w:rsidRPr="00D95AC0" w:rsidRDefault="00FA1D9C" w:rsidP="006A439B">
            <w:pPr>
              <w:spacing w:after="0" w:line="276" w:lineRule="auto"/>
              <w:rPr>
                <w:rFonts w:ascii="Times New Roman" w:eastAsia="Times New Roman" w:hAnsi="Times New Roman" w:cs="Times New Roman"/>
                <w:b/>
                <w:bCs/>
                <w:sz w:val="21"/>
                <w:szCs w:val="21"/>
                <w:lang w:val="en-GB"/>
              </w:rPr>
            </w:pPr>
            <w:proofErr w:type="spellStart"/>
            <w:r w:rsidRPr="00D95AC0">
              <w:rPr>
                <w:rFonts w:ascii="Times New Roman" w:eastAsia="Times New Roman" w:hAnsi="Times New Roman" w:cs="Times New Roman"/>
                <w:b/>
                <w:bCs/>
                <w:sz w:val="21"/>
                <w:szCs w:val="21"/>
                <w:lang w:val="en-GB"/>
              </w:rPr>
              <w:t>HGVSc</w:t>
            </w:r>
            <w:proofErr w:type="spellEnd"/>
          </w:p>
        </w:tc>
        <w:tc>
          <w:tcPr>
            <w:tcW w:w="2268" w:type="dxa"/>
            <w:tcBorders>
              <w:top w:val="single" w:sz="4" w:space="0" w:color="auto"/>
            </w:tcBorders>
            <w:shd w:val="clear" w:color="auto" w:fill="002060"/>
            <w:noWrap/>
            <w:vAlign w:val="center"/>
            <w:hideMark/>
          </w:tcPr>
          <w:p w14:paraId="7DAD2269" w14:textId="77777777" w:rsidR="00FA1D9C" w:rsidRPr="00D95AC0" w:rsidRDefault="00FA1D9C" w:rsidP="006A439B">
            <w:pPr>
              <w:spacing w:after="0" w:line="276" w:lineRule="auto"/>
              <w:rPr>
                <w:rFonts w:ascii="Times New Roman" w:eastAsia="Times New Roman" w:hAnsi="Times New Roman" w:cs="Times New Roman"/>
                <w:b/>
                <w:bCs/>
                <w:sz w:val="21"/>
                <w:szCs w:val="21"/>
                <w:lang w:val="en-GB"/>
              </w:rPr>
            </w:pPr>
            <w:proofErr w:type="spellStart"/>
            <w:r w:rsidRPr="00D95AC0">
              <w:rPr>
                <w:rFonts w:ascii="Times New Roman" w:eastAsia="Times New Roman" w:hAnsi="Times New Roman" w:cs="Times New Roman"/>
                <w:b/>
                <w:bCs/>
                <w:sz w:val="21"/>
                <w:szCs w:val="21"/>
                <w:lang w:val="en-GB"/>
              </w:rPr>
              <w:t>HGVSp</w:t>
            </w:r>
            <w:proofErr w:type="spellEnd"/>
          </w:p>
        </w:tc>
        <w:tc>
          <w:tcPr>
            <w:tcW w:w="709" w:type="dxa"/>
            <w:tcBorders>
              <w:top w:val="single" w:sz="4" w:space="0" w:color="auto"/>
            </w:tcBorders>
            <w:shd w:val="clear" w:color="auto" w:fill="002060"/>
            <w:noWrap/>
            <w:vAlign w:val="center"/>
            <w:hideMark/>
          </w:tcPr>
          <w:p w14:paraId="760E0962" w14:textId="77777777" w:rsidR="00FA1D9C" w:rsidRPr="00D95AC0" w:rsidRDefault="00FA1D9C" w:rsidP="006A439B">
            <w:pPr>
              <w:spacing w:after="0" w:line="276" w:lineRule="auto"/>
              <w:jc w:val="center"/>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Path. score</w:t>
            </w:r>
          </w:p>
        </w:tc>
        <w:tc>
          <w:tcPr>
            <w:tcW w:w="990" w:type="dxa"/>
            <w:tcBorders>
              <w:top w:val="single" w:sz="4" w:space="0" w:color="auto"/>
            </w:tcBorders>
            <w:shd w:val="clear" w:color="auto" w:fill="002060"/>
            <w:noWrap/>
            <w:vAlign w:val="center"/>
            <w:hideMark/>
          </w:tcPr>
          <w:p w14:paraId="138ADC88" w14:textId="77777777" w:rsidR="00FA1D9C" w:rsidRPr="00D95AC0" w:rsidRDefault="00FA1D9C" w:rsidP="006A439B">
            <w:pPr>
              <w:spacing w:after="0" w:line="276" w:lineRule="auto"/>
              <w:jc w:val="center"/>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Class</w:t>
            </w:r>
          </w:p>
        </w:tc>
        <w:tc>
          <w:tcPr>
            <w:tcW w:w="1276" w:type="dxa"/>
            <w:tcBorders>
              <w:top w:val="single" w:sz="4" w:space="0" w:color="auto"/>
            </w:tcBorders>
            <w:shd w:val="clear" w:color="auto" w:fill="002060"/>
            <w:noWrap/>
            <w:vAlign w:val="center"/>
            <w:hideMark/>
          </w:tcPr>
          <w:p w14:paraId="513AFE7C" w14:textId="77777777" w:rsidR="00FA1D9C" w:rsidRPr="00D95AC0" w:rsidRDefault="00FA1D9C" w:rsidP="006A439B">
            <w:pPr>
              <w:spacing w:after="0" w:line="276" w:lineRule="auto"/>
              <w:jc w:val="center"/>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Phenotype</w:t>
            </w:r>
          </w:p>
        </w:tc>
        <w:tc>
          <w:tcPr>
            <w:tcW w:w="3121" w:type="dxa"/>
            <w:tcBorders>
              <w:top w:val="single" w:sz="4" w:space="0" w:color="auto"/>
            </w:tcBorders>
            <w:shd w:val="clear" w:color="auto" w:fill="002060"/>
            <w:noWrap/>
            <w:vAlign w:val="center"/>
            <w:hideMark/>
          </w:tcPr>
          <w:p w14:paraId="5F41B3E9" w14:textId="77777777" w:rsidR="00FA1D9C" w:rsidRPr="00D95AC0" w:rsidRDefault="00FA1D9C" w:rsidP="006A439B">
            <w:pPr>
              <w:spacing w:after="0" w:line="276" w:lineRule="auto"/>
              <w:jc w:val="center"/>
              <w:rPr>
                <w:rFonts w:ascii="Times New Roman" w:eastAsia="Times New Roman" w:hAnsi="Times New Roman" w:cs="Times New Roman"/>
                <w:b/>
                <w:bCs/>
                <w:sz w:val="21"/>
                <w:szCs w:val="21"/>
                <w:lang w:val="en-GB"/>
              </w:rPr>
            </w:pPr>
            <w:r w:rsidRPr="00D95AC0">
              <w:rPr>
                <w:rFonts w:ascii="Times New Roman" w:eastAsia="Times New Roman" w:hAnsi="Times New Roman" w:cs="Times New Roman"/>
                <w:b/>
                <w:bCs/>
                <w:sz w:val="21"/>
                <w:szCs w:val="21"/>
                <w:lang w:val="en-GB"/>
              </w:rPr>
              <w:t>Comment</w:t>
            </w:r>
          </w:p>
        </w:tc>
      </w:tr>
      <w:tr w:rsidR="00FA1D9C" w:rsidRPr="00310CC2" w14:paraId="768E0FF6" w14:textId="77777777" w:rsidTr="00C12BD1">
        <w:trPr>
          <w:trHeight w:val="113"/>
        </w:trPr>
        <w:tc>
          <w:tcPr>
            <w:tcW w:w="934" w:type="dxa"/>
            <w:shd w:val="clear" w:color="auto" w:fill="auto"/>
            <w:noWrap/>
            <w:hideMark/>
          </w:tcPr>
          <w:p w14:paraId="6DC0C986"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w:t>
            </w:r>
          </w:p>
        </w:tc>
        <w:tc>
          <w:tcPr>
            <w:tcW w:w="1051" w:type="dxa"/>
            <w:shd w:val="clear" w:color="auto" w:fill="auto"/>
            <w:noWrap/>
            <w:hideMark/>
          </w:tcPr>
          <w:p w14:paraId="18000967"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TNNT2</w:t>
            </w:r>
          </w:p>
        </w:tc>
        <w:tc>
          <w:tcPr>
            <w:tcW w:w="3330" w:type="dxa"/>
            <w:shd w:val="clear" w:color="auto" w:fill="auto"/>
            <w:noWrap/>
            <w:hideMark/>
          </w:tcPr>
          <w:p w14:paraId="5475614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NM_001276345.</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776A&gt;C</w:t>
            </w:r>
          </w:p>
        </w:tc>
        <w:tc>
          <w:tcPr>
            <w:tcW w:w="2268" w:type="dxa"/>
            <w:shd w:val="clear" w:color="auto" w:fill="auto"/>
            <w:noWrap/>
            <w:hideMark/>
          </w:tcPr>
          <w:p w14:paraId="3622993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p.Asp</w:t>
            </w:r>
            <w:proofErr w:type="gramEnd"/>
            <w:r w:rsidRPr="00D95AC0">
              <w:rPr>
                <w:rFonts w:ascii="Times New Roman" w:eastAsia="Times New Roman" w:hAnsi="Times New Roman" w:cs="Times New Roman"/>
                <w:color w:val="000000"/>
                <w:sz w:val="21"/>
                <w:szCs w:val="21"/>
                <w:lang w:val="en-GB"/>
              </w:rPr>
              <w:t>259Ala</w:t>
            </w:r>
          </w:p>
        </w:tc>
        <w:tc>
          <w:tcPr>
            <w:tcW w:w="709" w:type="dxa"/>
            <w:shd w:val="clear" w:color="auto" w:fill="auto"/>
            <w:noWrap/>
            <w:hideMark/>
          </w:tcPr>
          <w:p w14:paraId="685DCA4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7126993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70D13B2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25D85052"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2195B3BC" w14:textId="77777777" w:rsidTr="00C12BD1">
        <w:trPr>
          <w:trHeight w:val="113"/>
        </w:trPr>
        <w:tc>
          <w:tcPr>
            <w:tcW w:w="934" w:type="dxa"/>
            <w:shd w:val="clear" w:color="auto" w:fill="auto"/>
            <w:noWrap/>
            <w:hideMark/>
          </w:tcPr>
          <w:p w14:paraId="430736B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p>
        </w:tc>
        <w:tc>
          <w:tcPr>
            <w:tcW w:w="1051" w:type="dxa"/>
            <w:shd w:val="clear" w:color="auto" w:fill="auto"/>
            <w:noWrap/>
            <w:hideMark/>
          </w:tcPr>
          <w:p w14:paraId="06CB0F7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PKD1</w:t>
            </w:r>
          </w:p>
        </w:tc>
        <w:tc>
          <w:tcPr>
            <w:tcW w:w="3330" w:type="dxa"/>
            <w:shd w:val="clear" w:color="auto" w:fill="auto"/>
            <w:noWrap/>
            <w:hideMark/>
          </w:tcPr>
          <w:p w14:paraId="371DA4F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NM_001009944.</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8299C&gt;T</w:t>
            </w:r>
          </w:p>
        </w:tc>
        <w:tc>
          <w:tcPr>
            <w:tcW w:w="2268" w:type="dxa"/>
            <w:shd w:val="clear" w:color="auto" w:fill="auto"/>
            <w:noWrap/>
            <w:hideMark/>
          </w:tcPr>
          <w:p w14:paraId="074E9C4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2767Cys</w:t>
            </w:r>
          </w:p>
        </w:tc>
        <w:tc>
          <w:tcPr>
            <w:tcW w:w="709" w:type="dxa"/>
            <w:shd w:val="clear" w:color="auto" w:fill="auto"/>
            <w:noWrap/>
            <w:hideMark/>
          </w:tcPr>
          <w:p w14:paraId="6DCE35F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30</w:t>
            </w:r>
          </w:p>
        </w:tc>
        <w:tc>
          <w:tcPr>
            <w:tcW w:w="990" w:type="dxa"/>
            <w:shd w:val="clear" w:color="auto" w:fill="auto"/>
            <w:noWrap/>
            <w:hideMark/>
          </w:tcPr>
          <w:p w14:paraId="1AFA483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0EB0171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ICM</w:t>
            </w:r>
          </w:p>
        </w:tc>
        <w:tc>
          <w:tcPr>
            <w:tcW w:w="3121" w:type="dxa"/>
            <w:shd w:val="clear" w:color="auto" w:fill="auto"/>
            <w:noWrap/>
            <w:hideMark/>
          </w:tcPr>
          <w:p w14:paraId="14732D18"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Known polycystic kidney disease</w:t>
            </w:r>
          </w:p>
        </w:tc>
      </w:tr>
      <w:tr w:rsidR="00FA1D9C" w:rsidRPr="00310CC2" w14:paraId="4C492822" w14:textId="77777777" w:rsidTr="00C12BD1">
        <w:trPr>
          <w:trHeight w:val="113"/>
        </w:trPr>
        <w:tc>
          <w:tcPr>
            <w:tcW w:w="934" w:type="dxa"/>
            <w:shd w:val="clear" w:color="auto" w:fill="auto"/>
            <w:noWrap/>
            <w:hideMark/>
          </w:tcPr>
          <w:p w14:paraId="071CE7C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p>
        </w:tc>
        <w:tc>
          <w:tcPr>
            <w:tcW w:w="1051" w:type="dxa"/>
            <w:shd w:val="clear" w:color="auto" w:fill="auto"/>
            <w:noWrap/>
            <w:hideMark/>
          </w:tcPr>
          <w:p w14:paraId="7AF369E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TNNT2</w:t>
            </w:r>
          </w:p>
        </w:tc>
        <w:tc>
          <w:tcPr>
            <w:tcW w:w="3330" w:type="dxa"/>
            <w:shd w:val="clear" w:color="auto" w:fill="auto"/>
            <w:noWrap/>
            <w:hideMark/>
          </w:tcPr>
          <w:p w14:paraId="67334CE9"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NM_001276345.</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547C&gt;T</w:t>
            </w:r>
          </w:p>
        </w:tc>
        <w:tc>
          <w:tcPr>
            <w:tcW w:w="2268" w:type="dxa"/>
            <w:shd w:val="clear" w:color="auto" w:fill="auto"/>
            <w:noWrap/>
            <w:hideMark/>
          </w:tcPr>
          <w:p w14:paraId="361A8041"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183Trp</w:t>
            </w:r>
          </w:p>
        </w:tc>
        <w:tc>
          <w:tcPr>
            <w:tcW w:w="709" w:type="dxa"/>
            <w:shd w:val="clear" w:color="auto" w:fill="auto"/>
            <w:noWrap/>
            <w:hideMark/>
          </w:tcPr>
          <w:p w14:paraId="31B70FE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32</w:t>
            </w:r>
          </w:p>
        </w:tc>
        <w:tc>
          <w:tcPr>
            <w:tcW w:w="990" w:type="dxa"/>
            <w:shd w:val="clear" w:color="auto" w:fill="auto"/>
            <w:noWrap/>
            <w:hideMark/>
          </w:tcPr>
          <w:p w14:paraId="56E93BE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4CAAD3F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5093AC63"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D25C4D7" w14:textId="77777777" w:rsidTr="00C12BD1">
        <w:trPr>
          <w:trHeight w:val="113"/>
        </w:trPr>
        <w:tc>
          <w:tcPr>
            <w:tcW w:w="934" w:type="dxa"/>
            <w:shd w:val="clear" w:color="auto" w:fill="auto"/>
            <w:noWrap/>
            <w:hideMark/>
          </w:tcPr>
          <w:p w14:paraId="2D9575D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p>
        </w:tc>
        <w:tc>
          <w:tcPr>
            <w:tcW w:w="1051" w:type="dxa"/>
            <w:shd w:val="clear" w:color="auto" w:fill="auto"/>
            <w:noWrap/>
            <w:hideMark/>
          </w:tcPr>
          <w:p w14:paraId="59D6C2F9" w14:textId="77777777" w:rsidR="00FA1D9C" w:rsidRPr="00D95AC0" w:rsidRDefault="00FA1D9C" w:rsidP="006A439B">
            <w:pPr>
              <w:spacing w:after="0" w:line="276" w:lineRule="auto"/>
              <w:rPr>
                <w:rFonts w:ascii="Times New Roman" w:eastAsia="Times New Roman" w:hAnsi="Times New Roman" w:cs="Times New Roman"/>
                <w:i/>
                <w:iCs/>
                <w:sz w:val="21"/>
                <w:szCs w:val="21"/>
                <w:lang w:val="en-GB"/>
              </w:rPr>
            </w:pPr>
            <w:r w:rsidRPr="00D95AC0">
              <w:rPr>
                <w:rFonts w:ascii="Times New Roman" w:eastAsia="Times New Roman" w:hAnsi="Times New Roman" w:cs="Times New Roman"/>
                <w:i/>
                <w:iCs/>
                <w:sz w:val="21"/>
                <w:szCs w:val="21"/>
                <w:lang w:val="en-GB"/>
              </w:rPr>
              <w:t>FLNC</w:t>
            </w:r>
          </w:p>
        </w:tc>
        <w:tc>
          <w:tcPr>
            <w:tcW w:w="3330" w:type="dxa"/>
            <w:shd w:val="clear" w:color="auto" w:fill="auto"/>
            <w:noWrap/>
            <w:hideMark/>
          </w:tcPr>
          <w:p w14:paraId="1F02ACB1"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NM_001458.</w:t>
            </w:r>
            <w:proofErr w:type="gramStart"/>
            <w:r w:rsidRPr="00D95AC0">
              <w:rPr>
                <w:rFonts w:ascii="Times New Roman" w:eastAsia="Times New Roman" w:hAnsi="Times New Roman" w:cs="Times New Roman"/>
                <w:sz w:val="21"/>
                <w:szCs w:val="21"/>
                <w:lang w:val="en-GB"/>
              </w:rPr>
              <w:t>5:c.</w:t>
            </w:r>
            <w:proofErr w:type="gramEnd"/>
            <w:r w:rsidRPr="00D95AC0">
              <w:rPr>
                <w:rFonts w:ascii="Times New Roman" w:eastAsia="Times New Roman" w:hAnsi="Times New Roman" w:cs="Times New Roman"/>
                <w:sz w:val="21"/>
                <w:szCs w:val="21"/>
                <w:lang w:val="en-GB"/>
              </w:rPr>
              <w:t>4181A&gt;G</w:t>
            </w:r>
          </w:p>
        </w:tc>
        <w:tc>
          <w:tcPr>
            <w:tcW w:w="2268" w:type="dxa"/>
            <w:shd w:val="clear" w:color="auto" w:fill="auto"/>
            <w:noWrap/>
            <w:hideMark/>
          </w:tcPr>
          <w:p w14:paraId="44A7BACC"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roofErr w:type="gramStart"/>
            <w:r w:rsidRPr="00D95AC0">
              <w:rPr>
                <w:rFonts w:ascii="Times New Roman" w:eastAsia="Times New Roman" w:hAnsi="Times New Roman" w:cs="Times New Roman"/>
                <w:sz w:val="21"/>
                <w:szCs w:val="21"/>
                <w:lang w:val="en-GB"/>
              </w:rPr>
              <w:t>p.Lys</w:t>
            </w:r>
            <w:proofErr w:type="gramEnd"/>
            <w:r w:rsidRPr="00D95AC0">
              <w:rPr>
                <w:rFonts w:ascii="Times New Roman" w:eastAsia="Times New Roman" w:hAnsi="Times New Roman" w:cs="Times New Roman"/>
                <w:sz w:val="21"/>
                <w:szCs w:val="21"/>
                <w:lang w:val="en-GB"/>
              </w:rPr>
              <w:t>1394Arg</w:t>
            </w:r>
          </w:p>
        </w:tc>
        <w:tc>
          <w:tcPr>
            <w:tcW w:w="709" w:type="dxa"/>
            <w:shd w:val="clear" w:color="auto" w:fill="auto"/>
            <w:noWrap/>
            <w:hideMark/>
          </w:tcPr>
          <w:p w14:paraId="71B5FC4C"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30</w:t>
            </w:r>
          </w:p>
        </w:tc>
        <w:tc>
          <w:tcPr>
            <w:tcW w:w="990" w:type="dxa"/>
            <w:shd w:val="clear" w:color="auto" w:fill="auto"/>
            <w:noWrap/>
            <w:hideMark/>
          </w:tcPr>
          <w:p w14:paraId="6D9CE7C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37753E1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DCM</w:t>
            </w:r>
          </w:p>
        </w:tc>
        <w:tc>
          <w:tcPr>
            <w:tcW w:w="3121" w:type="dxa"/>
            <w:shd w:val="clear" w:color="auto" w:fill="auto"/>
            <w:noWrap/>
            <w:hideMark/>
          </w:tcPr>
          <w:p w14:paraId="27DB24F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62462125" w14:textId="77777777" w:rsidTr="00C12BD1">
        <w:trPr>
          <w:trHeight w:val="113"/>
        </w:trPr>
        <w:tc>
          <w:tcPr>
            <w:tcW w:w="934" w:type="dxa"/>
            <w:shd w:val="clear" w:color="auto" w:fill="auto"/>
            <w:noWrap/>
            <w:hideMark/>
          </w:tcPr>
          <w:p w14:paraId="4CFD2CE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5</w:t>
            </w:r>
          </w:p>
        </w:tc>
        <w:tc>
          <w:tcPr>
            <w:tcW w:w="1051" w:type="dxa"/>
            <w:shd w:val="clear" w:color="auto" w:fill="auto"/>
            <w:noWrap/>
            <w:hideMark/>
          </w:tcPr>
          <w:p w14:paraId="27B111C8"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LAMP2</w:t>
            </w:r>
          </w:p>
        </w:tc>
        <w:tc>
          <w:tcPr>
            <w:tcW w:w="3330" w:type="dxa"/>
            <w:shd w:val="clear" w:color="auto" w:fill="auto"/>
            <w:noWrap/>
            <w:hideMark/>
          </w:tcPr>
          <w:p w14:paraId="4F03FA6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NM_002294.</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795C&gt;A</w:t>
            </w:r>
          </w:p>
        </w:tc>
        <w:tc>
          <w:tcPr>
            <w:tcW w:w="2268" w:type="dxa"/>
            <w:shd w:val="clear" w:color="auto" w:fill="auto"/>
            <w:noWrap/>
            <w:hideMark/>
          </w:tcPr>
          <w:p w14:paraId="66AA059A"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p.Cys</w:t>
            </w:r>
            <w:proofErr w:type="gramEnd"/>
            <w:r w:rsidRPr="00D95AC0">
              <w:rPr>
                <w:rFonts w:ascii="Times New Roman" w:eastAsia="Times New Roman" w:hAnsi="Times New Roman" w:cs="Times New Roman"/>
                <w:color w:val="000000"/>
                <w:sz w:val="21"/>
                <w:szCs w:val="21"/>
                <w:lang w:val="en-GB"/>
              </w:rPr>
              <w:t>265Ter</w:t>
            </w:r>
          </w:p>
        </w:tc>
        <w:tc>
          <w:tcPr>
            <w:tcW w:w="709" w:type="dxa"/>
            <w:shd w:val="clear" w:color="auto" w:fill="auto"/>
            <w:noWrap/>
            <w:hideMark/>
          </w:tcPr>
          <w:p w14:paraId="23A5CA07"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28</w:t>
            </w:r>
          </w:p>
        </w:tc>
        <w:tc>
          <w:tcPr>
            <w:tcW w:w="990" w:type="dxa"/>
            <w:shd w:val="clear" w:color="auto" w:fill="auto"/>
            <w:noWrap/>
            <w:hideMark/>
          </w:tcPr>
          <w:p w14:paraId="2A44234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130AC94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1FD8FBF1"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Diagnosed with Danon disease.</w:t>
            </w:r>
          </w:p>
        </w:tc>
      </w:tr>
      <w:tr w:rsidR="00FA1D9C" w:rsidRPr="00310CC2" w14:paraId="3EFD6198" w14:textId="77777777" w:rsidTr="00C12BD1">
        <w:trPr>
          <w:trHeight w:val="113"/>
        </w:trPr>
        <w:tc>
          <w:tcPr>
            <w:tcW w:w="934" w:type="dxa"/>
            <w:shd w:val="clear" w:color="auto" w:fill="auto"/>
            <w:noWrap/>
            <w:hideMark/>
          </w:tcPr>
          <w:p w14:paraId="3772650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6</w:t>
            </w:r>
          </w:p>
        </w:tc>
        <w:tc>
          <w:tcPr>
            <w:tcW w:w="1051" w:type="dxa"/>
            <w:shd w:val="clear" w:color="auto" w:fill="auto"/>
            <w:noWrap/>
            <w:hideMark/>
          </w:tcPr>
          <w:p w14:paraId="3A9B910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TNNT2</w:t>
            </w:r>
          </w:p>
        </w:tc>
        <w:tc>
          <w:tcPr>
            <w:tcW w:w="3330" w:type="dxa"/>
            <w:shd w:val="clear" w:color="auto" w:fill="auto"/>
            <w:noWrap/>
            <w:hideMark/>
          </w:tcPr>
          <w:p w14:paraId="7D182D5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NM_001276345.</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547C&gt;G</w:t>
            </w:r>
          </w:p>
        </w:tc>
        <w:tc>
          <w:tcPr>
            <w:tcW w:w="2268" w:type="dxa"/>
            <w:shd w:val="clear" w:color="auto" w:fill="auto"/>
            <w:noWrap/>
            <w:hideMark/>
          </w:tcPr>
          <w:p w14:paraId="2390FE8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183Gly</w:t>
            </w:r>
          </w:p>
        </w:tc>
        <w:tc>
          <w:tcPr>
            <w:tcW w:w="709" w:type="dxa"/>
            <w:shd w:val="clear" w:color="auto" w:fill="auto"/>
            <w:noWrap/>
            <w:hideMark/>
          </w:tcPr>
          <w:p w14:paraId="0C80A436"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27</w:t>
            </w:r>
          </w:p>
        </w:tc>
        <w:tc>
          <w:tcPr>
            <w:tcW w:w="990" w:type="dxa"/>
            <w:shd w:val="clear" w:color="auto" w:fill="auto"/>
            <w:noWrap/>
            <w:hideMark/>
          </w:tcPr>
          <w:p w14:paraId="3E285D1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2D8750E2"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3B36C3AC"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57D78818" w14:textId="77777777" w:rsidTr="00C12BD1">
        <w:trPr>
          <w:trHeight w:val="113"/>
        </w:trPr>
        <w:tc>
          <w:tcPr>
            <w:tcW w:w="934" w:type="dxa"/>
            <w:shd w:val="clear" w:color="auto" w:fill="auto"/>
            <w:noWrap/>
            <w:hideMark/>
          </w:tcPr>
          <w:p w14:paraId="1995E25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6</w:t>
            </w:r>
          </w:p>
        </w:tc>
        <w:tc>
          <w:tcPr>
            <w:tcW w:w="1051" w:type="dxa"/>
            <w:shd w:val="clear" w:color="auto" w:fill="auto"/>
            <w:noWrap/>
            <w:hideMark/>
          </w:tcPr>
          <w:p w14:paraId="26188FC0"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MYL3</w:t>
            </w:r>
          </w:p>
        </w:tc>
        <w:tc>
          <w:tcPr>
            <w:tcW w:w="3330" w:type="dxa"/>
            <w:shd w:val="clear" w:color="auto" w:fill="auto"/>
            <w:noWrap/>
            <w:hideMark/>
          </w:tcPr>
          <w:p w14:paraId="174F8D6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NM_000258.</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170C&gt;G</w:t>
            </w:r>
          </w:p>
        </w:tc>
        <w:tc>
          <w:tcPr>
            <w:tcW w:w="2268" w:type="dxa"/>
            <w:shd w:val="clear" w:color="auto" w:fill="auto"/>
            <w:noWrap/>
            <w:hideMark/>
          </w:tcPr>
          <w:p w14:paraId="61F1257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p.Ala</w:t>
            </w:r>
            <w:proofErr w:type="gramEnd"/>
            <w:r w:rsidRPr="00D95AC0">
              <w:rPr>
                <w:rFonts w:ascii="Times New Roman" w:eastAsia="Times New Roman" w:hAnsi="Times New Roman" w:cs="Times New Roman"/>
                <w:color w:val="000000"/>
                <w:sz w:val="21"/>
                <w:szCs w:val="21"/>
                <w:lang w:val="en-GB"/>
              </w:rPr>
              <w:t>57Gly</w:t>
            </w:r>
          </w:p>
        </w:tc>
        <w:tc>
          <w:tcPr>
            <w:tcW w:w="709" w:type="dxa"/>
            <w:shd w:val="clear" w:color="auto" w:fill="auto"/>
            <w:noWrap/>
            <w:hideMark/>
          </w:tcPr>
          <w:p w14:paraId="7B3695F9"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7824728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294BB097"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57C26633"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Low penetrance risk factor.</w:t>
            </w:r>
          </w:p>
        </w:tc>
      </w:tr>
      <w:tr w:rsidR="00FA1D9C" w:rsidRPr="00310CC2" w14:paraId="20F163C1" w14:textId="77777777" w:rsidTr="00C12BD1">
        <w:trPr>
          <w:trHeight w:val="113"/>
        </w:trPr>
        <w:tc>
          <w:tcPr>
            <w:tcW w:w="934" w:type="dxa"/>
            <w:shd w:val="clear" w:color="auto" w:fill="auto"/>
            <w:noWrap/>
            <w:hideMark/>
          </w:tcPr>
          <w:p w14:paraId="028CEB3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7</w:t>
            </w:r>
          </w:p>
        </w:tc>
        <w:tc>
          <w:tcPr>
            <w:tcW w:w="1051" w:type="dxa"/>
            <w:shd w:val="clear" w:color="auto" w:fill="auto"/>
            <w:noWrap/>
            <w:hideMark/>
          </w:tcPr>
          <w:p w14:paraId="732794E8"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MYLK3</w:t>
            </w:r>
          </w:p>
        </w:tc>
        <w:tc>
          <w:tcPr>
            <w:tcW w:w="3330" w:type="dxa"/>
            <w:shd w:val="clear" w:color="auto" w:fill="auto"/>
            <w:noWrap/>
            <w:hideMark/>
          </w:tcPr>
          <w:p w14:paraId="50888DE1"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NM_182493.</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618dup</w:t>
            </w:r>
          </w:p>
        </w:tc>
        <w:tc>
          <w:tcPr>
            <w:tcW w:w="2268" w:type="dxa"/>
            <w:shd w:val="clear" w:color="auto" w:fill="auto"/>
            <w:noWrap/>
            <w:hideMark/>
          </w:tcPr>
          <w:p w14:paraId="21B7DC6A"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p.Ile</w:t>
            </w:r>
            <w:proofErr w:type="gramEnd"/>
            <w:r w:rsidRPr="00D95AC0">
              <w:rPr>
                <w:rFonts w:ascii="Times New Roman" w:eastAsia="Times New Roman" w:hAnsi="Times New Roman" w:cs="Times New Roman"/>
                <w:color w:val="000000"/>
                <w:sz w:val="21"/>
                <w:szCs w:val="21"/>
                <w:lang w:val="en-GB"/>
              </w:rPr>
              <w:t>207HisfsTer9</w:t>
            </w:r>
          </w:p>
        </w:tc>
        <w:tc>
          <w:tcPr>
            <w:tcW w:w="709" w:type="dxa"/>
            <w:shd w:val="clear" w:color="auto" w:fill="auto"/>
            <w:noWrap/>
            <w:hideMark/>
          </w:tcPr>
          <w:p w14:paraId="258F82A9"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17</w:t>
            </w:r>
          </w:p>
        </w:tc>
        <w:tc>
          <w:tcPr>
            <w:tcW w:w="990" w:type="dxa"/>
            <w:shd w:val="clear" w:color="auto" w:fill="auto"/>
            <w:noWrap/>
            <w:hideMark/>
          </w:tcPr>
          <w:p w14:paraId="0D94510F"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0DF660C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3FEA7759"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AF7ECF" w14:paraId="0585B619" w14:textId="77777777" w:rsidTr="00C12BD1">
        <w:trPr>
          <w:trHeight w:val="113"/>
        </w:trPr>
        <w:tc>
          <w:tcPr>
            <w:tcW w:w="934" w:type="dxa"/>
            <w:shd w:val="clear" w:color="auto" w:fill="FFFFFF" w:themeFill="background1"/>
            <w:noWrap/>
            <w:hideMark/>
          </w:tcPr>
          <w:p w14:paraId="678CB57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8</w:t>
            </w:r>
          </w:p>
        </w:tc>
        <w:tc>
          <w:tcPr>
            <w:tcW w:w="1051" w:type="dxa"/>
            <w:shd w:val="clear" w:color="auto" w:fill="FFFFFF" w:themeFill="background1"/>
            <w:noWrap/>
            <w:hideMark/>
          </w:tcPr>
          <w:p w14:paraId="1C1A3B3F"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TTN</w:t>
            </w:r>
          </w:p>
        </w:tc>
        <w:tc>
          <w:tcPr>
            <w:tcW w:w="3330" w:type="dxa"/>
            <w:shd w:val="clear" w:color="auto" w:fill="FFFFFF" w:themeFill="background1"/>
            <w:noWrap/>
            <w:hideMark/>
          </w:tcPr>
          <w:p w14:paraId="355FAF6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NM_001267550.</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13522del</w:t>
            </w:r>
          </w:p>
        </w:tc>
        <w:tc>
          <w:tcPr>
            <w:tcW w:w="2268" w:type="dxa"/>
            <w:shd w:val="clear" w:color="auto" w:fill="FFFFFF" w:themeFill="background1"/>
            <w:noWrap/>
            <w:hideMark/>
          </w:tcPr>
          <w:p w14:paraId="32D8381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p.Asp</w:t>
            </w:r>
            <w:proofErr w:type="gramEnd"/>
            <w:r w:rsidRPr="00D95AC0">
              <w:rPr>
                <w:rFonts w:ascii="Times New Roman" w:eastAsia="Times New Roman" w:hAnsi="Times New Roman" w:cs="Times New Roman"/>
                <w:color w:val="000000"/>
                <w:sz w:val="21"/>
                <w:szCs w:val="21"/>
                <w:lang w:val="en-GB"/>
              </w:rPr>
              <w:t>4508IlefsTer22</w:t>
            </w:r>
          </w:p>
        </w:tc>
        <w:tc>
          <w:tcPr>
            <w:tcW w:w="709" w:type="dxa"/>
            <w:shd w:val="clear" w:color="auto" w:fill="FFFFFF" w:themeFill="background1"/>
            <w:noWrap/>
            <w:hideMark/>
          </w:tcPr>
          <w:p w14:paraId="2BEC9D0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19</w:t>
            </w:r>
          </w:p>
        </w:tc>
        <w:tc>
          <w:tcPr>
            <w:tcW w:w="990" w:type="dxa"/>
            <w:shd w:val="clear" w:color="auto" w:fill="FFFFFF" w:themeFill="background1"/>
            <w:noWrap/>
            <w:hideMark/>
          </w:tcPr>
          <w:p w14:paraId="2F4FF041"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FFFFFF" w:themeFill="background1"/>
            <w:noWrap/>
            <w:hideMark/>
          </w:tcPr>
          <w:p w14:paraId="28C0ACA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FFFFFF" w:themeFill="background1"/>
            <w:noWrap/>
            <w:hideMark/>
          </w:tcPr>
          <w:p w14:paraId="02AB6D1D" w14:textId="77777777" w:rsidR="00FA1D9C" w:rsidRPr="007E6892" w:rsidRDefault="00FA1D9C" w:rsidP="006A439B">
            <w:pPr>
              <w:spacing w:after="0" w:line="276" w:lineRule="auto"/>
              <w:rPr>
                <w:rFonts w:ascii="Times New Roman" w:eastAsia="Times New Roman" w:hAnsi="Times New Roman" w:cs="Times New Roman"/>
                <w:sz w:val="21"/>
                <w:szCs w:val="21"/>
                <w:lang w:val="sv-SE"/>
              </w:rPr>
            </w:pPr>
            <w:r w:rsidRPr="007E6892">
              <w:rPr>
                <w:rFonts w:ascii="Times New Roman" w:eastAsia="Times New Roman" w:hAnsi="Times New Roman" w:cs="Times New Roman"/>
                <w:sz w:val="21"/>
                <w:szCs w:val="21"/>
                <w:lang w:val="sv-SE"/>
              </w:rPr>
              <w:t>I-band, exon 49 (LRG), PSI 100%</w:t>
            </w:r>
          </w:p>
        </w:tc>
      </w:tr>
      <w:tr w:rsidR="00FA1D9C" w:rsidRPr="00310CC2" w14:paraId="40E8ED90" w14:textId="77777777" w:rsidTr="00C12BD1">
        <w:trPr>
          <w:trHeight w:val="113"/>
        </w:trPr>
        <w:tc>
          <w:tcPr>
            <w:tcW w:w="934" w:type="dxa"/>
            <w:shd w:val="clear" w:color="auto" w:fill="auto"/>
            <w:noWrap/>
            <w:hideMark/>
          </w:tcPr>
          <w:p w14:paraId="75A79846"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9</w:t>
            </w:r>
          </w:p>
        </w:tc>
        <w:tc>
          <w:tcPr>
            <w:tcW w:w="1051" w:type="dxa"/>
            <w:shd w:val="clear" w:color="auto" w:fill="auto"/>
            <w:noWrap/>
            <w:hideMark/>
          </w:tcPr>
          <w:p w14:paraId="3989B94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TTR</w:t>
            </w:r>
          </w:p>
        </w:tc>
        <w:tc>
          <w:tcPr>
            <w:tcW w:w="3330" w:type="dxa"/>
            <w:shd w:val="clear" w:color="auto" w:fill="auto"/>
            <w:noWrap/>
            <w:hideMark/>
          </w:tcPr>
          <w:p w14:paraId="73965752"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NM_000371.</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323A&gt;G</w:t>
            </w:r>
          </w:p>
        </w:tc>
        <w:tc>
          <w:tcPr>
            <w:tcW w:w="2268" w:type="dxa"/>
            <w:shd w:val="clear" w:color="auto" w:fill="auto"/>
            <w:noWrap/>
            <w:hideMark/>
          </w:tcPr>
          <w:p w14:paraId="69A0E64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p.His</w:t>
            </w:r>
            <w:proofErr w:type="gramEnd"/>
            <w:r w:rsidRPr="00D95AC0">
              <w:rPr>
                <w:rFonts w:ascii="Times New Roman" w:eastAsia="Times New Roman" w:hAnsi="Times New Roman" w:cs="Times New Roman"/>
                <w:color w:val="000000"/>
                <w:sz w:val="21"/>
                <w:szCs w:val="21"/>
                <w:lang w:val="en-GB"/>
              </w:rPr>
              <w:t>108Arg</w:t>
            </w:r>
          </w:p>
        </w:tc>
        <w:tc>
          <w:tcPr>
            <w:tcW w:w="709" w:type="dxa"/>
            <w:shd w:val="clear" w:color="auto" w:fill="auto"/>
            <w:noWrap/>
            <w:hideMark/>
          </w:tcPr>
          <w:p w14:paraId="5CAE93B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33</w:t>
            </w:r>
          </w:p>
        </w:tc>
        <w:tc>
          <w:tcPr>
            <w:tcW w:w="990" w:type="dxa"/>
            <w:shd w:val="clear" w:color="auto" w:fill="auto"/>
            <w:noWrap/>
            <w:hideMark/>
          </w:tcPr>
          <w:p w14:paraId="3066E67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76A3780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783FC15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408CDA56" w14:textId="77777777" w:rsidTr="00C12BD1">
        <w:trPr>
          <w:trHeight w:val="113"/>
        </w:trPr>
        <w:tc>
          <w:tcPr>
            <w:tcW w:w="934" w:type="dxa"/>
            <w:shd w:val="clear" w:color="auto" w:fill="auto"/>
            <w:noWrap/>
            <w:hideMark/>
          </w:tcPr>
          <w:p w14:paraId="42EE87C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10</w:t>
            </w:r>
          </w:p>
        </w:tc>
        <w:tc>
          <w:tcPr>
            <w:tcW w:w="1051" w:type="dxa"/>
            <w:shd w:val="clear" w:color="auto" w:fill="auto"/>
            <w:noWrap/>
            <w:hideMark/>
          </w:tcPr>
          <w:p w14:paraId="53DAB3CE"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TTR</w:t>
            </w:r>
          </w:p>
        </w:tc>
        <w:tc>
          <w:tcPr>
            <w:tcW w:w="3330" w:type="dxa"/>
            <w:shd w:val="clear" w:color="auto" w:fill="auto"/>
            <w:noWrap/>
            <w:hideMark/>
          </w:tcPr>
          <w:p w14:paraId="0830C4A0"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NM_000371.</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220_221delinsTT</w:t>
            </w:r>
          </w:p>
        </w:tc>
        <w:tc>
          <w:tcPr>
            <w:tcW w:w="2268" w:type="dxa"/>
            <w:shd w:val="clear" w:color="auto" w:fill="auto"/>
            <w:noWrap/>
            <w:hideMark/>
          </w:tcPr>
          <w:p w14:paraId="51F3D8F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74Leu</w:t>
            </w:r>
          </w:p>
        </w:tc>
        <w:tc>
          <w:tcPr>
            <w:tcW w:w="709" w:type="dxa"/>
            <w:shd w:val="clear" w:color="auto" w:fill="auto"/>
            <w:noWrap/>
            <w:hideMark/>
          </w:tcPr>
          <w:p w14:paraId="12D8117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0623CF5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6D6EC4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1E33B3F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
        </w:tc>
      </w:tr>
      <w:tr w:rsidR="00FA1D9C" w:rsidRPr="00310CC2" w14:paraId="6F2A3777" w14:textId="77777777" w:rsidTr="00C12BD1">
        <w:trPr>
          <w:trHeight w:val="113"/>
        </w:trPr>
        <w:tc>
          <w:tcPr>
            <w:tcW w:w="934" w:type="dxa"/>
            <w:shd w:val="clear" w:color="auto" w:fill="auto"/>
            <w:noWrap/>
            <w:hideMark/>
          </w:tcPr>
          <w:p w14:paraId="76A0DE8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10</w:t>
            </w:r>
          </w:p>
        </w:tc>
        <w:tc>
          <w:tcPr>
            <w:tcW w:w="1051" w:type="dxa"/>
            <w:shd w:val="clear" w:color="auto" w:fill="auto"/>
            <w:noWrap/>
            <w:hideMark/>
          </w:tcPr>
          <w:p w14:paraId="148586E2"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POLG</w:t>
            </w:r>
          </w:p>
        </w:tc>
        <w:tc>
          <w:tcPr>
            <w:tcW w:w="3330" w:type="dxa"/>
            <w:shd w:val="clear" w:color="auto" w:fill="auto"/>
            <w:noWrap/>
            <w:hideMark/>
          </w:tcPr>
          <w:p w14:paraId="61945B99"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NM_002693.</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1760C&gt;T</w:t>
            </w:r>
          </w:p>
        </w:tc>
        <w:tc>
          <w:tcPr>
            <w:tcW w:w="2268" w:type="dxa"/>
            <w:shd w:val="clear" w:color="auto" w:fill="auto"/>
            <w:noWrap/>
            <w:hideMark/>
          </w:tcPr>
          <w:p w14:paraId="138AF21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p.Pro</w:t>
            </w:r>
            <w:proofErr w:type="gramEnd"/>
            <w:r w:rsidRPr="00D95AC0">
              <w:rPr>
                <w:rFonts w:ascii="Times New Roman" w:eastAsia="Times New Roman" w:hAnsi="Times New Roman" w:cs="Times New Roman"/>
                <w:color w:val="000000"/>
                <w:sz w:val="21"/>
                <w:szCs w:val="21"/>
                <w:lang w:val="en-GB"/>
              </w:rPr>
              <w:t>587Leu</w:t>
            </w:r>
          </w:p>
        </w:tc>
        <w:tc>
          <w:tcPr>
            <w:tcW w:w="709" w:type="dxa"/>
            <w:shd w:val="clear" w:color="auto" w:fill="auto"/>
            <w:noWrap/>
            <w:hideMark/>
          </w:tcPr>
          <w:p w14:paraId="54756F2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3837455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3B6B6688"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2249400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Low penetrance risk factor. Interpreted as incidental finding.</w:t>
            </w:r>
          </w:p>
        </w:tc>
      </w:tr>
      <w:tr w:rsidR="00FA1D9C" w:rsidRPr="00310CC2" w14:paraId="7A6DD5EC" w14:textId="77777777" w:rsidTr="00C12BD1">
        <w:trPr>
          <w:trHeight w:val="113"/>
        </w:trPr>
        <w:tc>
          <w:tcPr>
            <w:tcW w:w="934" w:type="dxa"/>
            <w:shd w:val="clear" w:color="auto" w:fill="auto"/>
            <w:noWrap/>
            <w:hideMark/>
          </w:tcPr>
          <w:p w14:paraId="419EB1C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10</w:t>
            </w:r>
          </w:p>
        </w:tc>
        <w:tc>
          <w:tcPr>
            <w:tcW w:w="1051" w:type="dxa"/>
            <w:shd w:val="clear" w:color="auto" w:fill="auto"/>
            <w:noWrap/>
            <w:hideMark/>
          </w:tcPr>
          <w:p w14:paraId="0017590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POLG</w:t>
            </w:r>
          </w:p>
        </w:tc>
        <w:tc>
          <w:tcPr>
            <w:tcW w:w="3330" w:type="dxa"/>
            <w:shd w:val="clear" w:color="auto" w:fill="auto"/>
            <w:noWrap/>
            <w:hideMark/>
          </w:tcPr>
          <w:p w14:paraId="1ABFB97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NM_002693.</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752C&gt;T</w:t>
            </w:r>
          </w:p>
        </w:tc>
        <w:tc>
          <w:tcPr>
            <w:tcW w:w="2268" w:type="dxa"/>
            <w:shd w:val="clear" w:color="auto" w:fill="auto"/>
            <w:noWrap/>
            <w:hideMark/>
          </w:tcPr>
          <w:p w14:paraId="483BB69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p.Thr</w:t>
            </w:r>
            <w:proofErr w:type="gramEnd"/>
            <w:r w:rsidRPr="00D95AC0">
              <w:rPr>
                <w:rFonts w:ascii="Times New Roman" w:eastAsia="Times New Roman" w:hAnsi="Times New Roman" w:cs="Times New Roman"/>
                <w:color w:val="000000"/>
                <w:sz w:val="21"/>
                <w:szCs w:val="21"/>
                <w:lang w:val="en-GB"/>
              </w:rPr>
              <w:t>251Ile</w:t>
            </w:r>
          </w:p>
        </w:tc>
        <w:tc>
          <w:tcPr>
            <w:tcW w:w="709" w:type="dxa"/>
            <w:shd w:val="clear" w:color="auto" w:fill="auto"/>
            <w:noWrap/>
            <w:hideMark/>
          </w:tcPr>
          <w:p w14:paraId="35D9BA7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19</w:t>
            </w:r>
          </w:p>
        </w:tc>
        <w:tc>
          <w:tcPr>
            <w:tcW w:w="990" w:type="dxa"/>
            <w:shd w:val="clear" w:color="auto" w:fill="auto"/>
            <w:noWrap/>
            <w:hideMark/>
          </w:tcPr>
          <w:p w14:paraId="7CD2623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E0F61D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1F28C72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Low penetrance risk factor. Interpreted as incidental finding.</w:t>
            </w:r>
          </w:p>
        </w:tc>
      </w:tr>
      <w:tr w:rsidR="00FA1D9C" w:rsidRPr="00310CC2" w14:paraId="7A1879C7" w14:textId="77777777" w:rsidTr="00C12BD1">
        <w:trPr>
          <w:trHeight w:val="113"/>
        </w:trPr>
        <w:tc>
          <w:tcPr>
            <w:tcW w:w="934" w:type="dxa"/>
            <w:shd w:val="clear" w:color="auto" w:fill="auto"/>
            <w:noWrap/>
            <w:hideMark/>
          </w:tcPr>
          <w:p w14:paraId="62B4B10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11</w:t>
            </w:r>
          </w:p>
        </w:tc>
        <w:tc>
          <w:tcPr>
            <w:tcW w:w="1051" w:type="dxa"/>
            <w:shd w:val="clear" w:color="auto" w:fill="auto"/>
            <w:noWrap/>
            <w:hideMark/>
          </w:tcPr>
          <w:p w14:paraId="48F726FD"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FLNC</w:t>
            </w:r>
          </w:p>
        </w:tc>
        <w:tc>
          <w:tcPr>
            <w:tcW w:w="3330" w:type="dxa"/>
            <w:shd w:val="clear" w:color="auto" w:fill="auto"/>
            <w:noWrap/>
            <w:hideMark/>
          </w:tcPr>
          <w:p w14:paraId="4C9F978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NM_001458.</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7813G&gt;A</w:t>
            </w:r>
          </w:p>
        </w:tc>
        <w:tc>
          <w:tcPr>
            <w:tcW w:w="2268" w:type="dxa"/>
            <w:shd w:val="clear" w:color="auto" w:fill="auto"/>
            <w:noWrap/>
            <w:hideMark/>
          </w:tcPr>
          <w:p w14:paraId="21849A7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2605Lys</w:t>
            </w:r>
          </w:p>
        </w:tc>
        <w:tc>
          <w:tcPr>
            <w:tcW w:w="709" w:type="dxa"/>
            <w:shd w:val="clear" w:color="auto" w:fill="auto"/>
            <w:noWrap/>
            <w:hideMark/>
          </w:tcPr>
          <w:p w14:paraId="7726963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15</w:t>
            </w:r>
          </w:p>
        </w:tc>
        <w:tc>
          <w:tcPr>
            <w:tcW w:w="990" w:type="dxa"/>
            <w:shd w:val="clear" w:color="auto" w:fill="auto"/>
            <w:noWrap/>
            <w:hideMark/>
          </w:tcPr>
          <w:p w14:paraId="1E5D33F7"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789F53E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1363E36D"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743167F0" w14:textId="77777777" w:rsidTr="00C12BD1">
        <w:trPr>
          <w:trHeight w:val="113"/>
        </w:trPr>
        <w:tc>
          <w:tcPr>
            <w:tcW w:w="934" w:type="dxa"/>
            <w:shd w:val="clear" w:color="auto" w:fill="auto"/>
            <w:noWrap/>
            <w:hideMark/>
          </w:tcPr>
          <w:p w14:paraId="1804B571"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12</w:t>
            </w:r>
          </w:p>
        </w:tc>
        <w:tc>
          <w:tcPr>
            <w:tcW w:w="1051" w:type="dxa"/>
            <w:shd w:val="clear" w:color="auto" w:fill="auto"/>
            <w:noWrap/>
            <w:hideMark/>
          </w:tcPr>
          <w:p w14:paraId="07B16421"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GYG1</w:t>
            </w:r>
          </w:p>
        </w:tc>
        <w:tc>
          <w:tcPr>
            <w:tcW w:w="3330" w:type="dxa"/>
            <w:shd w:val="clear" w:color="auto" w:fill="auto"/>
            <w:noWrap/>
            <w:hideMark/>
          </w:tcPr>
          <w:p w14:paraId="3B5B02A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NM_004130.</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248C&gt;T</w:t>
            </w:r>
          </w:p>
        </w:tc>
        <w:tc>
          <w:tcPr>
            <w:tcW w:w="2268" w:type="dxa"/>
            <w:shd w:val="clear" w:color="auto" w:fill="auto"/>
            <w:noWrap/>
            <w:hideMark/>
          </w:tcPr>
          <w:p w14:paraId="2D82ABF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p.Thr</w:t>
            </w:r>
            <w:proofErr w:type="gramEnd"/>
            <w:r w:rsidRPr="00D95AC0">
              <w:rPr>
                <w:rFonts w:ascii="Times New Roman" w:eastAsia="Times New Roman" w:hAnsi="Times New Roman" w:cs="Times New Roman"/>
                <w:color w:val="000000"/>
                <w:sz w:val="21"/>
                <w:szCs w:val="21"/>
                <w:lang w:val="en-GB"/>
              </w:rPr>
              <w:t>83Met</w:t>
            </w:r>
          </w:p>
        </w:tc>
        <w:tc>
          <w:tcPr>
            <w:tcW w:w="709" w:type="dxa"/>
            <w:shd w:val="clear" w:color="auto" w:fill="auto"/>
            <w:noWrap/>
            <w:hideMark/>
          </w:tcPr>
          <w:p w14:paraId="090D26D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58989BDD"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71A0543C"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2ECC71A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Diagnosed with GSD XV.</w:t>
            </w:r>
          </w:p>
        </w:tc>
      </w:tr>
      <w:tr w:rsidR="00FA1D9C" w:rsidRPr="00310CC2" w14:paraId="200C9DFA" w14:textId="77777777" w:rsidTr="00C12BD1">
        <w:trPr>
          <w:trHeight w:val="113"/>
        </w:trPr>
        <w:tc>
          <w:tcPr>
            <w:tcW w:w="934" w:type="dxa"/>
            <w:shd w:val="clear" w:color="auto" w:fill="auto"/>
            <w:noWrap/>
            <w:hideMark/>
          </w:tcPr>
          <w:p w14:paraId="266D529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12</w:t>
            </w:r>
          </w:p>
        </w:tc>
        <w:tc>
          <w:tcPr>
            <w:tcW w:w="1051" w:type="dxa"/>
            <w:shd w:val="clear" w:color="auto" w:fill="auto"/>
            <w:noWrap/>
            <w:hideMark/>
          </w:tcPr>
          <w:p w14:paraId="4B05E34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GYG1</w:t>
            </w:r>
          </w:p>
        </w:tc>
        <w:tc>
          <w:tcPr>
            <w:tcW w:w="3330" w:type="dxa"/>
            <w:shd w:val="clear" w:color="auto" w:fill="auto"/>
            <w:noWrap/>
            <w:hideMark/>
          </w:tcPr>
          <w:p w14:paraId="3BED5A7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NM_004130.</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487del</w:t>
            </w:r>
          </w:p>
        </w:tc>
        <w:tc>
          <w:tcPr>
            <w:tcW w:w="2268" w:type="dxa"/>
            <w:shd w:val="clear" w:color="auto" w:fill="auto"/>
            <w:noWrap/>
            <w:hideMark/>
          </w:tcPr>
          <w:p w14:paraId="1BB42CC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p.Asp</w:t>
            </w:r>
            <w:proofErr w:type="gramEnd"/>
            <w:r w:rsidRPr="00D95AC0">
              <w:rPr>
                <w:rFonts w:ascii="Times New Roman" w:eastAsia="Times New Roman" w:hAnsi="Times New Roman" w:cs="Times New Roman"/>
                <w:color w:val="000000"/>
                <w:sz w:val="21"/>
                <w:szCs w:val="21"/>
                <w:lang w:val="en-GB"/>
              </w:rPr>
              <w:t>163ThrfsTer5</w:t>
            </w:r>
          </w:p>
        </w:tc>
        <w:tc>
          <w:tcPr>
            <w:tcW w:w="709" w:type="dxa"/>
            <w:shd w:val="clear" w:color="auto" w:fill="auto"/>
            <w:noWrap/>
            <w:hideMark/>
          </w:tcPr>
          <w:p w14:paraId="6A265B7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18</w:t>
            </w:r>
          </w:p>
        </w:tc>
        <w:tc>
          <w:tcPr>
            <w:tcW w:w="990" w:type="dxa"/>
            <w:shd w:val="clear" w:color="auto" w:fill="auto"/>
            <w:noWrap/>
            <w:hideMark/>
          </w:tcPr>
          <w:p w14:paraId="5C90565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84C836C"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1A5A94D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Diagnosed with GSD XV.</w:t>
            </w:r>
          </w:p>
        </w:tc>
      </w:tr>
      <w:tr w:rsidR="00FA1D9C" w:rsidRPr="00310CC2" w14:paraId="59F2D4B5" w14:textId="77777777" w:rsidTr="00C12BD1">
        <w:trPr>
          <w:trHeight w:val="113"/>
        </w:trPr>
        <w:tc>
          <w:tcPr>
            <w:tcW w:w="934" w:type="dxa"/>
            <w:shd w:val="clear" w:color="auto" w:fill="auto"/>
            <w:noWrap/>
            <w:hideMark/>
          </w:tcPr>
          <w:p w14:paraId="1F15373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13</w:t>
            </w:r>
          </w:p>
        </w:tc>
        <w:tc>
          <w:tcPr>
            <w:tcW w:w="1051" w:type="dxa"/>
            <w:shd w:val="clear" w:color="auto" w:fill="auto"/>
            <w:noWrap/>
            <w:hideMark/>
          </w:tcPr>
          <w:p w14:paraId="0BF3358F"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TTR</w:t>
            </w:r>
          </w:p>
        </w:tc>
        <w:tc>
          <w:tcPr>
            <w:tcW w:w="3330" w:type="dxa"/>
            <w:shd w:val="clear" w:color="auto" w:fill="auto"/>
            <w:noWrap/>
            <w:hideMark/>
          </w:tcPr>
          <w:p w14:paraId="0C5A71D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NM_000371.</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424G&gt;A</w:t>
            </w:r>
          </w:p>
        </w:tc>
        <w:tc>
          <w:tcPr>
            <w:tcW w:w="2268" w:type="dxa"/>
            <w:shd w:val="clear" w:color="auto" w:fill="auto"/>
            <w:noWrap/>
            <w:hideMark/>
          </w:tcPr>
          <w:p w14:paraId="04CEE6A2"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p.Val</w:t>
            </w:r>
            <w:proofErr w:type="gramEnd"/>
            <w:r w:rsidRPr="00D95AC0">
              <w:rPr>
                <w:rFonts w:ascii="Times New Roman" w:eastAsia="Times New Roman" w:hAnsi="Times New Roman" w:cs="Times New Roman"/>
                <w:color w:val="000000"/>
                <w:sz w:val="21"/>
                <w:szCs w:val="21"/>
                <w:lang w:val="en-GB"/>
              </w:rPr>
              <w:t>142Ile</w:t>
            </w:r>
          </w:p>
        </w:tc>
        <w:tc>
          <w:tcPr>
            <w:tcW w:w="709" w:type="dxa"/>
            <w:shd w:val="clear" w:color="auto" w:fill="auto"/>
            <w:noWrap/>
            <w:hideMark/>
          </w:tcPr>
          <w:p w14:paraId="107282F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1415D98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545D2B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02B0F6A5"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0DF5DD2D" w14:textId="77777777" w:rsidTr="00C12BD1">
        <w:trPr>
          <w:trHeight w:val="113"/>
        </w:trPr>
        <w:tc>
          <w:tcPr>
            <w:tcW w:w="934" w:type="dxa"/>
            <w:shd w:val="clear" w:color="auto" w:fill="auto"/>
            <w:noWrap/>
            <w:hideMark/>
          </w:tcPr>
          <w:p w14:paraId="53D7098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14</w:t>
            </w:r>
          </w:p>
        </w:tc>
        <w:tc>
          <w:tcPr>
            <w:tcW w:w="1051" w:type="dxa"/>
            <w:shd w:val="clear" w:color="auto" w:fill="auto"/>
            <w:noWrap/>
            <w:hideMark/>
          </w:tcPr>
          <w:p w14:paraId="7B94A454"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TNNI3</w:t>
            </w:r>
          </w:p>
        </w:tc>
        <w:tc>
          <w:tcPr>
            <w:tcW w:w="3330" w:type="dxa"/>
            <w:shd w:val="clear" w:color="auto" w:fill="auto"/>
            <w:noWrap/>
            <w:hideMark/>
          </w:tcPr>
          <w:p w14:paraId="10711E22"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NM_000363.</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337G&gt;A</w:t>
            </w:r>
          </w:p>
        </w:tc>
        <w:tc>
          <w:tcPr>
            <w:tcW w:w="2268" w:type="dxa"/>
            <w:shd w:val="clear" w:color="auto" w:fill="auto"/>
            <w:noWrap/>
            <w:hideMark/>
          </w:tcPr>
          <w:p w14:paraId="5E9DBC51"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p.Asp</w:t>
            </w:r>
            <w:proofErr w:type="gramEnd"/>
            <w:r w:rsidRPr="00D95AC0">
              <w:rPr>
                <w:rFonts w:ascii="Times New Roman" w:eastAsia="Times New Roman" w:hAnsi="Times New Roman" w:cs="Times New Roman"/>
                <w:color w:val="000000"/>
                <w:sz w:val="21"/>
                <w:szCs w:val="21"/>
                <w:lang w:val="en-GB"/>
              </w:rPr>
              <w:t>113Asn</w:t>
            </w:r>
          </w:p>
        </w:tc>
        <w:tc>
          <w:tcPr>
            <w:tcW w:w="709" w:type="dxa"/>
            <w:shd w:val="clear" w:color="auto" w:fill="auto"/>
            <w:noWrap/>
            <w:hideMark/>
          </w:tcPr>
          <w:p w14:paraId="644E519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2B9C990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31A7312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7614906F"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08D9C45A" w14:textId="77777777" w:rsidTr="00C12BD1">
        <w:trPr>
          <w:trHeight w:val="113"/>
        </w:trPr>
        <w:tc>
          <w:tcPr>
            <w:tcW w:w="934" w:type="dxa"/>
            <w:shd w:val="clear" w:color="auto" w:fill="auto"/>
            <w:noWrap/>
            <w:hideMark/>
          </w:tcPr>
          <w:p w14:paraId="2C32BBB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15</w:t>
            </w:r>
          </w:p>
        </w:tc>
        <w:tc>
          <w:tcPr>
            <w:tcW w:w="1051" w:type="dxa"/>
            <w:shd w:val="clear" w:color="auto" w:fill="auto"/>
            <w:noWrap/>
            <w:hideMark/>
          </w:tcPr>
          <w:p w14:paraId="315880C6"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PLN</w:t>
            </w:r>
          </w:p>
        </w:tc>
        <w:tc>
          <w:tcPr>
            <w:tcW w:w="3330" w:type="dxa"/>
            <w:shd w:val="clear" w:color="auto" w:fill="auto"/>
            <w:noWrap/>
            <w:hideMark/>
          </w:tcPr>
          <w:p w14:paraId="2B50FA3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NM_002667.</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25C&gt;T</w:t>
            </w:r>
          </w:p>
        </w:tc>
        <w:tc>
          <w:tcPr>
            <w:tcW w:w="2268" w:type="dxa"/>
            <w:shd w:val="clear" w:color="auto" w:fill="auto"/>
            <w:noWrap/>
            <w:hideMark/>
          </w:tcPr>
          <w:p w14:paraId="5C9C7C2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9Cys</w:t>
            </w:r>
          </w:p>
        </w:tc>
        <w:tc>
          <w:tcPr>
            <w:tcW w:w="709" w:type="dxa"/>
            <w:shd w:val="clear" w:color="auto" w:fill="auto"/>
            <w:noWrap/>
            <w:hideMark/>
          </w:tcPr>
          <w:p w14:paraId="7A53D262"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32</w:t>
            </w:r>
          </w:p>
        </w:tc>
        <w:tc>
          <w:tcPr>
            <w:tcW w:w="990" w:type="dxa"/>
            <w:shd w:val="clear" w:color="auto" w:fill="auto"/>
            <w:noWrap/>
            <w:hideMark/>
          </w:tcPr>
          <w:p w14:paraId="7CBB013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D2AB8D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5B02789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785F40FD" w14:textId="77777777" w:rsidTr="00C12BD1">
        <w:trPr>
          <w:trHeight w:val="113"/>
        </w:trPr>
        <w:tc>
          <w:tcPr>
            <w:tcW w:w="934" w:type="dxa"/>
            <w:shd w:val="clear" w:color="auto" w:fill="auto"/>
            <w:noWrap/>
            <w:hideMark/>
          </w:tcPr>
          <w:p w14:paraId="254E75B5"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16</w:t>
            </w:r>
          </w:p>
        </w:tc>
        <w:tc>
          <w:tcPr>
            <w:tcW w:w="1051" w:type="dxa"/>
            <w:shd w:val="clear" w:color="auto" w:fill="auto"/>
            <w:noWrap/>
            <w:hideMark/>
          </w:tcPr>
          <w:p w14:paraId="4E065F65"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GBE1</w:t>
            </w:r>
          </w:p>
        </w:tc>
        <w:tc>
          <w:tcPr>
            <w:tcW w:w="3330" w:type="dxa"/>
            <w:shd w:val="clear" w:color="auto" w:fill="auto"/>
            <w:noWrap/>
            <w:hideMark/>
          </w:tcPr>
          <w:p w14:paraId="658679D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NM_000158.</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1571G&gt;A</w:t>
            </w:r>
          </w:p>
        </w:tc>
        <w:tc>
          <w:tcPr>
            <w:tcW w:w="2268" w:type="dxa"/>
            <w:shd w:val="clear" w:color="auto" w:fill="auto"/>
            <w:noWrap/>
            <w:hideMark/>
          </w:tcPr>
          <w:p w14:paraId="72FCDFE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524Gln</w:t>
            </w:r>
          </w:p>
        </w:tc>
        <w:tc>
          <w:tcPr>
            <w:tcW w:w="709" w:type="dxa"/>
            <w:shd w:val="clear" w:color="auto" w:fill="auto"/>
            <w:noWrap/>
            <w:hideMark/>
          </w:tcPr>
          <w:p w14:paraId="6A26A6F6"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31</w:t>
            </w:r>
          </w:p>
        </w:tc>
        <w:tc>
          <w:tcPr>
            <w:tcW w:w="990" w:type="dxa"/>
            <w:shd w:val="clear" w:color="auto" w:fill="auto"/>
            <w:noWrap/>
            <w:hideMark/>
          </w:tcPr>
          <w:p w14:paraId="67E029E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1DB5148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46E272E9"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sz w:val="21"/>
                <w:szCs w:val="21"/>
                <w:lang w:val="en-GB"/>
              </w:rPr>
              <w:t>Diagnosed with GSD IV.</w:t>
            </w:r>
          </w:p>
        </w:tc>
      </w:tr>
      <w:tr w:rsidR="00FA1D9C" w:rsidRPr="00310CC2" w14:paraId="4FBC5DBA" w14:textId="77777777" w:rsidTr="00C12BD1">
        <w:trPr>
          <w:trHeight w:val="113"/>
        </w:trPr>
        <w:tc>
          <w:tcPr>
            <w:tcW w:w="934" w:type="dxa"/>
            <w:shd w:val="clear" w:color="auto" w:fill="auto"/>
            <w:noWrap/>
            <w:hideMark/>
          </w:tcPr>
          <w:p w14:paraId="794D1CC6"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16</w:t>
            </w:r>
          </w:p>
        </w:tc>
        <w:tc>
          <w:tcPr>
            <w:tcW w:w="1051" w:type="dxa"/>
            <w:shd w:val="clear" w:color="auto" w:fill="auto"/>
            <w:noWrap/>
            <w:hideMark/>
          </w:tcPr>
          <w:p w14:paraId="1E55C34E"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GBE1</w:t>
            </w:r>
          </w:p>
        </w:tc>
        <w:tc>
          <w:tcPr>
            <w:tcW w:w="3330" w:type="dxa"/>
            <w:shd w:val="clear" w:color="auto" w:fill="auto"/>
            <w:noWrap/>
            <w:hideMark/>
          </w:tcPr>
          <w:p w14:paraId="5B32460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NM_000158.</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1301G&gt;A</w:t>
            </w:r>
          </w:p>
        </w:tc>
        <w:tc>
          <w:tcPr>
            <w:tcW w:w="2268" w:type="dxa"/>
            <w:shd w:val="clear" w:color="auto" w:fill="auto"/>
            <w:noWrap/>
            <w:hideMark/>
          </w:tcPr>
          <w:p w14:paraId="32B63BD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434Gln</w:t>
            </w:r>
          </w:p>
        </w:tc>
        <w:tc>
          <w:tcPr>
            <w:tcW w:w="709" w:type="dxa"/>
            <w:shd w:val="clear" w:color="auto" w:fill="auto"/>
            <w:noWrap/>
            <w:hideMark/>
          </w:tcPr>
          <w:p w14:paraId="142255C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25</w:t>
            </w:r>
          </w:p>
        </w:tc>
        <w:tc>
          <w:tcPr>
            <w:tcW w:w="990" w:type="dxa"/>
            <w:shd w:val="clear" w:color="auto" w:fill="auto"/>
            <w:noWrap/>
            <w:hideMark/>
          </w:tcPr>
          <w:p w14:paraId="0441E01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6E3E33D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63585B8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sz w:val="21"/>
                <w:szCs w:val="21"/>
                <w:lang w:val="en-GB"/>
              </w:rPr>
              <w:t>Diagnosed with GSD IV.</w:t>
            </w:r>
          </w:p>
        </w:tc>
      </w:tr>
      <w:tr w:rsidR="00FA1D9C" w:rsidRPr="00310CC2" w14:paraId="1E825432" w14:textId="77777777" w:rsidTr="00C12BD1">
        <w:trPr>
          <w:trHeight w:val="113"/>
        </w:trPr>
        <w:tc>
          <w:tcPr>
            <w:tcW w:w="934" w:type="dxa"/>
            <w:shd w:val="clear" w:color="auto" w:fill="auto"/>
            <w:noWrap/>
            <w:hideMark/>
          </w:tcPr>
          <w:p w14:paraId="086482F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17</w:t>
            </w:r>
          </w:p>
        </w:tc>
        <w:tc>
          <w:tcPr>
            <w:tcW w:w="1051" w:type="dxa"/>
            <w:shd w:val="clear" w:color="auto" w:fill="auto"/>
            <w:noWrap/>
            <w:hideMark/>
          </w:tcPr>
          <w:p w14:paraId="12FFE6E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TNNI3K</w:t>
            </w:r>
          </w:p>
        </w:tc>
        <w:tc>
          <w:tcPr>
            <w:tcW w:w="3330" w:type="dxa"/>
            <w:shd w:val="clear" w:color="auto" w:fill="auto"/>
            <w:noWrap/>
            <w:hideMark/>
          </w:tcPr>
          <w:p w14:paraId="7E4A5B8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NM_015978.</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827+1G&gt;T</w:t>
            </w:r>
          </w:p>
        </w:tc>
        <w:tc>
          <w:tcPr>
            <w:tcW w:w="2268" w:type="dxa"/>
            <w:shd w:val="clear" w:color="auto" w:fill="auto"/>
            <w:noWrap/>
            <w:hideMark/>
          </w:tcPr>
          <w:p w14:paraId="05A7011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
        </w:tc>
        <w:tc>
          <w:tcPr>
            <w:tcW w:w="709" w:type="dxa"/>
            <w:shd w:val="clear" w:color="auto" w:fill="auto"/>
            <w:noWrap/>
            <w:hideMark/>
          </w:tcPr>
          <w:p w14:paraId="72E0E91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395A806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5FFDBF9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24AD116D"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Predicted to disrupt splicing.</w:t>
            </w:r>
          </w:p>
        </w:tc>
      </w:tr>
      <w:tr w:rsidR="00FA1D9C" w:rsidRPr="00310CC2" w14:paraId="512E0250" w14:textId="77777777" w:rsidTr="00C12BD1">
        <w:trPr>
          <w:trHeight w:val="113"/>
        </w:trPr>
        <w:tc>
          <w:tcPr>
            <w:tcW w:w="934" w:type="dxa"/>
            <w:shd w:val="clear" w:color="auto" w:fill="auto"/>
            <w:noWrap/>
            <w:hideMark/>
          </w:tcPr>
          <w:p w14:paraId="08E4D497"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18</w:t>
            </w:r>
          </w:p>
        </w:tc>
        <w:tc>
          <w:tcPr>
            <w:tcW w:w="1051" w:type="dxa"/>
            <w:shd w:val="clear" w:color="auto" w:fill="auto"/>
            <w:noWrap/>
            <w:hideMark/>
          </w:tcPr>
          <w:p w14:paraId="4DBC50D6"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DSC2</w:t>
            </w:r>
          </w:p>
        </w:tc>
        <w:tc>
          <w:tcPr>
            <w:tcW w:w="3330" w:type="dxa"/>
            <w:shd w:val="clear" w:color="auto" w:fill="auto"/>
            <w:noWrap/>
            <w:hideMark/>
          </w:tcPr>
          <w:p w14:paraId="4C76137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NM_024422.</w:t>
            </w:r>
            <w:proofErr w:type="gramStart"/>
            <w:r w:rsidRPr="00D95AC0">
              <w:rPr>
                <w:rFonts w:ascii="Times New Roman" w:eastAsia="Times New Roman" w:hAnsi="Times New Roman" w:cs="Times New Roman"/>
                <w:color w:val="000000"/>
                <w:sz w:val="21"/>
                <w:szCs w:val="21"/>
                <w:lang w:val="en-GB"/>
              </w:rPr>
              <w:t>6:c.</w:t>
            </w:r>
            <w:proofErr w:type="gramEnd"/>
            <w:r w:rsidRPr="00D95AC0">
              <w:rPr>
                <w:rFonts w:ascii="Times New Roman" w:eastAsia="Times New Roman" w:hAnsi="Times New Roman" w:cs="Times New Roman"/>
                <w:color w:val="000000"/>
                <w:sz w:val="21"/>
                <w:szCs w:val="21"/>
                <w:lang w:val="en-GB"/>
              </w:rPr>
              <w:t>1034T&gt;C</w:t>
            </w:r>
          </w:p>
        </w:tc>
        <w:tc>
          <w:tcPr>
            <w:tcW w:w="2268" w:type="dxa"/>
            <w:shd w:val="clear" w:color="auto" w:fill="auto"/>
            <w:noWrap/>
            <w:hideMark/>
          </w:tcPr>
          <w:p w14:paraId="68D64B8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p.Ile</w:t>
            </w:r>
            <w:proofErr w:type="gramEnd"/>
            <w:r w:rsidRPr="00D95AC0">
              <w:rPr>
                <w:rFonts w:ascii="Times New Roman" w:eastAsia="Times New Roman" w:hAnsi="Times New Roman" w:cs="Times New Roman"/>
                <w:color w:val="000000"/>
                <w:sz w:val="21"/>
                <w:szCs w:val="21"/>
                <w:lang w:val="en-GB"/>
              </w:rPr>
              <w:t>345Thr</w:t>
            </w:r>
          </w:p>
        </w:tc>
        <w:tc>
          <w:tcPr>
            <w:tcW w:w="709" w:type="dxa"/>
            <w:shd w:val="clear" w:color="auto" w:fill="auto"/>
            <w:noWrap/>
            <w:hideMark/>
          </w:tcPr>
          <w:p w14:paraId="001D08F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22</w:t>
            </w:r>
          </w:p>
        </w:tc>
        <w:tc>
          <w:tcPr>
            <w:tcW w:w="990" w:type="dxa"/>
            <w:shd w:val="clear" w:color="auto" w:fill="auto"/>
            <w:noWrap/>
            <w:hideMark/>
          </w:tcPr>
          <w:p w14:paraId="74EE7E31"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7C6C050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ARVC</w:t>
            </w:r>
          </w:p>
        </w:tc>
        <w:tc>
          <w:tcPr>
            <w:tcW w:w="3121" w:type="dxa"/>
            <w:shd w:val="clear" w:color="auto" w:fill="auto"/>
            <w:noWrap/>
            <w:hideMark/>
          </w:tcPr>
          <w:p w14:paraId="570AB77C"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Homozygous.</w:t>
            </w:r>
          </w:p>
        </w:tc>
      </w:tr>
      <w:tr w:rsidR="00FA1D9C" w:rsidRPr="00310CC2" w14:paraId="3B6473A8" w14:textId="77777777" w:rsidTr="00C12BD1">
        <w:trPr>
          <w:trHeight w:val="113"/>
        </w:trPr>
        <w:tc>
          <w:tcPr>
            <w:tcW w:w="934" w:type="dxa"/>
            <w:shd w:val="clear" w:color="auto" w:fill="auto"/>
            <w:noWrap/>
            <w:hideMark/>
          </w:tcPr>
          <w:p w14:paraId="6D1B90F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19</w:t>
            </w:r>
          </w:p>
        </w:tc>
        <w:tc>
          <w:tcPr>
            <w:tcW w:w="1051" w:type="dxa"/>
            <w:shd w:val="clear" w:color="auto" w:fill="auto"/>
            <w:noWrap/>
            <w:hideMark/>
          </w:tcPr>
          <w:p w14:paraId="55959F76"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DES</w:t>
            </w:r>
          </w:p>
        </w:tc>
        <w:tc>
          <w:tcPr>
            <w:tcW w:w="3330" w:type="dxa"/>
            <w:shd w:val="clear" w:color="auto" w:fill="auto"/>
            <w:noWrap/>
            <w:hideMark/>
          </w:tcPr>
          <w:p w14:paraId="6813473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NM_001927.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1234G&gt;A</w:t>
            </w:r>
          </w:p>
        </w:tc>
        <w:tc>
          <w:tcPr>
            <w:tcW w:w="2268" w:type="dxa"/>
            <w:shd w:val="clear" w:color="auto" w:fill="auto"/>
            <w:noWrap/>
            <w:hideMark/>
          </w:tcPr>
          <w:p w14:paraId="469FB82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412Lys</w:t>
            </w:r>
          </w:p>
        </w:tc>
        <w:tc>
          <w:tcPr>
            <w:tcW w:w="709" w:type="dxa"/>
            <w:shd w:val="clear" w:color="auto" w:fill="auto"/>
            <w:noWrap/>
            <w:hideMark/>
          </w:tcPr>
          <w:p w14:paraId="7869CD8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0DFF51F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16F87655"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ARVC</w:t>
            </w:r>
          </w:p>
        </w:tc>
        <w:tc>
          <w:tcPr>
            <w:tcW w:w="3121" w:type="dxa"/>
            <w:shd w:val="clear" w:color="auto" w:fill="auto"/>
            <w:noWrap/>
            <w:hideMark/>
          </w:tcPr>
          <w:p w14:paraId="54E0492F"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934D1BD" w14:textId="77777777" w:rsidTr="00C12BD1">
        <w:trPr>
          <w:trHeight w:val="113"/>
        </w:trPr>
        <w:tc>
          <w:tcPr>
            <w:tcW w:w="934" w:type="dxa"/>
            <w:shd w:val="clear" w:color="auto" w:fill="auto"/>
            <w:noWrap/>
            <w:hideMark/>
          </w:tcPr>
          <w:p w14:paraId="17B5B6DF"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20</w:t>
            </w:r>
          </w:p>
        </w:tc>
        <w:tc>
          <w:tcPr>
            <w:tcW w:w="1051" w:type="dxa"/>
            <w:shd w:val="clear" w:color="auto" w:fill="auto"/>
            <w:noWrap/>
            <w:hideMark/>
          </w:tcPr>
          <w:p w14:paraId="31353D63"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MYBPC3</w:t>
            </w:r>
          </w:p>
        </w:tc>
        <w:tc>
          <w:tcPr>
            <w:tcW w:w="3330" w:type="dxa"/>
            <w:shd w:val="clear" w:color="auto" w:fill="auto"/>
            <w:noWrap/>
            <w:hideMark/>
          </w:tcPr>
          <w:p w14:paraId="6280D78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NM_000256.</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2490dup</w:t>
            </w:r>
          </w:p>
        </w:tc>
        <w:tc>
          <w:tcPr>
            <w:tcW w:w="2268" w:type="dxa"/>
            <w:shd w:val="clear" w:color="auto" w:fill="auto"/>
            <w:noWrap/>
            <w:hideMark/>
          </w:tcPr>
          <w:p w14:paraId="03D94AB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p.His</w:t>
            </w:r>
            <w:proofErr w:type="gramEnd"/>
            <w:r w:rsidRPr="00D95AC0">
              <w:rPr>
                <w:rFonts w:ascii="Times New Roman" w:eastAsia="Times New Roman" w:hAnsi="Times New Roman" w:cs="Times New Roman"/>
                <w:color w:val="000000"/>
                <w:sz w:val="21"/>
                <w:szCs w:val="21"/>
                <w:lang w:val="en-GB"/>
              </w:rPr>
              <w:t>831SerfsTer2</w:t>
            </w:r>
          </w:p>
        </w:tc>
        <w:tc>
          <w:tcPr>
            <w:tcW w:w="709" w:type="dxa"/>
            <w:shd w:val="clear" w:color="auto" w:fill="auto"/>
            <w:noWrap/>
            <w:hideMark/>
          </w:tcPr>
          <w:p w14:paraId="4213D47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0DCB142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42D1E39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0915824F"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43BFB8E7" w14:textId="77777777" w:rsidTr="00C12BD1">
        <w:trPr>
          <w:trHeight w:val="113"/>
        </w:trPr>
        <w:tc>
          <w:tcPr>
            <w:tcW w:w="934" w:type="dxa"/>
            <w:shd w:val="clear" w:color="auto" w:fill="auto"/>
            <w:noWrap/>
            <w:hideMark/>
          </w:tcPr>
          <w:p w14:paraId="1A5F0C9D"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lastRenderedPageBreak/>
              <w:t>21</w:t>
            </w:r>
          </w:p>
        </w:tc>
        <w:tc>
          <w:tcPr>
            <w:tcW w:w="1051" w:type="dxa"/>
            <w:shd w:val="clear" w:color="auto" w:fill="auto"/>
            <w:noWrap/>
            <w:hideMark/>
          </w:tcPr>
          <w:p w14:paraId="4B73AB6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MYH7</w:t>
            </w:r>
          </w:p>
        </w:tc>
        <w:tc>
          <w:tcPr>
            <w:tcW w:w="3330" w:type="dxa"/>
            <w:shd w:val="clear" w:color="auto" w:fill="auto"/>
            <w:noWrap/>
            <w:hideMark/>
          </w:tcPr>
          <w:p w14:paraId="2F83ED2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428G&gt;A</w:t>
            </w:r>
          </w:p>
        </w:tc>
        <w:tc>
          <w:tcPr>
            <w:tcW w:w="2268" w:type="dxa"/>
            <w:shd w:val="clear" w:color="auto" w:fill="auto"/>
            <w:noWrap/>
            <w:hideMark/>
          </w:tcPr>
          <w:p w14:paraId="732ED839"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143Gln</w:t>
            </w:r>
          </w:p>
        </w:tc>
        <w:tc>
          <w:tcPr>
            <w:tcW w:w="709" w:type="dxa"/>
            <w:shd w:val="clear" w:color="auto" w:fill="auto"/>
            <w:noWrap/>
            <w:hideMark/>
          </w:tcPr>
          <w:p w14:paraId="6729ECB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34</w:t>
            </w:r>
          </w:p>
        </w:tc>
        <w:tc>
          <w:tcPr>
            <w:tcW w:w="990" w:type="dxa"/>
            <w:shd w:val="clear" w:color="auto" w:fill="auto"/>
            <w:noWrap/>
            <w:hideMark/>
          </w:tcPr>
          <w:p w14:paraId="4E6B9CAC"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11664B0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1C5A000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2F282DF4" w14:textId="77777777" w:rsidTr="00C12BD1">
        <w:trPr>
          <w:trHeight w:val="113"/>
        </w:trPr>
        <w:tc>
          <w:tcPr>
            <w:tcW w:w="934" w:type="dxa"/>
            <w:shd w:val="clear" w:color="auto" w:fill="auto"/>
            <w:noWrap/>
            <w:hideMark/>
          </w:tcPr>
          <w:p w14:paraId="2D253DC7"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22</w:t>
            </w:r>
          </w:p>
        </w:tc>
        <w:tc>
          <w:tcPr>
            <w:tcW w:w="1051" w:type="dxa"/>
            <w:shd w:val="clear" w:color="auto" w:fill="auto"/>
            <w:noWrap/>
            <w:hideMark/>
          </w:tcPr>
          <w:p w14:paraId="08BFB631"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TPM1</w:t>
            </w:r>
          </w:p>
        </w:tc>
        <w:tc>
          <w:tcPr>
            <w:tcW w:w="3330" w:type="dxa"/>
            <w:shd w:val="clear" w:color="auto" w:fill="auto"/>
            <w:noWrap/>
            <w:hideMark/>
          </w:tcPr>
          <w:p w14:paraId="3DBD206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NM_001018005.</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574G&gt;A</w:t>
            </w:r>
          </w:p>
        </w:tc>
        <w:tc>
          <w:tcPr>
            <w:tcW w:w="2268" w:type="dxa"/>
            <w:shd w:val="clear" w:color="auto" w:fill="auto"/>
            <w:noWrap/>
            <w:hideMark/>
          </w:tcPr>
          <w:p w14:paraId="1B9229BA"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192Lys</w:t>
            </w:r>
          </w:p>
        </w:tc>
        <w:tc>
          <w:tcPr>
            <w:tcW w:w="709" w:type="dxa"/>
            <w:shd w:val="clear" w:color="auto" w:fill="auto"/>
            <w:noWrap/>
            <w:hideMark/>
          </w:tcPr>
          <w:p w14:paraId="51579185"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27768A1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099B4D2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25EA78C7"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46A5FCF6" w14:textId="77777777" w:rsidTr="00C12BD1">
        <w:trPr>
          <w:trHeight w:val="113"/>
        </w:trPr>
        <w:tc>
          <w:tcPr>
            <w:tcW w:w="934" w:type="dxa"/>
            <w:shd w:val="clear" w:color="auto" w:fill="auto"/>
            <w:noWrap/>
            <w:hideMark/>
          </w:tcPr>
          <w:p w14:paraId="3377C44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3</w:t>
            </w:r>
          </w:p>
        </w:tc>
        <w:tc>
          <w:tcPr>
            <w:tcW w:w="1051" w:type="dxa"/>
            <w:shd w:val="clear" w:color="auto" w:fill="auto"/>
            <w:noWrap/>
            <w:hideMark/>
          </w:tcPr>
          <w:p w14:paraId="14B2B5F0"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LMNA</w:t>
            </w:r>
          </w:p>
        </w:tc>
        <w:tc>
          <w:tcPr>
            <w:tcW w:w="3330" w:type="dxa"/>
            <w:shd w:val="clear" w:color="auto" w:fill="auto"/>
            <w:noWrap/>
            <w:hideMark/>
          </w:tcPr>
          <w:p w14:paraId="26FA643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NM_170707.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1129C&gt;T</w:t>
            </w:r>
          </w:p>
        </w:tc>
        <w:tc>
          <w:tcPr>
            <w:tcW w:w="2268" w:type="dxa"/>
            <w:shd w:val="clear" w:color="auto" w:fill="auto"/>
            <w:noWrap/>
            <w:hideMark/>
          </w:tcPr>
          <w:p w14:paraId="6EE4973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377Cys</w:t>
            </w:r>
          </w:p>
        </w:tc>
        <w:tc>
          <w:tcPr>
            <w:tcW w:w="709" w:type="dxa"/>
            <w:shd w:val="clear" w:color="auto" w:fill="auto"/>
            <w:noWrap/>
            <w:hideMark/>
          </w:tcPr>
          <w:p w14:paraId="528AA42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37</w:t>
            </w:r>
          </w:p>
        </w:tc>
        <w:tc>
          <w:tcPr>
            <w:tcW w:w="990" w:type="dxa"/>
            <w:shd w:val="clear" w:color="auto" w:fill="auto"/>
            <w:noWrap/>
            <w:hideMark/>
          </w:tcPr>
          <w:p w14:paraId="2BC921FF"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5E2A10B2"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0ECF6D6F"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F5556B9" w14:textId="77777777" w:rsidTr="00C12BD1">
        <w:trPr>
          <w:trHeight w:val="113"/>
        </w:trPr>
        <w:tc>
          <w:tcPr>
            <w:tcW w:w="934" w:type="dxa"/>
            <w:shd w:val="clear" w:color="auto" w:fill="auto"/>
            <w:noWrap/>
            <w:hideMark/>
          </w:tcPr>
          <w:p w14:paraId="68E647B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4</w:t>
            </w:r>
          </w:p>
        </w:tc>
        <w:tc>
          <w:tcPr>
            <w:tcW w:w="1051" w:type="dxa"/>
            <w:shd w:val="clear" w:color="auto" w:fill="auto"/>
            <w:noWrap/>
            <w:hideMark/>
          </w:tcPr>
          <w:p w14:paraId="6559922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MYH7</w:t>
            </w:r>
          </w:p>
        </w:tc>
        <w:tc>
          <w:tcPr>
            <w:tcW w:w="3330" w:type="dxa"/>
            <w:shd w:val="clear" w:color="auto" w:fill="auto"/>
            <w:noWrap/>
            <w:hideMark/>
          </w:tcPr>
          <w:p w14:paraId="384943E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2156G&gt;A</w:t>
            </w:r>
          </w:p>
        </w:tc>
        <w:tc>
          <w:tcPr>
            <w:tcW w:w="2268" w:type="dxa"/>
            <w:shd w:val="clear" w:color="auto" w:fill="auto"/>
            <w:noWrap/>
            <w:hideMark/>
          </w:tcPr>
          <w:p w14:paraId="6DBFBFC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719Gln</w:t>
            </w:r>
          </w:p>
        </w:tc>
        <w:tc>
          <w:tcPr>
            <w:tcW w:w="709" w:type="dxa"/>
            <w:shd w:val="clear" w:color="auto" w:fill="auto"/>
            <w:noWrap/>
            <w:hideMark/>
          </w:tcPr>
          <w:p w14:paraId="702DFA1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2EE0C78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005391A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2106DCE7"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67C97061" w14:textId="77777777" w:rsidTr="00C12BD1">
        <w:trPr>
          <w:trHeight w:val="113"/>
        </w:trPr>
        <w:tc>
          <w:tcPr>
            <w:tcW w:w="934" w:type="dxa"/>
            <w:shd w:val="clear" w:color="auto" w:fill="auto"/>
            <w:noWrap/>
            <w:hideMark/>
          </w:tcPr>
          <w:p w14:paraId="27ECC00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5</w:t>
            </w:r>
          </w:p>
        </w:tc>
        <w:tc>
          <w:tcPr>
            <w:tcW w:w="1051" w:type="dxa"/>
            <w:shd w:val="clear" w:color="auto" w:fill="auto"/>
            <w:noWrap/>
            <w:hideMark/>
          </w:tcPr>
          <w:p w14:paraId="40900863"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TTR</w:t>
            </w:r>
          </w:p>
        </w:tc>
        <w:tc>
          <w:tcPr>
            <w:tcW w:w="3330" w:type="dxa"/>
            <w:shd w:val="clear" w:color="auto" w:fill="auto"/>
            <w:noWrap/>
            <w:hideMark/>
          </w:tcPr>
          <w:p w14:paraId="709EA61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NM_000371.</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323A&gt;G</w:t>
            </w:r>
          </w:p>
        </w:tc>
        <w:tc>
          <w:tcPr>
            <w:tcW w:w="2268" w:type="dxa"/>
            <w:shd w:val="clear" w:color="auto" w:fill="auto"/>
            <w:noWrap/>
            <w:hideMark/>
          </w:tcPr>
          <w:p w14:paraId="115792C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p.His</w:t>
            </w:r>
            <w:proofErr w:type="gramEnd"/>
            <w:r w:rsidRPr="00D95AC0">
              <w:rPr>
                <w:rFonts w:ascii="Times New Roman" w:eastAsia="Times New Roman" w:hAnsi="Times New Roman" w:cs="Times New Roman"/>
                <w:color w:val="000000"/>
                <w:sz w:val="21"/>
                <w:szCs w:val="21"/>
                <w:lang w:val="en-GB"/>
              </w:rPr>
              <w:t>108Arg</w:t>
            </w:r>
          </w:p>
        </w:tc>
        <w:tc>
          <w:tcPr>
            <w:tcW w:w="709" w:type="dxa"/>
            <w:shd w:val="clear" w:color="auto" w:fill="auto"/>
            <w:noWrap/>
            <w:hideMark/>
          </w:tcPr>
          <w:p w14:paraId="67A7D4C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33</w:t>
            </w:r>
          </w:p>
        </w:tc>
        <w:tc>
          <w:tcPr>
            <w:tcW w:w="990" w:type="dxa"/>
            <w:shd w:val="clear" w:color="auto" w:fill="auto"/>
            <w:noWrap/>
            <w:hideMark/>
          </w:tcPr>
          <w:p w14:paraId="2C9BD93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71E9393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ATTR-CM</w:t>
            </w:r>
          </w:p>
        </w:tc>
        <w:tc>
          <w:tcPr>
            <w:tcW w:w="3121" w:type="dxa"/>
            <w:shd w:val="clear" w:color="auto" w:fill="auto"/>
            <w:noWrap/>
            <w:hideMark/>
          </w:tcPr>
          <w:p w14:paraId="1B46020D"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51761C44" w14:textId="77777777" w:rsidTr="00C12BD1">
        <w:trPr>
          <w:trHeight w:val="113"/>
        </w:trPr>
        <w:tc>
          <w:tcPr>
            <w:tcW w:w="934" w:type="dxa"/>
            <w:shd w:val="clear" w:color="auto" w:fill="FFFFFF" w:themeFill="background1"/>
            <w:noWrap/>
            <w:hideMark/>
          </w:tcPr>
          <w:p w14:paraId="35E93A4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6</w:t>
            </w:r>
          </w:p>
        </w:tc>
        <w:tc>
          <w:tcPr>
            <w:tcW w:w="1051" w:type="dxa"/>
            <w:shd w:val="clear" w:color="auto" w:fill="FFFFFF" w:themeFill="background1"/>
            <w:noWrap/>
            <w:hideMark/>
          </w:tcPr>
          <w:p w14:paraId="4F6D144D"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TTN</w:t>
            </w:r>
          </w:p>
        </w:tc>
        <w:tc>
          <w:tcPr>
            <w:tcW w:w="3330" w:type="dxa"/>
            <w:shd w:val="clear" w:color="auto" w:fill="FFFFFF" w:themeFill="background1"/>
            <w:noWrap/>
            <w:hideMark/>
          </w:tcPr>
          <w:p w14:paraId="26B0A06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NM_001267550.</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100295del</w:t>
            </w:r>
          </w:p>
        </w:tc>
        <w:tc>
          <w:tcPr>
            <w:tcW w:w="2268" w:type="dxa"/>
            <w:shd w:val="clear" w:color="auto" w:fill="FFFFFF" w:themeFill="background1"/>
            <w:noWrap/>
            <w:hideMark/>
          </w:tcPr>
          <w:p w14:paraId="61061509"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33432LeufsTer11</w:t>
            </w:r>
          </w:p>
        </w:tc>
        <w:tc>
          <w:tcPr>
            <w:tcW w:w="709" w:type="dxa"/>
            <w:shd w:val="clear" w:color="auto" w:fill="FFFFFF" w:themeFill="background1"/>
            <w:noWrap/>
            <w:hideMark/>
          </w:tcPr>
          <w:p w14:paraId="4161EC0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20</w:t>
            </w:r>
          </w:p>
        </w:tc>
        <w:tc>
          <w:tcPr>
            <w:tcW w:w="990" w:type="dxa"/>
            <w:shd w:val="clear" w:color="auto" w:fill="FFFFFF" w:themeFill="background1"/>
            <w:noWrap/>
            <w:hideMark/>
          </w:tcPr>
          <w:p w14:paraId="64A7FE96"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FFFFFF" w:themeFill="background1"/>
            <w:noWrap/>
            <w:hideMark/>
          </w:tcPr>
          <w:p w14:paraId="1BDEB5F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FFFFFF" w:themeFill="background1"/>
            <w:noWrap/>
            <w:hideMark/>
          </w:tcPr>
          <w:p w14:paraId="49F830D4"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A-band, exon 358 (LRG), PSI 100%</w:t>
            </w:r>
          </w:p>
        </w:tc>
      </w:tr>
      <w:tr w:rsidR="00FA1D9C" w:rsidRPr="00310CC2" w14:paraId="79F5B0FB" w14:textId="77777777" w:rsidTr="00C12BD1">
        <w:trPr>
          <w:trHeight w:val="113"/>
        </w:trPr>
        <w:tc>
          <w:tcPr>
            <w:tcW w:w="934" w:type="dxa"/>
            <w:shd w:val="clear" w:color="auto" w:fill="auto"/>
            <w:noWrap/>
            <w:hideMark/>
          </w:tcPr>
          <w:p w14:paraId="3B27421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7</w:t>
            </w:r>
          </w:p>
        </w:tc>
        <w:tc>
          <w:tcPr>
            <w:tcW w:w="1051" w:type="dxa"/>
            <w:shd w:val="clear" w:color="auto" w:fill="auto"/>
            <w:noWrap/>
            <w:hideMark/>
          </w:tcPr>
          <w:p w14:paraId="6C1EF040"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DSG2</w:t>
            </w:r>
          </w:p>
        </w:tc>
        <w:tc>
          <w:tcPr>
            <w:tcW w:w="3330" w:type="dxa"/>
            <w:shd w:val="clear" w:color="auto" w:fill="auto"/>
            <w:noWrap/>
            <w:hideMark/>
          </w:tcPr>
          <w:p w14:paraId="79F3B22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NM_001943.</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2315T&gt;G</w:t>
            </w:r>
          </w:p>
        </w:tc>
        <w:tc>
          <w:tcPr>
            <w:tcW w:w="2268" w:type="dxa"/>
            <w:shd w:val="clear" w:color="auto" w:fill="auto"/>
            <w:noWrap/>
            <w:hideMark/>
          </w:tcPr>
          <w:p w14:paraId="1507239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p.Leu</w:t>
            </w:r>
            <w:proofErr w:type="gramEnd"/>
            <w:r w:rsidRPr="00D95AC0">
              <w:rPr>
                <w:rFonts w:ascii="Times New Roman" w:eastAsia="Times New Roman" w:hAnsi="Times New Roman" w:cs="Times New Roman"/>
                <w:color w:val="000000"/>
                <w:sz w:val="21"/>
                <w:szCs w:val="21"/>
                <w:lang w:val="en-GB"/>
              </w:rPr>
              <w:t>772Ter</w:t>
            </w:r>
          </w:p>
        </w:tc>
        <w:tc>
          <w:tcPr>
            <w:tcW w:w="709" w:type="dxa"/>
            <w:shd w:val="clear" w:color="auto" w:fill="auto"/>
            <w:noWrap/>
            <w:hideMark/>
          </w:tcPr>
          <w:p w14:paraId="4DEE31F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45FF110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653D9DB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ARVC</w:t>
            </w:r>
          </w:p>
        </w:tc>
        <w:tc>
          <w:tcPr>
            <w:tcW w:w="3121" w:type="dxa"/>
            <w:shd w:val="clear" w:color="auto" w:fill="auto"/>
            <w:noWrap/>
            <w:hideMark/>
          </w:tcPr>
          <w:p w14:paraId="07D7B98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2B4E85DA" w14:textId="77777777" w:rsidTr="00C12BD1">
        <w:trPr>
          <w:trHeight w:val="113"/>
        </w:trPr>
        <w:tc>
          <w:tcPr>
            <w:tcW w:w="934" w:type="dxa"/>
            <w:shd w:val="clear" w:color="auto" w:fill="auto"/>
            <w:noWrap/>
            <w:hideMark/>
          </w:tcPr>
          <w:p w14:paraId="619382D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7</w:t>
            </w:r>
          </w:p>
        </w:tc>
        <w:tc>
          <w:tcPr>
            <w:tcW w:w="1051" w:type="dxa"/>
            <w:shd w:val="clear" w:color="auto" w:fill="auto"/>
            <w:noWrap/>
            <w:hideMark/>
          </w:tcPr>
          <w:p w14:paraId="730E9305"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DSG2</w:t>
            </w:r>
          </w:p>
        </w:tc>
        <w:tc>
          <w:tcPr>
            <w:tcW w:w="3330" w:type="dxa"/>
            <w:shd w:val="clear" w:color="auto" w:fill="auto"/>
            <w:noWrap/>
            <w:hideMark/>
          </w:tcPr>
          <w:p w14:paraId="112B13C4"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NM_001943.</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1003A&gt;G</w:t>
            </w:r>
          </w:p>
        </w:tc>
        <w:tc>
          <w:tcPr>
            <w:tcW w:w="2268" w:type="dxa"/>
            <w:shd w:val="clear" w:color="auto" w:fill="auto"/>
            <w:noWrap/>
            <w:hideMark/>
          </w:tcPr>
          <w:p w14:paraId="3CA1FDE0"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p.Thr</w:t>
            </w:r>
            <w:proofErr w:type="gramEnd"/>
            <w:r w:rsidRPr="00D95AC0">
              <w:rPr>
                <w:rFonts w:ascii="Times New Roman" w:eastAsia="Times New Roman" w:hAnsi="Times New Roman" w:cs="Times New Roman"/>
                <w:color w:val="000000"/>
                <w:sz w:val="21"/>
                <w:szCs w:val="21"/>
                <w:lang w:val="en-GB"/>
              </w:rPr>
              <w:t>335Ala</w:t>
            </w:r>
          </w:p>
        </w:tc>
        <w:tc>
          <w:tcPr>
            <w:tcW w:w="709" w:type="dxa"/>
            <w:shd w:val="clear" w:color="auto" w:fill="auto"/>
            <w:noWrap/>
            <w:hideMark/>
          </w:tcPr>
          <w:p w14:paraId="2D9552A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19</w:t>
            </w:r>
          </w:p>
        </w:tc>
        <w:tc>
          <w:tcPr>
            <w:tcW w:w="990" w:type="dxa"/>
            <w:shd w:val="clear" w:color="auto" w:fill="auto"/>
            <w:noWrap/>
            <w:hideMark/>
          </w:tcPr>
          <w:p w14:paraId="5490365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3B82975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ARVC</w:t>
            </w:r>
          </w:p>
        </w:tc>
        <w:tc>
          <w:tcPr>
            <w:tcW w:w="3121" w:type="dxa"/>
            <w:shd w:val="clear" w:color="auto" w:fill="auto"/>
            <w:noWrap/>
            <w:hideMark/>
          </w:tcPr>
          <w:p w14:paraId="1BF5446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50245EDA" w14:textId="77777777" w:rsidTr="00C12BD1">
        <w:trPr>
          <w:trHeight w:val="113"/>
        </w:trPr>
        <w:tc>
          <w:tcPr>
            <w:tcW w:w="934" w:type="dxa"/>
            <w:shd w:val="clear" w:color="auto" w:fill="auto"/>
            <w:noWrap/>
            <w:hideMark/>
          </w:tcPr>
          <w:p w14:paraId="7E71D2E2"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2</w:t>
            </w:r>
            <w:r>
              <w:rPr>
                <w:rFonts w:ascii="Times New Roman" w:eastAsia="Times New Roman" w:hAnsi="Times New Roman" w:cs="Times New Roman"/>
                <w:sz w:val="21"/>
                <w:szCs w:val="21"/>
                <w:lang w:val="en-GB"/>
              </w:rPr>
              <w:t>8</w:t>
            </w:r>
          </w:p>
        </w:tc>
        <w:tc>
          <w:tcPr>
            <w:tcW w:w="1051" w:type="dxa"/>
            <w:shd w:val="clear" w:color="auto" w:fill="auto"/>
            <w:noWrap/>
            <w:hideMark/>
          </w:tcPr>
          <w:p w14:paraId="6FB42E5F"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LMNA</w:t>
            </w:r>
          </w:p>
        </w:tc>
        <w:tc>
          <w:tcPr>
            <w:tcW w:w="3330" w:type="dxa"/>
            <w:shd w:val="clear" w:color="auto" w:fill="auto"/>
            <w:noWrap/>
            <w:hideMark/>
          </w:tcPr>
          <w:p w14:paraId="6E63DF8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NM_170707.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1072_1077del</w:t>
            </w:r>
          </w:p>
        </w:tc>
        <w:tc>
          <w:tcPr>
            <w:tcW w:w="2268" w:type="dxa"/>
            <w:shd w:val="clear" w:color="auto" w:fill="auto"/>
            <w:noWrap/>
            <w:hideMark/>
          </w:tcPr>
          <w:p w14:paraId="0883495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358_Tyr359del</w:t>
            </w:r>
          </w:p>
        </w:tc>
        <w:tc>
          <w:tcPr>
            <w:tcW w:w="709" w:type="dxa"/>
            <w:shd w:val="clear" w:color="auto" w:fill="auto"/>
            <w:noWrap/>
            <w:hideMark/>
          </w:tcPr>
          <w:p w14:paraId="2FA1357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19</w:t>
            </w:r>
          </w:p>
        </w:tc>
        <w:tc>
          <w:tcPr>
            <w:tcW w:w="990" w:type="dxa"/>
            <w:shd w:val="clear" w:color="auto" w:fill="auto"/>
            <w:noWrap/>
            <w:hideMark/>
          </w:tcPr>
          <w:p w14:paraId="568E0707"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21B072BC"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092E4BF3"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5FA5F45F" w14:textId="77777777" w:rsidTr="00C12BD1">
        <w:trPr>
          <w:trHeight w:val="113"/>
        </w:trPr>
        <w:tc>
          <w:tcPr>
            <w:tcW w:w="934" w:type="dxa"/>
            <w:shd w:val="clear" w:color="auto" w:fill="FFFFFF" w:themeFill="background1"/>
            <w:noWrap/>
            <w:hideMark/>
          </w:tcPr>
          <w:p w14:paraId="1E57A62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29</w:t>
            </w:r>
          </w:p>
        </w:tc>
        <w:tc>
          <w:tcPr>
            <w:tcW w:w="1051" w:type="dxa"/>
            <w:shd w:val="clear" w:color="auto" w:fill="FFFFFF" w:themeFill="background1"/>
            <w:noWrap/>
            <w:hideMark/>
          </w:tcPr>
          <w:p w14:paraId="238E725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TTN</w:t>
            </w:r>
          </w:p>
        </w:tc>
        <w:tc>
          <w:tcPr>
            <w:tcW w:w="3330" w:type="dxa"/>
            <w:shd w:val="clear" w:color="auto" w:fill="FFFFFF" w:themeFill="background1"/>
            <w:noWrap/>
            <w:hideMark/>
          </w:tcPr>
          <w:p w14:paraId="2AC5990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NM_001267550.</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658C&gt;T</w:t>
            </w:r>
          </w:p>
        </w:tc>
        <w:tc>
          <w:tcPr>
            <w:tcW w:w="2268" w:type="dxa"/>
            <w:shd w:val="clear" w:color="auto" w:fill="FFFFFF" w:themeFill="background1"/>
            <w:noWrap/>
            <w:hideMark/>
          </w:tcPr>
          <w:p w14:paraId="798D3D9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220Ter</w:t>
            </w:r>
          </w:p>
        </w:tc>
        <w:tc>
          <w:tcPr>
            <w:tcW w:w="709" w:type="dxa"/>
            <w:shd w:val="clear" w:color="auto" w:fill="FFFFFF" w:themeFill="background1"/>
            <w:noWrap/>
            <w:hideMark/>
          </w:tcPr>
          <w:p w14:paraId="3A80E11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22</w:t>
            </w:r>
          </w:p>
        </w:tc>
        <w:tc>
          <w:tcPr>
            <w:tcW w:w="990" w:type="dxa"/>
            <w:shd w:val="clear" w:color="auto" w:fill="FFFFFF" w:themeFill="background1"/>
            <w:noWrap/>
            <w:hideMark/>
          </w:tcPr>
          <w:p w14:paraId="7D46EB91"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FFFFFF" w:themeFill="background1"/>
            <w:noWrap/>
            <w:hideMark/>
          </w:tcPr>
          <w:p w14:paraId="24C801D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ICM</w:t>
            </w:r>
          </w:p>
        </w:tc>
        <w:tc>
          <w:tcPr>
            <w:tcW w:w="3121" w:type="dxa"/>
            <w:shd w:val="clear" w:color="auto" w:fill="FFFFFF" w:themeFill="background1"/>
            <w:noWrap/>
            <w:hideMark/>
          </w:tcPr>
          <w:p w14:paraId="27FAE813"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Z-disc, exon 5 (LRG), PSI 100%</w:t>
            </w:r>
          </w:p>
        </w:tc>
      </w:tr>
      <w:tr w:rsidR="00FA1D9C" w:rsidRPr="00310CC2" w14:paraId="29B9AF0B" w14:textId="77777777" w:rsidTr="00C12BD1">
        <w:trPr>
          <w:trHeight w:val="113"/>
        </w:trPr>
        <w:tc>
          <w:tcPr>
            <w:tcW w:w="934" w:type="dxa"/>
            <w:shd w:val="clear" w:color="auto" w:fill="FFFFFF" w:themeFill="background1"/>
            <w:noWrap/>
            <w:hideMark/>
          </w:tcPr>
          <w:p w14:paraId="7C9CC7AF"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0</w:t>
            </w:r>
          </w:p>
        </w:tc>
        <w:tc>
          <w:tcPr>
            <w:tcW w:w="1051" w:type="dxa"/>
            <w:shd w:val="clear" w:color="auto" w:fill="FFFFFF" w:themeFill="background1"/>
            <w:noWrap/>
            <w:hideMark/>
          </w:tcPr>
          <w:p w14:paraId="25A58959"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TTN</w:t>
            </w:r>
          </w:p>
        </w:tc>
        <w:tc>
          <w:tcPr>
            <w:tcW w:w="3330" w:type="dxa"/>
            <w:shd w:val="clear" w:color="auto" w:fill="FFFFFF" w:themeFill="background1"/>
            <w:noWrap/>
            <w:hideMark/>
          </w:tcPr>
          <w:p w14:paraId="5A92F01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NM_001267550.</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90566dup</w:t>
            </w:r>
          </w:p>
        </w:tc>
        <w:tc>
          <w:tcPr>
            <w:tcW w:w="2268" w:type="dxa"/>
            <w:shd w:val="clear" w:color="auto" w:fill="FFFFFF" w:themeFill="background1"/>
            <w:noWrap/>
            <w:hideMark/>
          </w:tcPr>
          <w:p w14:paraId="5210F37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p.Leu</w:t>
            </w:r>
            <w:proofErr w:type="gramEnd"/>
            <w:r w:rsidRPr="00D95AC0">
              <w:rPr>
                <w:rFonts w:ascii="Times New Roman" w:eastAsia="Times New Roman" w:hAnsi="Times New Roman" w:cs="Times New Roman"/>
                <w:color w:val="000000"/>
                <w:sz w:val="21"/>
                <w:szCs w:val="21"/>
                <w:lang w:val="en-GB"/>
              </w:rPr>
              <w:t>30189PhefsTer4</w:t>
            </w:r>
          </w:p>
        </w:tc>
        <w:tc>
          <w:tcPr>
            <w:tcW w:w="709" w:type="dxa"/>
            <w:shd w:val="clear" w:color="auto" w:fill="FFFFFF" w:themeFill="background1"/>
            <w:noWrap/>
            <w:hideMark/>
          </w:tcPr>
          <w:p w14:paraId="6F5867D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20</w:t>
            </w:r>
          </w:p>
        </w:tc>
        <w:tc>
          <w:tcPr>
            <w:tcW w:w="990" w:type="dxa"/>
            <w:shd w:val="clear" w:color="auto" w:fill="FFFFFF" w:themeFill="background1"/>
            <w:noWrap/>
            <w:hideMark/>
          </w:tcPr>
          <w:p w14:paraId="2D9517AC"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FFFFFF" w:themeFill="background1"/>
            <w:noWrap/>
            <w:hideMark/>
          </w:tcPr>
          <w:p w14:paraId="4BB9F687"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FFFFFF" w:themeFill="background1"/>
            <w:noWrap/>
            <w:hideMark/>
          </w:tcPr>
          <w:p w14:paraId="3833791A"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A-band, exon 336 (LRG), PSI 100%</w:t>
            </w:r>
          </w:p>
        </w:tc>
      </w:tr>
      <w:tr w:rsidR="00FA1D9C" w:rsidRPr="00310CC2" w14:paraId="4A6C50DB" w14:textId="77777777" w:rsidTr="00C12BD1">
        <w:trPr>
          <w:trHeight w:val="113"/>
        </w:trPr>
        <w:tc>
          <w:tcPr>
            <w:tcW w:w="934" w:type="dxa"/>
            <w:shd w:val="clear" w:color="auto" w:fill="auto"/>
            <w:noWrap/>
            <w:hideMark/>
          </w:tcPr>
          <w:p w14:paraId="537CEF3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1</w:t>
            </w:r>
          </w:p>
        </w:tc>
        <w:tc>
          <w:tcPr>
            <w:tcW w:w="1051" w:type="dxa"/>
            <w:shd w:val="clear" w:color="auto" w:fill="auto"/>
            <w:noWrap/>
            <w:hideMark/>
          </w:tcPr>
          <w:p w14:paraId="7AF30AD7"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DMD</w:t>
            </w:r>
          </w:p>
        </w:tc>
        <w:tc>
          <w:tcPr>
            <w:tcW w:w="3330" w:type="dxa"/>
            <w:shd w:val="clear" w:color="auto" w:fill="auto"/>
            <w:noWrap/>
            <w:hideMark/>
          </w:tcPr>
          <w:p w14:paraId="58F3DAD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NM_004006.</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31+1del</w:t>
            </w:r>
          </w:p>
        </w:tc>
        <w:tc>
          <w:tcPr>
            <w:tcW w:w="2268" w:type="dxa"/>
            <w:shd w:val="clear" w:color="auto" w:fill="auto"/>
            <w:noWrap/>
            <w:hideMark/>
          </w:tcPr>
          <w:p w14:paraId="1E1EF99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
        </w:tc>
        <w:tc>
          <w:tcPr>
            <w:tcW w:w="709" w:type="dxa"/>
            <w:shd w:val="clear" w:color="auto" w:fill="auto"/>
            <w:noWrap/>
            <w:hideMark/>
          </w:tcPr>
          <w:p w14:paraId="255AECE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2C3E3C5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6A9DD62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442E9739"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Predicted to disrupt splicing. Hemizygous.</w:t>
            </w:r>
          </w:p>
        </w:tc>
      </w:tr>
      <w:tr w:rsidR="00FA1D9C" w:rsidRPr="00310CC2" w14:paraId="360DFDDB" w14:textId="77777777" w:rsidTr="00C12BD1">
        <w:trPr>
          <w:trHeight w:val="113"/>
        </w:trPr>
        <w:tc>
          <w:tcPr>
            <w:tcW w:w="934" w:type="dxa"/>
            <w:shd w:val="clear" w:color="auto" w:fill="auto"/>
            <w:noWrap/>
            <w:hideMark/>
          </w:tcPr>
          <w:p w14:paraId="3866B1A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2</w:t>
            </w:r>
          </w:p>
        </w:tc>
        <w:tc>
          <w:tcPr>
            <w:tcW w:w="1051" w:type="dxa"/>
            <w:shd w:val="clear" w:color="auto" w:fill="auto"/>
            <w:noWrap/>
            <w:hideMark/>
          </w:tcPr>
          <w:p w14:paraId="56BA5A8A"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PKP2</w:t>
            </w:r>
          </w:p>
        </w:tc>
        <w:tc>
          <w:tcPr>
            <w:tcW w:w="3330" w:type="dxa"/>
            <w:shd w:val="clear" w:color="auto" w:fill="auto"/>
            <w:noWrap/>
            <w:hideMark/>
          </w:tcPr>
          <w:p w14:paraId="4630382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NM_001005242.</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2014-1G&gt;C</w:t>
            </w:r>
          </w:p>
        </w:tc>
        <w:tc>
          <w:tcPr>
            <w:tcW w:w="2268" w:type="dxa"/>
            <w:shd w:val="clear" w:color="auto" w:fill="auto"/>
            <w:noWrap/>
            <w:hideMark/>
          </w:tcPr>
          <w:p w14:paraId="42E7DA3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
        </w:tc>
        <w:tc>
          <w:tcPr>
            <w:tcW w:w="709" w:type="dxa"/>
            <w:shd w:val="clear" w:color="auto" w:fill="auto"/>
            <w:noWrap/>
            <w:hideMark/>
          </w:tcPr>
          <w:p w14:paraId="53ABF90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33</w:t>
            </w:r>
          </w:p>
        </w:tc>
        <w:tc>
          <w:tcPr>
            <w:tcW w:w="990" w:type="dxa"/>
            <w:shd w:val="clear" w:color="auto" w:fill="auto"/>
            <w:noWrap/>
            <w:hideMark/>
          </w:tcPr>
          <w:p w14:paraId="077C609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4992A12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ARVC</w:t>
            </w:r>
          </w:p>
        </w:tc>
        <w:tc>
          <w:tcPr>
            <w:tcW w:w="3121" w:type="dxa"/>
            <w:shd w:val="clear" w:color="auto" w:fill="auto"/>
            <w:noWrap/>
            <w:hideMark/>
          </w:tcPr>
          <w:p w14:paraId="193C36C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Predicted to disrupt splicing.</w:t>
            </w:r>
          </w:p>
        </w:tc>
      </w:tr>
      <w:tr w:rsidR="00FA1D9C" w:rsidRPr="00310CC2" w14:paraId="52079B4F" w14:textId="77777777" w:rsidTr="00C12BD1">
        <w:trPr>
          <w:trHeight w:val="113"/>
        </w:trPr>
        <w:tc>
          <w:tcPr>
            <w:tcW w:w="934" w:type="dxa"/>
            <w:shd w:val="clear" w:color="auto" w:fill="auto"/>
            <w:noWrap/>
            <w:hideMark/>
          </w:tcPr>
          <w:p w14:paraId="51D08FAD"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3</w:t>
            </w:r>
          </w:p>
        </w:tc>
        <w:tc>
          <w:tcPr>
            <w:tcW w:w="1051" w:type="dxa"/>
            <w:shd w:val="clear" w:color="auto" w:fill="auto"/>
            <w:noWrap/>
            <w:hideMark/>
          </w:tcPr>
          <w:p w14:paraId="4924C6E0"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MYBPC3</w:t>
            </w:r>
          </w:p>
        </w:tc>
        <w:tc>
          <w:tcPr>
            <w:tcW w:w="3330" w:type="dxa"/>
            <w:shd w:val="clear" w:color="auto" w:fill="auto"/>
            <w:noWrap/>
            <w:hideMark/>
          </w:tcPr>
          <w:p w14:paraId="22EE4FDA"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NM_000256.</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2490dup</w:t>
            </w:r>
          </w:p>
        </w:tc>
        <w:tc>
          <w:tcPr>
            <w:tcW w:w="2268" w:type="dxa"/>
            <w:shd w:val="clear" w:color="auto" w:fill="auto"/>
            <w:noWrap/>
            <w:hideMark/>
          </w:tcPr>
          <w:p w14:paraId="2B7A14D2"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p.His</w:t>
            </w:r>
            <w:proofErr w:type="gramEnd"/>
            <w:r w:rsidRPr="00D95AC0">
              <w:rPr>
                <w:rFonts w:ascii="Times New Roman" w:eastAsia="Times New Roman" w:hAnsi="Times New Roman" w:cs="Times New Roman"/>
                <w:color w:val="000000"/>
                <w:sz w:val="21"/>
                <w:szCs w:val="21"/>
                <w:lang w:val="en-GB"/>
              </w:rPr>
              <w:t>831SerfsTer2</w:t>
            </w:r>
          </w:p>
        </w:tc>
        <w:tc>
          <w:tcPr>
            <w:tcW w:w="709" w:type="dxa"/>
            <w:shd w:val="clear" w:color="auto" w:fill="auto"/>
            <w:noWrap/>
            <w:hideMark/>
          </w:tcPr>
          <w:p w14:paraId="057D7FB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3A99C85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38A71C7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7DFC459D"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265775BC" w14:textId="77777777" w:rsidTr="00C12BD1">
        <w:trPr>
          <w:trHeight w:val="113"/>
        </w:trPr>
        <w:tc>
          <w:tcPr>
            <w:tcW w:w="934" w:type="dxa"/>
            <w:shd w:val="clear" w:color="auto" w:fill="auto"/>
            <w:noWrap/>
            <w:hideMark/>
          </w:tcPr>
          <w:p w14:paraId="08DE088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4</w:t>
            </w:r>
          </w:p>
        </w:tc>
        <w:tc>
          <w:tcPr>
            <w:tcW w:w="1051" w:type="dxa"/>
            <w:shd w:val="clear" w:color="auto" w:fill="auto"/>
            <w:noWrap/>
            <w:hideMark/>
          </w:tcPr>
          <w:p w14:paraId="48FA1349"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LMNA</w:t>
            </w:r>
          </w:p>
        </w:tc>
        <w:tc>
          <w:tcPr>
            <w:tcW w:w="3330" w:type="dxa"/>
            <w:shd w:val="clear" w:color="auto" w:fill="auto"/>
            <w:noWrap/>
            <w:hideMark/>
          </w:tcPr>
          <w:p w14:paraId="3CC2B51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NM_170707.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1304_1307dup</w:t>
            </w:r>
          </w:p>
        </w:tc>
        <w:tc>
          <w:tcPr>
            <w:tcW w:w="2268" w:type="dxa"/>
            <w:shd w:val="clear" w:color="auto" w:fill="auto"/>
            <w:noWrap/>
            <w:hideMark/>
          </w:tcPr>
          <w:p w14:paraId="14AAA1A1"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p.Ser</w:t>
            </w:r>
            <w:proofErr w:type="gramEnd"/>
            <w:r w:rsidRPr="00D95AC0">
              <w:rPr>
                <w:rFonts w:ascii="Times New Roman" w:eastAsia="Times New Roman" w:hAnsi="Times New Roman" w:cs="Times New Roman"/>
                <w:color w:val="000000"/>
                <w:sz w:val="21"/>
                <w:szCs w:val="21"/>
                <w:lang w:val="en-GB"/>
              </w:rPr>
              <w:t>437HisfsTer2</w:t>
            </w:r>
          </w:p>
        </w:tc>
        <w:tc>
          <w:tcPr>
            <w:tcW w:w="709" w:type="dxa"/>
            <w:shd w:val="clear" w:color="auto" w:fill="auto"/>
            <w:noWrap/>
            <w:hideMark/>
          </w:tcPr>
          <w:p w14:paraId="710768A4"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44463C8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558D2F68"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2460883E"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7A8DE84" w14:textId="77777777" w:rsidTr="00C12BD1">
        <w:trPr>
          <w:trHeight w:val="113"/>
        </w:trPr>
        <w:tc>
          <w:tcPr>
            <w:tcW w:w="934" w:type="dxa"/>
            <w:shd w:val="clear" w:color="auto" w:fill="auto"/>
            <w:noWrap/>
            <w:hideMark/>
          </w:tcPr>
          <w:p w14:paraId="044C848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5</w:t>
            </w:r>
          </w:p>
        </w:tc>
        <w:tc>
          <w:tcPr>
            <w:tcW w:w="1051" w:type="dxa"/>
            <w:shd w:val="clear" w:color="auto" w:fill="auto"/>
            <w:noWrap/>
            <w:hideMark/>
          </w:tcPr>
          <w:p w14:paraId="06847FE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FLNC</w:t>
            </w:r>
          </w:p>
        </w:tc>
        <w:tc>
          <w:tcPr>
            <w:tcW w:w="3330" w:type="dxa"/>
            <w:shd w:val="clear" w:color="auto" w:fill="auto"/>
            <w:noWrap/>
            <w:hideMark/>
          </w:tcPr>
          <w:p w14:paraId="242C042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NM_001458.</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6826G&gt;A</w:t>
            </w:r>
          </w:p>
        </w:tc>
        <w:tc>
          <w:tcPr>
            <w:tcW w:w="2268" w:type="dxa"/>
            <w:shd w:val="clear" w:color="auto" w:fill="auto"/>
            <w:noWrap/>
            <w:hideMark/>
          </w:tcPr>
          <w:p w14:paraId="47A94030"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p.Val</w:t>
            </w:r>
            <w:proofErr w:type="gramEnd"/>
            <w:r w:rsidRPr="00D95AC0">
              <w:rPr>
                <w:rFonts w:ascii="Times New Roman" w:eastAsia="Times New Roman" w:hAnsi="Times New Roman" w:cs="Times New Roman"/>
                <w:color w:val="000000"/>
                <w:sz w:val="21"/>
                <w:szCs w:val="21"/>
                <w:lang w:val="en-GB"/>
              </w:rPr>
              <w:t>2276Met</w:t>
            </w:r>
          </w:p>
        </w:tc>
        <w:tc>
          <w:tcPr>
            <w:tcW w:w="709" w:type="dxa"/>
            <w:shd w:val="clear" w:color="auto" w:fill="auto"/>
            <w:noWrap/>
            <w:hideMark/>
          </w:tcPr>
          <w:p w14:paraId="4310455B"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26</w:t>
            </w:r>
          </w:p>
        </w:tc>
        <w:tc>
          <w:tcPr>
            <w:tcW w:w="990" w:type="dxa"/>
            <w:shd w:val="clear" w:color="auto" w:fill="auto"/>
            <w:noWrap/>
            <w:hideMark/>
          </w:tcPr>
          <w:p w14:paraId="62419EA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0A71654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3B466BF8"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692FEB53" w14:textId="77777777" w:rsidTr="00C12BD1">
        <w:trPr>
          <w:trHeight w:val="113"/>
        </w:trPr>
        <w:tc>
          <w:tcPr>
            <w:tcW w:w="934" w:type="dxa"/>
            <w:shd w:val="clear" w:color="auto" w:fill="auto"/>
            <w:noWrap/>
            <w:hideMark/>
          </w:tcPr>
          <w:p w14:paraId="446D242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6</w:t>
            </w:r>
          </w:p>
        </w:tc>
        <w:tc>
          <w:tcPr>
            <w:tcW w:w="1051" w:type="dxa"/>
            <w:shd w:val="clear" w:color="auto" w:fill="auto"/>
            <w:noWrap/>
            <w:hideMark/>
          </w:tcPr>
          <w:p w14:paraId="2A0FC5F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LMNA</w:t>
            </w:r>
          </w:p>
        </w:tc>
        <w:tc>
          <w:tcPr>
            <w:tcW w:w="3330" w:type="dxa"/>
            <w:shd w:val="clear" w:color="auto" w:fill="auto"/>
            <w:noWrap/>
            <w:hideMark/>
          </w:tcPr>
          <w:p w14:paraId="3A2AE64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NM_170707.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992G&gt;A</w:t>
            </w:r>
          </w:p>
        </w:tc>
        <w:tc>
          <w:tcPr>
            <w:tcW w:w="2268" w:type="dxa"/>
            <w:shd w:val="clear" w:color="auto" w:fill="auto"/>
            <w:noWrap/>
            <w:hideMark/>
          </w:tcPr>
          <w:p w14:paraId="1AD21A0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331Gln</w:t>
            </w:r>
          </w:p>
        </w:tc>
        <w:tc>
          <w:tcPr>
            <w:tcW w:w="709" w:type="dxa"/>
            <w:shd w:val="clear" w:color="auto" w:fill="auto"/>
            <w:noWrap/>
            <w:hideMark/>
          </w:tcPr>
          <w:p w14:paraId="093E24CA"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3016187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5AB5B18C"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ACHD</w:t>
            </w:r>
          </w:p>
        </w:tc>
        <w:tc>
          <w:tcPr>
            <w:tcW w:w="3121" w:type="dxa"/>
            <w:shd w:val="clear" w:color="auto" w:fill="auto"/>
            <w:noWrap/>
            <w:hideMark/>
          </w:tcPr>
          <w:p w14:paraId="07692EAA"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4B132D5" w14:textId="77777777" w:rsidTr="00C12BD1">
        <w:trPr>
          <w:trHeight w:val="113"/>
        </w:trPr>
        <w:tc>
          <w:tcPr>
            <w:tcW w:w="934" w:type="dxa"/>
            <w:shd w:val="clear" w:color="auto" w:fill="auto"/>
            <w:noWrap/>
            <w:hideMark/>
          </w:tcPr>
          <w:p w14:paraId="6E63B88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7</w:t>
            </w:r>
          </w:p>
        </w:tc>
        <w:tc>
          <w:tcPr>
            <w:tcW w:w="1051" w:type="dxa"/>
            <w:shd w:val="clear" w:color="auto" w:fill="auto"/>
            <w:noWrap/>
            <w:hideMark/>
          </w:tcPr>
          <w:p w14:paraId="02A9EF2E"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DES</w:t>
            </w:r>
          </w:p>
        </w:tc>
        <w:tc>
          <w:tcPr>
            <w:tcW w:w="3330" w:type="dxa"/>
            <w:shd w:val="clear" w:color="auto" w:fill="auto"/>
            <w:noWrap/>
            <w:hideMark/>
          </w:tcPr>
          <w:p w14:paraId="4C4961B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NM_001927.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735G&gt;A</w:t>
            </w:r>
          </w:p>
        </w:tc>
        <w:tc>
          <w:tcPr>
            <w:tcW w:w="2268" w:type="dxa"/>
            <w:shd w:val="clear" w:color="auto" w:fill="auto"/>
            <w:noWrap/>
            <w:hideMark/>
          </w:tcPr>
          <w:p w14:paraId="3637B26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245%3D</w:t>
            </w:r>
          </w:p>
        </w:tc>
        <w:tc>
          <w:tcPr>
            <w:tcW w:w="709" w:type="dxa"/>
            <w:shd w:val="clear" w:color="auto" w:fill="auto"/>
            <w:noWrap/>
            <w:hideMark/>
          </w:tcPr>
          <w:p w14:paraId="11C41E58"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21</w:t>
            </w:r>
          </w:p>
        </w:tc>
        <w:tc>
          <w:tcPr>
            <w:tcW w:w="990" w:type="dxa"/>
            <w:shd w:val="clear" w:color="auto" w:fill="auto"/>
            <w:noWrap/>
            <w:hideMark/>
          </w:tcPr>
          <w:p w14:paraId="2BCCD24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6BAC1CD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44DAB07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48B2CD09" w14:textId="77777777" w:rsidTr="00C12BD1">
        <w:trPr>
          <w:trHeight w:val="113"/>
        </w:trPr>
        <w:tc>
          <w:tcPr>
            <w:tcW w:w="934" w:type="dxa"/>
            <w:shd w:val="clear" w:color="auto" w:fill="auto"/>
            <w:noWrap/>
            <w:hideMark/>
          </w:tcPr>
          <w:p w14:paraId="6CF7C82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3</w:t>
            </w:r>
            <w:r>
              <w:rPr>
                <w:rFonts w:ascii="Times New Roman" w:eastAsia="Times New Roman" w:hAnsi="Times New Roman" w:cs="Times New Roman"/>
                <w:sz w:val="21"/>
                <w:szCs w:val="21"/>
                <w:lang w:val="en-GB"/>
              </w:rPr>
              <w:t>8</w:t>
            </w:r>
          </w:p>
        </w:tc>
        <w:tc>
          <w:tcPr>
            <w:tcW w:w="1051" w:type="dxa"/>
            <w:shd w:val="clear" w:color="auto" w:fill="auto"/>
            <w:noWrap/>
            <w:hideMark/>
          </w:tcPr>
          <w:p w14:paraId="78C76C64"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ACTC1</w:t>
            </w:r>
          </w:p>
        </w:tc>
        <w:tc>
          <w:tcPr>
            <w:tcW w:w="3330" w:type="dxa"/>
            <w:shd w:val="clear" w:color="auto" w:fill="auto"/>
            <w:noWrap/>
            <w:hideMark/>
          </w:tcPr>
          <w:p w14:paraId="159636E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NM_005159.</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301G&gt;A</w:t>
            </w:r>
          </w:p>
        </w:tc>
        <w:tc>
          <w:tcPr>
            <w:tcW w:w="2268" w:type="dxa"/>
            <w:shd w:val="clear" w:color="auto" w:fill="auto"/>
            <w:noWrap/>
            <w:hideMark/>
          </w:tcPr>
          <w:p w14:paraId="3EC44E00"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p.Glu</w:t>
            </w:r>
            <w:proofErr w:type="gramEnd"/>
            <w:r w:rsidRPr="00D95AC0">
              <w:rPr>
                <w:rFonts w:ascii="Times New Roman" w:eastAsia="Times New Roman" w:hAnsi="Times New Roman" w:cs="Times New Roman"/>
                <w:color w:val="000000"/>
                <w:sz w:val="21"/>
                <w:szCs w:val="21"/>
                <w:lang w:val="en-GB"/>
              </w:rPr>
              <w:t>101Lys</w:t>
            </w:r>
          </w:p>
        </w:tc>
        <w:tc>
          <w:tcPr>
            <w:tcW w:w="709" w:type="dxa"/>
            <w:shd w:val="clear" w:color="auto" w:fill="auto"/>
            <w:noWrap/>
            <w:hideMark/>
          </w:tcPr>
          <w:p w14:paraId="0BF11DE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31</w:t>
            </w:r>
          </w:p>
        </w:tc>
        <w:tc>
          <w:tcPr>
            <w:tcW w:w="990" w:type="dxa"/>
            <w:shd w:val="clear" w:color="auto" w:fill="auto"/>
            <w:noWrap/>
            <w:hideMark/>
          </w:tcPr>
          <w:p w14:paraId="3C161BB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3730FBD1"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6D39425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2F4E393A" w14:textId="77777777" w:rsidTr="00C12BD1">
        <w:trPr>
          <w:trHeight w:val="113"/>
        </w:trPr>
        <w:tc>
          <w:tcPr>
            <w:tcW w:w="934" w:type="dxa"/>
            <w:shd w:val="clear" w:color="auto" w:fill="auto"/>
            <w:noWrap/>
            <w:hideMark/>
          </w:tcPr>
          <w:p w14:paraId="0E70AC6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39</w:t>
            </w:r>
          </w:p>
        </w:tc>
        <w:tc>
          <w:tcPr>
            <w:tcW w:w="1051" w:type="dxa"/>
            <w:shd w:val="clear" w:color="auto" w:fill="auto"/>
            <w:noWrap/>
            <w:hideMark/>
          </w:tcPr>
          <w:p w14:paraId="1392FF54"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MYBPC3</w:t>
            </w:r>
          </w:p>
        </w:tc>
        <w:tc>
          <w:tcPr>
            <w:tcW w:w="3330" w:type="dxa"/>
            <w:shd w:val="clear" w:color="auto" w:fill="auto"/>
            <w:noWrap/>
            <w:hideMark/>
          </w:tcPr>
          <w:p w14:paraId="095A026D"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NM_000256.</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2490dup</w:t>
            </w:r>
          </w:p>
        </w:tc>
        <w:tc>
          <w:tcPr>
            <w:tcW w:w="2268" w:type="dxa"/>
            <w:shd w:val="clear" w:color="auto" w:fill="auto"/>
            <w:noWrap/>
            <w:hideMark/>
          </w:tcPr>
          <w:p w14:paraId="5D1BB8F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p.His</w:t>
            </w:r>
            <w:proofErr w:type="gramEnd"/>
            <w:r w:rsidRPr="00D95AC0">
              <w:rPr>
                <w:rFonts w:ascii="Times New Roman" w:eastAsia="Times New Roman" w:hAnsi="Times New Roman" w:cs="Times New Roman"/>
                <w:color w:val="000000"/>
                <w:sz w:val="21"/>
                <w:szCs w:val="21"/>
                <w:lang w:val="en-GB"/>
              </w:rPr>
              <w:t>831SerfsTer2</w:t>
            </w:r>
          </w:p>
        </w:tc>
        <w:tc>
          <w:tcPr>
            <w:tcW w:w="709" w:type="dxa"/>
            <w:shd w:val="clear" w:color="auto" w:fill="auto"/>
            <w:noWrap/>
            <w:hideMark/>
          </w:tcPr>
          <w:p w14:paraId="0B937309"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32B0E68E"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47899799"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0489A36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7FFEF236" w14:textId="77777777" w:rsidTr="00C12BD1">
        <w:trPr>
          <w:trHeight w:val="113"/>
        </w:trPr>
        <w:tc>
          <w:tcPr>
            <w:tcW w:w="934" w:type="dxa"/>
            <w:shd w:val="clear" w:color="auto" w:fill="auto"/>
            <w:noWrap/>
            <w:hideMark/>
          </w:tcPr>
          <w:p w14:paraId="66F6303F"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Pr>
                <w:rFonts w:ascii="Times New Roman" w:eastAsia="Times New Roman" w:hAnsi="Times New Roman" w:cs="Times New Roman"/>
                <w:sz w:val="21"/>
                <w:szCs w:val="21"/>
                <w:lang w:val="en-GB"/>
              </w:rPr>
              <w:t>39</w:t>
            </w:r>
          </w:p>
        </w:tc>
        <w:tc>
          <w:tcPr>
            <w:tcW w:w="1051" w:type="dxa"/>
            <w:shd w:val="clear" w:color="auto" w:fill="auto"/>
            <w:noWrap/>
            <w:hideMark/>
          </w:tcPr>
          <w:p w14:paraId="0DA5DA59"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sz w:val="21"/>
                <w:szCs w:val="21"/>
                <w:lang w:val="en-GB"/>
              </w:rPr>
              <w:t>MYBPC3</w:t>
            </w:r>
          </w:p>
        </w:tc>
        <w:tc>
          <w:tcPr>
            <w:tcW w:w="3330" w:type="dxa"/>
            <w:shd w:val="clear" w:color="auto" w:fill="auto"/>
            <w:noWrap/>
            <w:hideMark/>
          </w:tcPr>
          <w:p w14:paraId="2EB64CAB"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sz w:val="21"/>
                <w:szCs w:val="21"/>
                <w:lang w:val="en-GB"/>
              </w:rPr>
              <w:t>NM_000256.</w:t>
            </w:r>
            <w:proofErr w:type="gramStart"/>
            <w:r w:rsidRPr="00D95AC0">
              <w:rPr>
                <w:rFonts w:ascii="Times New Roman" w:eastAsia="Times New Roman" w:hAnsi="Times New Roman" w:cs="Times New Roman"/>
                <w:sz w:val="21"/>
                <w:szCs w:val="21"/>
                <w:lang w:val="en-GB"/>
              </w:rPr>
              <w:t>3:c.</w:t>
            </w:r>
            <w:proofErr w:type="gramEnd"/>
            <w:r w:rsidRPr="00D95AC0">
              <w:rPr>
                <w:rFonts w:ascii="Times New Roman" w:eastAsia="Times New Roman" w:hAnsi="Times New Roman" w:cs="Times New Roman"/>
                <w:sz w:val="21"/>
                <w:szCs w:val="21"/>
                <w:lang w:val="en-GB"/>
              </w:rPr>
              <w:t>442G&gt;A</w:t>
            </w:r>
          </w:p>
        </w:tc>
        <w:tc>
          <w:tcPr>
            <w:tcW w:w="2268" w:type="dxa"/>
            <w:shd w:val="clear" w:color="auto" w:fill="auto"/>
            <w:noWrap/>
            <w:hideMark/>
          </w:tcPr>
          <w:p w14:paraId="22A808C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sz w:val="21"/>
                <w:szCs w:val="21"/>
                <w:lang w:val="en-GB"/>
              </w:rPr>
              <w:t>p.Gly</w:t>
            </w:r>
            <w:proofErr w:type="gramEnd"/>
            <w:r w:rsidRPr="00D95AC0">
              <w:rPr>
                <w:rFonts w:ascii="Times New Roman" w:eastAsia="Times New Roman" w:hAnsi="Times New Roman" w:cs="Times New Roman"/>
                <w:sz w:val="21"/>
                <w:szCs w:val="21"/>
                <w:lang w:val="en-GB"/>
              </w:rPr>
              <w:t>148Arg</w:t>
            </w:r>
          </w:p>
        </w:tc>
        <w:tc>
          <w:tcPr>
            <w:tcW w:w="709" w:type="dxa"/>
            <w:shd w:val="clear" w:color="auto" w:fill="auto"/>
            <w:noWrap/>
            <w:hideMark/>
          </w:tcPr>
          <w:p w14:paraId="236566C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sz w:val="21"/>
                <w:szCs w:val="21"/>
                <w:lang w:val="en-GB"/>
              </w:rPr>
              <w:t>20</w:t>
            </w:r>
          </w:p>
        </w:tc>
        <w:tc>
          <w:tcPr>
            <w:tcW w:w="990" w:type="dxa"/>
            <w:shd w:val="clear" w:color="auto" w:fill="auto"/>
            <w:noWrap/>
            <w:hideMark/>
          </w:tcPr>
          <w:p w14:paraId="04259C4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31E8B5B8"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sz w:val="21"/>
                <w:szCs w:val="21"/>
                <w:lang w:val="en-GB"/>
              </w:rPr>
              <w:t>DCM</w:t>
            </w:r>
          </w:p>
        </w:tc>
        <w:tc>
          <w:tcPr>
            <w:tcW w:w="3121" w:type="dxa"/>
            <w:shd w:val="clear" w:color="auto" w:fill="auto"/>
            <w:noWrap/>
            <w:hideMark/>
          </w:tcPr>
          <w:p w14:paraId="47902597"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Low penetrance risk factor.</w:t>
            </w:r>
          </w:p>
        </w:tc>
      </w:tr>
      <w:tr w:rsidR="00FA1D9C" w:rsidRPr="00310CC2" w14:paraId="0AF87D54" w14:textId="77777777" w:rsidTr="00C12BD1">
        <w:trPr>
          <w:trHeight w:val="113"/>
        </w:trPr>
        <w:tc>
          <w:tcPr>
            <w:tcW w:w="934" w:type="dxa"/>
            <w:shd w:val="clear" w:color="auto" w:fill="auto"/>
            <w:noWrap/>
            <w:hideMark/>
          </w:tcPr>
          <w:p w14:paraId="729EF215"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0</w:t>
            </w:r>
          </w:p>
        </w:tc>
        <w:tc>
          <w:tcPr>
            <w:tcW w:w="1051" w:type="dxa"/>
            <w:shd w:val="clear" w:color="auto" w:fill="auto"/>
            <w:noWrap/>
            <w:hideMark/>
          </w:tcPr>
          <w:p w14:paraId="56BA0231" w14:textId="77777777" w:rsidR="00FA1D9C" w:rsidRPr="00D95AC0" w:rsidRDefault="00FA1D9C" w:rsidP="006A439B">
            <w:pPr>
              <w:spacing w:after="0" w:line="276" w:lineRule="auto"/>
              <w:rPr>
                <w:rFonts w:ascii="Times New Roman" w:eastAsia="Times New Roman" w:hAnsi="Times New Roman" w:cs="Times New Roman"/>
                <w:i/>
                <w:iCs/>
                <w:sz w:val="21"/>
                <w:szCs w:val="21"/>
                <w:lang w:val="en-GB"/>
              </w:rPr>
            </w:pPr>
            <w:r w:rsidRPr="00D95AC0">
              <w:rPr>
                <w:rFonts w:ascii="Times New Roman" w:eastAsia="Times New Roman" w:hAnsi="Times New Roman" w:cs="Times New Roman"/>
                <w:i/>
                <w:iCs/>
                <w:color w:val="000000"/>
                <w:sz w:val="21"/>
                <w:szCs w:val="21"/>
                <w:lang w:val="en-GB"/>
              </w:rPr>
              <w:t>LMNA</w:t>
            </w:r>
          </w:p>
        </w:tc>
        <w:tc>
          <w:tcPr>
            <w:tcW w:w="3330" w:type="dxa"/>
            <w:shd w:val="clear" w:color="auto" w:fill="auto"/>
            <w:noWrap/>
            <w:hideMark/>
          </w:tcPr>
          <w:p w14:paraId="38F307AA"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color w:val="000000"/>
                <w:sz w:val="21"/>
                <w:szCs w:val="21"/>
                <w:lang w:val="en-GB"/>
              </w:rPr>
              <w:t>NM_170707.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1304_1307dup</w:t>
            </w:r>
          </w:p>
        </w:tc>
        <w:tc>
          <w:tcPr>
            <w:tcW w:w="2268" w:type="dxa"/>
            <w:shd w:val="clear" w:color="auto" w:fill="auto"/>
            <w:noWrap/>
            <w:hideMark/>
          </w:tcPr>
          <w:p w14:paraId="5E79D3E1"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roofErr w:type="gramStart"/>
            <w:r w:rsidRPr="00D95AC0">
              <w:rPr>
                <w:rFonts w:ascii="Times New Roman" w:eastAsia="Times New Roman" w:hAnsi="Times New Roman" w:cs="Times New Roman"/>
                <w:color w:val="000000"/>
                <w:sz w:val="21"/>
                <w:szCs w:val="21"/>
                <w:lang w:val="en-GB"/>
              </w:rPr>
              <w:t>p.Ser</w:t>
            </w:r>
            <w:proofErr w:type="gramEnd"/>
            <w:r w:rsidRPr="00D95AC0">
              <w:rPr>
                <w:rFonts w:ascii="Times New Roman" w:eastAsia="Times New Roman" w:hAnsi="Times New Roman" w:cs="Times New Roman"/>
                <w:color w:val="000000"/>
                <w:sz w:val="21"/>
                <w:szCs w:val="21"/>
                <w:lang w:val="en-GB"/>
              </w:rPr>
              <w:t>437HisfsTer2</w:t>
            </w:r>
          </w:p>
        </w:tc>
        <w:tc>
          <w:tcPr>
            <w:tcW w:w="709" w:type="dxa"/>
            <w:shd w:val="clear" w:color="auto" w:fill="auto"/>
            <w:noWrap/>
            <w:hideMark/>
          </w:tcPr>
          <w:p w14:paraId="02C257C0"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auto"/>
            <w:noWrap/>
            <w:hideMark/>
          </w:tcPr>
          <w:p w14:paraId="74AD21A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30F04F9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0E2A61D9"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35DE89CE" w14:textId="77777777" w:rsidTr="00C12BD1">
        <w:trPr>
          <w:trHeight w:val="113"/>
        </w:trPr>
        <w:tc>
          <w:tcPr>
            <w:tcW w:w="934" w:type="dxa"/>
            <w:shd w:val="clear" w:color="auto" w:fill="auto"/>
            <w:noWrap/>
            <w:hideMark/>
          </w:tcPr>
          <w:p w14:paraId="79ECBB8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1</w:t>
            </w:r>
          </w:p>
        </w:tc>
        <w:tc>
          <w:tcPr>
            <w:tcW w:w="1051" w:type="dxa"/>
            <w:shd w:val="clear" w:color="auto" w:fill="auto"/>
            <w:noWrap/>
            <w:hideMark/>
          </w:tcPr>
          <w:p w14:paraId="09E33D35"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KCNQ1</w:t>
            </w:r>
          </w:p>
        </w:tc>
        <w:tc>
          <w:tcPr>
            <w:tcW w:w="3330" w:type="dxa"/>
            <w:shd w:val="clear" w:color="auto" w:fill="auto"/>
            <w:noWrap/>
            <w:hideMark/>
          </w:tcPr>
          <w:p w14:paraId="6DAFC3D6"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NM_000218.</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1588C&gt;T</w:t>
            </w:r>
          </w:p>
        </w:tc>
        <w:tc>
          <w:tcPr>
            <w:tcW w:w="2268" w:type="dxa"/>
            <w:shd w:val="clear" w:color="auto" w:fill="auto"/>
            <w:noWrap/>
            <w:hideMark/>
          </w:tcPr>
          <w:p w14:paraId="0AF8E1AE"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p.Gln</w:t>
            </w:r>
            <w:proofErr w:type="gramEnd"/>
            <w:r w:rsidRPr="00D95AC0">
              <w:rPr>
                <w:rFonts w:ascii="Times New Roman" w:eastAsia="Times New Roman" w:hAnsi="Times New Roman" w:cs="Times New Roman"/>
                <w:color w:val="000000"/>
                <w:sz w:val="21"/>
                <w:szCs w:val="21"/>
                <w:lang w:val="en-GB"/>
              </w:rPr>
              <w:t>530Ter</w:t>
            </w:r>
          </w:p>
        </w:tc>
        <w:tc>
          <w:tcPr>
            <w:tcW w:w="709" w:type="dxa"/>
            <w:shd w:val="clear" w:color="auto" w:fill="auto"/>
            <w:noWrap/>
            <w:hideMark/>
          </w:tcPr>
          <w:p w14:paraId="08F68A49"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33</w:t>
            </w:r>
          </w:p>
        </w:tc>
        <w:tc>
          <w:tcPr>
            <w:tcW w:w="990" w:type="dxa"/>
            <w:shd w:val="clear" w:color="auto" w:fill="auto"/>
            <w:noWrap/>
            <w:hideMark/>
          </w:tcPr>
          <w:p w14:paraId="7523BD3A"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771F487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Myocarditis</w:t>
            </w:r>
          </w:p>
        </w:tc>
        <w:tc>
          <w:tcPr>
            <w:tcW w:w="3121" w:type="dxa"/>
            <w:shd w:val="clear" w:color="auto" w:fill="auto"/>
            <w:noWrap/>
            <w:hideMark/>
          </w:tcPr>
          <w:p w14:paraId="062ADFF6"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Interpreted as secondary finding.</w:t>
            </w:r>
          </w:p>
        </w:tc>
      </w:tr>
      <w:tr w:rsidR="00FA1D9C" w:rsidRPr="00310CC2" w14:paraId="32CFBD71" w14:textId="77777777" w:rsidTr="00C12BD1">
        <w:trPr>
          <w:trHeight w:val="113"/>
        </w:trPr>
        <w:tc>
          <w:tcPr>
            <w:tcW w:w="934" w:type="dxa"/>
            <w:shd w:val="clear" w:color="auto" w:fill="auto"/>
            <w:noWrap/>
            <w:hideMark/>
          </w:tcPr>
          <w:p w14:paraId="35596879"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2</w:t>
            </w:r>
          </w:p>
        </w:tc>
        <w:tc>
          <w:tcPr>
            <w:tcW w:w="1051" w:type="dxa"/>
            <w:shd w:val="clear" w:color="auto" w:fill="auto"/>
            <w:noWrap/>
            <w:hideMark/>
          </w:tcPr>
          <w:p w14:paraId="4209AC1E"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ACTC1</w:t>
            </w:r>
          </w:p>
        </w:tc>
        <w:tc>
          <w:tcPr>
            <w:tcW w:w="3330" w:type="dxa"/>
            <w:shd w:val="clear" w:color="auto" w:fill="auto"/>
            <w:noWrap/>
            <w:hideMark/>
          </w:tcPr>
          <w:p w14:paraId="081CE3A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NM_005159.</w:t>
            </w:r>
            <w:proofErr w:type="gramStart"/>
            <w:r w:rsidRPr="00D95AC0">
              <w:rPr>
                <w:rFonts w:ascii="Times New Roman" w:eastAsia="Times New Roman" w:hAnsi="Times New Roman" w:cs="Times New Roman"/>
                <w:color w:val="000000"/>
                <w:sz w:val="21"/>
                <w:szCs w:val="21"/>
                <w:lang w:val="en-GB"/>
              </w:rPr>
              <w:t>5:c.</w:t>
            </w:r>
            <w:proofErr w:type="gramEnd"/>
            <w:r w:rsidRPr="00D95AC0">
              <w:rPr>
                <w:rFonts w:ascii="Times New Roman" w:eastAsia="Times New Roman" w:hAnsi="Times New Roman" w:cs="Times New Roman"/>
                <w:color w:val="000000"/>
                <w:sz w:val="21"/>
                <w:szCs w:val="21"/>
                <w:lang w:val="en-GB"/>
              </w:rPr>
              <w:t>1132T&gt;C</w:t>
            </w:r>
          </w:p>
        </w:tc>
        <w:tc>
          <w:tcPr>
            <w:tcW w:w="2268" w:type="dxa"/>
            <w:shd w:val="clear" w:color="auto" w:fill="auto"/>
            <w:noWrap/>
            <w:hideMark/>
          </w:tcPr>
          <w:p w14:paraId="57562E98"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p.Ter</w:t>
            </w:r>
            <w:proofErr w:type="gramEnd"/>
            <w:r w:rsidRPr="00D95AC0">
              <w:rPr>
                <w:rFonts w:ascii="Times New Roman" w:eastAsia="Times New Roman" w:hAnsi="Times New Roman" w:cs="Times New Roman"/>
                <w:color w:val="000000"/>
                <w:sz w:val="21"/>
                <w:szCs w:val="21"/>
                <w:lang w:val="en-GB"/>
              </w:rPr>
              <w:t>378GlnextTer46</w:t>
            </w:r>
          </w:p>
        </w:tc>
        <w:tc>
          <w:tcPr>
            <w:tcW w:w="709" w:type="dxa"/>
            <w:shd w:val="clear" w:color="auto" w:fill="auto"/>
            <w:noWrap/>
            <w:hideMark/>
          </w:tcPr>
          <w:p w14:paraId="20466E8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20</w:t>
            </w:r>
          </w:p>
        </w:tc>
        <w:tc>
          <w:tcPr>
            <w:tcW w:w="990" w:type="dxa"/>
            <w:shd w:val="clear" w:color="auto" w:fill="auto"/>
            <w:noWrap/>
            <w:hideMark/>
          </w:tcPr>
          <w:p w14:paraId="490A63A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2E9D726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693BB65B"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5039783D" w14:textId="77777777" w:rsidTr="00C12BD1">
        <w:trPr>
          <w:trHeight w:val="113"/>
        </w:trPr>
        <w:tc>
          <w:tcPr>
            <w:tcW w:w="934" w:type="dxa"/>
            <w:shd w:val="clear" w:color="auto" w:fill="auto"/>
            <w:noWrap/>
            <w:hideMark/>
          </w:tcPr>
          <w:p w14:paraId="66A35F9B"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3</w:t>
            </w:r>
          </w:p>
        </w:tc>
        <w:tc>
          <w:tcPr>
            <w:tcW w:w="1051" w:type="dxa"/>
            <w:shd w:val="clear" w:color="auto" w:fill="auto"/>
            <w:noWrap/>
            <w:hideMark/>
          </w:tcPr>
          <w:p w14:paraId="2497A90F"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MYLK3</w:t>
            </w:r>
          </w:p>
        </w:tc>
        <w:tc>
          <w:tcPr>
            <w:tcW w:w="3330" w:type="dxa"/>
            <w:shd w:val="clear" w:color="auto" w:fill="auto"/>
            <w:noWrap/>
            <w:hideMark/>
          </w:tcPr>
          <w:p w14:paraId="693D5F91"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NM_182493.</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1569-2A&gt;C</w:t>
            </w:r>
          </w:p>
        </w:tc>
        <w:tc>
          <w:tcPr>
            <w:tcW w:w="2268" w:type="dxa"/>
            <w:shd w:val="clear" w:color="auto" w:fill="auto"/>
            <w:noWrap/>
            <w:hideMark/>
          </w:tcPr>
          <w:p w14:paraId="72882393"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
        </w:tc>
        <w:tc>
          <w:tcPr>
            <w:tcW w:w="709" w:type="dxa"/>
            <w:shd w:val="clear" w:color="auto" w:fill="auto"/>
            <w:noWrap/>
            <w:hideMark/>
          </w:tcPr>
          <w:p w14:paraId="6BC9BFCD"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27</w:t>
            </w:r>
          </w:p>
        </w:tc>
        <w:tc>
          <w:tcPr>
            <w:tcW w:w="990" w:type="dxa"/>
            <w:shd w:val="clear" w:color="auto" w:fill="auto"/>
            <w:noWrap/>
            <w:hideMark/>
          </w:tcPr>
          <w:p w14:paraId="35D00FFD"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auto"/>
            <w:noWrap/>
            <w:hideMark/>
          </w:tcPr>
          <w:p w14:paraId="0A0221C6"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0ED659A3"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Predicted to disrupt splicing.</w:t>
            </w:r>
          </w:p>
        </w:tc>
      </w:tr>
      <w:tr w:rsidR="00FA1D9C" w:rsidRPr="00310CC2" w14:paraId="779A0C43" w14:textId="77777777" w:rsidTr="00C12BD1">
        <w:trPr>
          <w:trHeight w:val="113"/>
        </w:trPr>
        <w:tc>
          <w:tcPr>
            <w:tcW w:w="934" w:type="dxa"/>
            <w:shd w:val="clear" w:color="auto" w:fill="auto"/>
            <w:noWrap/>
            <w:hideMark/>
          </w:tcPr>
          <w:p w14:paraId="47C6949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4</w:t>
            </w:r>
          </w:p>
        </w:tc>
        <w:tc>
          <w:tcPr>
            <w:tcW w:w="1051" w:type="dxa"/>
            <w:shd w:val="clear" w:color="auto" w:fill="auto"/>
            <w:noWrap/>
            <w:hideMark/>
          </w:tcPr>
          <w:p w14:paraId="283EB221"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DMD</w:t>
            </w:r>
          </w:p>
        </w:tc>
        <w:tc>
          <w:tcPr>
            <w:tcW w:w="3330" w:type="dxa"/>
            <w:shd w:val="clear" w:color="auto" w:fill="auto"/>
            <w:noWrap/>
            <w:hideMark/>
          </w:tcPr>
          <w:p w14:paraId="084476F4"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NM_004006.</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5632C&gt;T</w:t>
            </w:r>
          </w:p>
        </w:tc>
        <w:tc>
          <w:tcPr>
            <w:tcW w:w="2268" w:type="dxa"/>
            <w:shd w:val="clear" w:color="auto" w:fill="auto"/>
            <w:noWrap/>
            <w:hideMark/>
          </w:tcPr>
          <w:p w14:paraId="459435B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p.Gln</w:t>
            </w:r>
            <w:proofErr w:type="gramEnd"/>
            <w:r w:rsidRPr="00D95AC0">
              <w:rPr>
                <w:rFonts w:ascii="Times New Roman" w:eastAsia="Times New Roman" w:hAnsi="Times New Roman" w:cs="Times New Roman"/>
                <w:color w:val="000000"/>
                <w:sz w:val="21"/>
                <w:szCs w:val="21"/>
                <w:lang w:val="en-GB"/>
              </w:rPr>
              <w:t>1878Ter</w:t>
            </w:r>
          </w:p>
        </w:tc>
        <w:tc>
          <w:tcPr>
            <w:tcW w:w="709" w:type="dxa"/>
            <w:shd w:val="clear" w:color="auto" w:fill="auto"/>
            <w:noWrap/>
            <w:hideMark/>
          </w:tcPr>
          <w:p w14:paraId="61DEC8A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30</w:t>
            </w:r>
          </w:p>
        </w:tc>
        <w:tc>
          <w:tcPr>
            <w:tcW w:w="990" w:type="dxa"/>
            <w:shd w:val="clear" w:color="auto" w:fill="auto"/>
            <w:noWrap/>
            <w:hideMark/>
          </w:tcPr>
          <w:p w14:paraId="3AC5DBC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538D6B4F"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auto"/>
            <w:noWrap/>
            <w:hideMark/>
          </w:tcPr>
          <w:p w14:paraId="735AA5DD"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Hemizygous.</w:t>
            </w:r>
          </w:p>
        </w:tc>
      </w:tr>
      <w:tr w:rsidR="00FA1D9C" w:rsidRPr="00310CC2" w14:paraId="39E6D466" w14:textId="77777777" w:rsidTr="00C12BD1">
        <w:trPr>
          <w:trHeight w:val="113"/>
        </w:trPr>
        <w:tc>
          <w:tcPr>
            <w:tcW w:w="934" w:type="dxa"/>
            <w:shd w:val="clear" w:color="auto" w:fill="auto"/>
            <w:noWrap/>
            <w:hideMark/>
          </w:tcPr>
          <w:p w14:paraId="6BD565A4"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5</w:t>
            </w:r>
          </w:p>
        </w:tc>
        <w:tc>
          <w:tcPr>
            <w:tcW w:w="1051" w:type="dxa"/>
            <w:shd w:val="clear" w:color="auto" w:fill="auto"/>
            <w:noWrap/>
            <w:hideMark/>
          </w:tcPr>
          <w:p w14:paraId="74A935CB"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KCNQ1</w:t>
            </w:r>
          </w:p>
        </w:tc>
        <w:tc>
          <w:tcPr>
            <w:tcW w:w="3330" w:type="dxa"/>
            <w:shd w:val="clear" w:color="auto" w:fill="auto"/>
            <w:noWrap/>
            <w:hideMark/>
          </w:tcPr>
          <w:p w14:paraId="1A81984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NM_000218.</w:t>
            </w:r>
            <w:proofErr w:type="gramStart"/>
            <w:r w:rsidRPr="00D95AC0">
              <w:rPr>
                <w:rFonts w:ascii="Times New Roman" w:eastAsia="Times New Roman" w:hAnsi="Times New Roman" w:cs="Times New Roman"/>
                <w:color w:val="000000"/>
                <w:sz w:val="21"/>
                <w:szCs w:val="21"/>
                <w:lang w:val="en-GB"/>
              </w:rPr>
              <w:t>3:c.</w:t>
            </w:r>
            <w:proofErr w:type="gramEnd"/>
            <w:r w:rsidRPr="00D95AC0">
              <w:rPr>
                <w:rFonts w:ascii="Times New Roman" w:eastAsia="Times New Roman" w:hAnsi="Times New Roman" w:cs="Times New Roman"/>
                <w:color w:val="000000"/>
                <w:sz w:val="21"/>
                <w:szCs w:val="21"/>
                <w:lang w:val="en-GB"/>
              </w:rPr>
              <w:t>1552C&gt;T</w:t>
            </w:r>
          </w:p>
        </w:tc>
        <w:tc>
          <w:tcPr>
            <w:tcW w:w="2268" w:type="dxa"/>
            <w:shd w:val="clear" w:color="auto" w:fill="auto"/>
            <w:noWrap/>
            <w:hideMark/>
          </w:tcPr>
          <w:p w14:paraId="78BB5BB7"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518Ter</w:t>
            </w:r>
          </w:p>
        </w:tc>
        <w:tc>
          <w:tcPr>
            <w:tcW w:w="709" w:type="dxa"/>
            <w:shd w:val="clear" w:color="auto" w:fill="auto"/>
            <w:noWrap/>
            <w:hideMark/>
          </w:tcPr>
          <w:p w14:paraId="46BA74B7"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24</w:t>
            </w:r>
          </w:p>
        </w:tc>
        <w:tc>
          <w:tcPr>
            <w:tcW w:w="990" w:type="dxa"/>
            <w:shd w:val="clear" w:color="auto" w:fill="auto"/>
            <w:noWrap/>
            <w:hideMark/>
          </w:tcPr>
          <w:p w14:paraId="7A1C666C"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(P)</w:t>
            </w:r>
          </w:p>
        </w:tc>
        <w:tc>
          <w:tcPr>
            <w:tcW w:w="1276" w:type="dxa"/>
            <w:shd w:val="clear" w:color="auto" w:fill="auto"/>
            <w:noWrap/>
            <w:hideMark/>
          </w:tcPr>
          <w:p w14:paraId="2E922430"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37830F18"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Interpreted as secondary finding.</w:t>
            </w:r>
          </w:p>
        </w:tc>
      </w:tr>
      <w:tr w:rsidR="00FA1D9C" w:rsidRPr="00310CC2" w14:paraId="57F06AA1" w14:textId="77777777" w:rsidTr="00C12BD1">
        <w:trPr>
          <w:trHeight w:val="113"/>
        </w:trPr>
        <w:tc>
          <w:tcPr>
            <w:tcW w:w="934" w:type="dxa"/>
            <w:shd w:val="clear" w:color="auto" w:fill="auto"/>
            <w:noWrap/>
            <w:hideMark/>
          </w:tcPr>
          <w:p w14:paraId="676F2E3C"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4</w:t>
            </w:r>
            <w:r>
              <w:rPr>
                <w:rFonts w:ascii="Times New Roman" w:eastAsia="Times New Roman" w:hAnsi="Times New Roman" w:cs="Times New Roman"/>
                <w:sz w:val="21"/>
                <w:szCs w:val="21"/>
                <w:lang w:val="en-GB"/>
              </w:rPr>
              <w:t>5</w:t>
            </w:r>
          </w:p>
        </w:tc>
        <w:tc>
          <w:tcPr>
            <w:tcW w:w="1051" w:type="dxa"/>
            <w:shd w:val="clear" w:color="auto" w:fill="auto"/>
            <w:noWrap/>
            <w:hideMark/>
          </w:tcPr>
          <w:p w14:paraId="2F4DA431"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MYH7</w:t>
            </w:r>
          </w:p>
        </w:tc>
        <w:tc>
          <w:tcPr>
            <w:tcW w:w="3330" w:type="dxa"/>
            <w:shd w:val="clear" w:color="auto" w:fill="auto"/>
            <w:noWrap/>
            <w:hideMark/>
          </w:tcPr>
          <w:p w14:paraId="50A0B0F5"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NM_000257.</w:t>
            </w:r>
            <w:proofErr w:type="gramStart"/>
            <w:r w:rsidRPr="00D95AC0">
              <w:rPr>
                <w:rFonts w:ascii="Times New Roman" w:eastAsia="Times New Roman" w:hAnsi="Times New Roman" w:cs="Times New Roman"/>
                <w:color w:val="000000"/>
                <w:sz w:val="21"/>
                <w:szCs w:val="21"/>
                <w:lang w:val="en-GB"/>
              </w:rPr>
              <w:t>4:c.</w:t>
            </w:r>
            <w:proofErr w:type="gramEnd"/>
            <w:r w:rsidRPr="00D95AC0">
              <w:rPr>
                <w:rFonts w:ascii="Times New Roman" w:eastAsia="Times New Roman" w:hAnsi="Times New Roman" w:cs="Times New Roman"/>
                <w:color w:val="000000"/>
                <w:sz w:val="21"/>
                <w:szCs w:val="21"/>
                <w:lang w:val="en-GB"/>
              </w:rPr>
              <w:t>3301G&gt;A</w:t>
            </w:r>
          </w:p>
        </w:tc>
        <w:tc>
          <w:tcPr>
            <w:tcW w:w="2268" w:type="dxa"/>
            <w:shd w:val="clear" w:color="auto" w:fill="auto"/>
            <w:noWrap/>
            <w:hideMark/>
          </w:tcPr>
          <w:p w14:paraId="3FB199F2"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p.Gly</w:t>
            </w:r>
            <w:proofErr w:type="gramEnd"/>
            <w:r w:rsidRPr="00D95AC0">
              <w:rPr>
                <w:rFonts w:ascii="Times New Roman" w:eastAsia="Times New Roman" w:hAnsi="Times New Roman" w:cs="Times New Roman"/>
                <w:color w:val="000000"/>
                <w:sz w:val="21"/>
                <w:szCs w:val="21"/>
                <w:lang w:val="en-GB"/>
              </w:rPr>
              <w:t>1101Ser</w:t>
            </w:r>
          </w:p>
        </w:tc>
        <w:tc>
          <w:tcPr>
            <w:tcW w:w="709" w:type="dxa"/>
            <w:shd w:val="clear" w:color="auto" w:fill="auto"/>
            <w:noWrap/>
            <w:hideMark/>
          </w:tcPr>
          <w:p w14:paraId="1B6BA4D2"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18</w:t>
            </w:r>
          </w:p>
        </w:tc>
        <w:tc>
          <w:tcPr>
            <w:tcW w:w="990" w:type="dxa"/>
            <w:shd w:val="clear" w:color="auto" w:fill="auto"/>
            <w:noWrap/>
            <w:hideMark/>
          </w:tcPr>
          <w:p w14:paraId="0B9EBFD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VUS</w:t>
            </w:r>
          </w:p>
        </w:tc>
        <w:tc>
          <w:tcPr>
            <w:tcW w:w="1276" w:type="dxa"/>
            <w:shd w:val="clear" w:color="auto" w:fill="auto"/>
            <w:noWrap/>
            <w:hideMark/>
          </w:tcPr>
          <w:p w14:paraId="643273BE"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HCM</w:t>
            </w:r>
          </w:p>
        </w:tc>
        <w:tc>
          <w:tcPr>
            <w:tcW w:w="3121" w:type="dxa"/>
            <w:shd w:val="clear" w:color="auto" w:fill="auto"/>
            <w:noWrap/>
            <w:hideMark/>
          </w:tcPr>
          <w:p w14:paraId="7E8F3BA7"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p>
        </w:tc>
      </w:tr>
      <w:tr w:rsidR="00FA1D9C" w:rsidRPr="00310CC2" w14:paraId="18EC6134" w14:textId="77777777" w:rsidTr="00C12BD1">
        <w:trPr>
          <w:trHeight w:val="113"/>
        </w:trPr>
        <w:tc>
          <w:tcPr>
            <w:tcW w:w="934" w:type="dxa"/>
            <w:shd w:val="clear" w:color="auto" w:fill="FFFFFF" w:themeFill="background1"/>
            <w:noWrap/>
            <w:hideMark/>
          </w:tcPr>
          <w:p w14:paraId="3D379128"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lastRenderedPageBreak/>
              <w:t>4</w:t>
            </w:r>
            <w:r>
              <w:rPr>
                <w:rFonts w:ascii="Times New Roman" w:eastAsia="Times New Roman" w:hAnsi="Times New Roman" w:cs="Times New Roman"/>
                <w:sz w:val="21"/>
                <w:szCs w:val="21"/>
                <w:lang w:val="en-GB"/>
              </w:rPr>
              <w:t>6</w:t>
            </w:r>
          </w:p>
        </w:tc>
        <w:tc>
          <w:tcPr>
            <w:tcW w:w="1051" w:type="dxa"/>
            <w:shd w:val="clear" w:color="auto" w:fill="FFFFFF" w:themeFill="background1"/>
            <w:noWrap/>
            <w:hideMark/>
          </w:tcPr>
          <w:p w14:paraId="17C8903D" w14:textId="77777777" w:rsidR="00FA1D9C" w:rsidRPr="00D95AC0" w:rsidRDefault="00FA1D9C" w:rsidP="006A439B">
            <w:pPr>
              <w:spacing w:after="0" w:line="276" w:lineRule="auto"/>
              <w:rPr>
                <w:rFonts w:ascii="Times New Roman" w:eastAsia="Times New Roman" w:hAnsi="Times New Roman" w:cs="Times New Roman"/>
                <w:i/>
                <w:iCs/>
                <w:color w:val="000000"/>
                <w:sz w:val="21"/>
                <w:szCs w:val="21"/>
                <w:lang w:val="en-GB"/>
              </w:rPr>
            </w:pPr>
            <w:r w:rsidRPr="00D95AC0">
              <w:rPr>
                <w:rFonts w:ascii="Times New Roman" w:eastAsia="Times New Roman" w:hAnsi="Times New Roman" w:cs="Times New Roman"/>
                <w:i/>
                <w:iCs/>
                <w:color w:val="000000"/>
                <w:sz w:val="21"/>
                <w:szCs w:val="21"/>
                <w:lang w:val="en-GB"/>
              </w:rPr>
              <w:t>TTN</w:t>
            </w:r>
          </w:p>
        </w:tc>
        <w:tc>
          <w:tcPr>
            <w:tcW w:w="3330" w:type="dxa"/>
            <w:shd w:val="clear" w:color="auto" w:fill="FFFFFF" w:themeFill="background1"/>
            <w:noWrap/>
            <w:hideMark/>
          </w:tcPr>
          <w:p w14:paraId="04522C6F"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NM_001267550.</w:t>
            </w:r>
            <w:proofErr w:type="gramStart"/>
            <w:r w:rsidRPr="00D95AC0">
              <w:rPr>
                <w:rFonts w:ascii="Times New Roman" w:eastAsia="Times New Roman" w:hAnsi="Times New Roman" w:cs="Times New Roman"/>
                <w:color w:val="000000"/>
                <w:sz w:val="21"/>
                <w:szCs w:val="21"/>
                <w:lang w:val="en-GB"/>
              </w:rPr>
              <w:t>2:c.</w:t>
            </w:r>
            <w:proofErr w:type="gramEnd"/>
            <w:r w:rsidRPr="00D95AC0">
              <w:rPr>
                <w:rFonts w:ascii="Times New Roman" w:eastAsia="Times New Roman" w:hAnsi="Times New Roman" w:cs="Times New Roman"/>
                <w:color w:val="000000"/>
                <w:sz w:val="21"/>
                <w:szCs w:val="21"/>
                <w:lang w:val="en-GB"/>
              </w:rPr>
              <w:t>85150C&gt;T</w:t>
            </w:r>
          </w:p>
        </w:tc>
        <w:tc>
          <w:tcPr>
            <w:tcW w:w="2268" w:type="dxa"/>
            <w:shd w:val="clear" w:color="auto" w:fill="FFFFFF" w:themeFill="background1"/>
            <w:noWrap/>
            <w:hideMark/>
          </w:tcPr>
          <w:p w14:paraId="5F7F619C" w14:textId="77777777" w:rsidR="00FA1D9C" w:rsidRPr="00D95AC0" w:rsidRDefault="00FA1D9C" w:rsidP="006A439B">
            <w:pPr>
              <w:spacing w:after="0" w:line="276" w:lineRule="auto"/>
              <w:rPr>
                <w:rFonts w:ascii="Times New Roman" w:eastAsia="Times New Roman" w:hAnsi="Times New Roman" w:cs="Times New Roman"/>
                <w:color w:val="000000"/>
                <w:sz w:val="21"/>
                <w:szCs w:val="21"/>
                <w:lang w:val="en-GB"/>
              </w:rPr>
            </w:pPr>
            <w:proofErr w:type="gramStart"/>
            <w:r w:rsidRPr="00D95AC0">
              <w:rPr>
                <w:rFonts w:ascii="Times New Roman" w:eastAsia="Times New Roman" w:hAnsi="Times New Roman" w:cs="Times New Roman"/>
                <w:color w:val="000000"/>
                <w:sz w:val="21"/>
                <w:szCs w:val="21"/>
                <w:lang w:val="en-GB"/>
              </w:rPr>
              <w:t>p.Arg</w:t>
            </w:r>
            <w:proofErr w:type="gramEnd"/>
            <w:r w:rsidRPr="00D95AC0">
              <w:rPr>
                <w:rFonts w:ascii="Times New Roman" w:eastAsia="Times New Roman" w:hAnsi="Times New Roman" w:cs="Times New Roman"/>
                <w:color w:val="000000"/>
                <w:sz w:val="21"/>
                <w:szCs w:val="21"/>
                <w:lang w:val="en-GB"/>
              </w:rPr>
              <w:t>28384Ter</w:t>
            </w:r>
          </w:p>
        </w:tc>
        <w:tc>
          <w:tcPr>
            <w:tcW w:w="709" w:type="dxa"/>
            <w:shd w:val="clear" w:color="auto" w:fill="FFFFFF" w:themeFill="background1"/>
            <w:noWrap/>
            <w:hideMark/>
          </w:tcPr>
          <w:p w14:paraId="34D07BDC"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29</w:t>
            </w:r>
          </w:p>
        </w:tc>
        <w:tc>
          <w:tcPr>
            <w:tcW w:w="990" w:type="dxa"/>
            <w:shd w:val="clear" w:color="auto" w:fill="FFFFFF" w:themeFill="background1"/>
            <w:noWrap/>
            <w:hideMark/>
          </w:tcPr>
          <w:p w14:paraId="3D2C66C3" w14:textId="77777777" w:rsidR="00FA1D9C" w:rsidRPr="00D95AC0" w:rsidRDefault="00FA1D9C" w:rsidP="006A439B">
            <w:pPr>
              <w:spacing w:after="0" w:line="276" w:lineRule="auto"/>
              <w:jc w:val="center"/>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LP</w:t>
            </w:r>
          </w:p>
        </w:tc>
        <w:tc>
          <w:tcPr>
            <w:tcW w:w="1276" w:type="dxa"/>
            <w:shd w:val="clear" w:color="auto" w:fill="FFFFFF" w:themeFill="background1"/>
            <w:noWrap/>
            <w:hideMark/>
          </w:tcPr>
          <w:p w14:paraId="6B6F1763" w14:textId="77777777" w:rsidR="00FA1D9C" w:rsidRPr="00D95AC0" w:rsidRDefault="00FA1D9C" w:rsidP="006A439B">
            <w:pPr>
              <w:spacing w:after="0" w:line="276" w:lineRule="auto"/>
              <w:jc w:val="center"/>
              <w:rPr>
                <w:rFonts w:ascii="Times New Roman" w:eastAsia="Times New Roman" w:hAnsi="Times New Roman" w:cs="Times New Roman"/>
                <w:color w:val="000000"/>
                <w:sz w:val="21"/>
                <w:szCs w:val="21"/>
                <w:lang w:val="en-GB"/>
              </w:rPr>
            </w:pPr>
            <w:r w:rsidRPr="00D95AC0">
              <w:rPr>
                <w:rFonts w:ascii="Times New Roman" w:eastAsia="Times New Roman" w:hAnsi="Times New Roman" w:cs="Times New Roman"/>
                <w:color w:val="000000"/>
                <w:sz w:val="21"/>
                <w:szCs w:val="21"/>
                <w:lang w:val="en-GB"/>
              </w:rPr>
              <w:t>DCM</w:t>
            </w:r>
          </w:p>
        </w:tc>
        <w:tc>
          <w:tcPr>
            <w:tcW w:w="3121" w:type="dxa"/>
            <w:shd w:val="clear" w:color="auto" w:fill="FFFFFF" w:themeFill="background1"/>
            <w:noWrap/>
            <w:hideMark/>
          </w:tcPr>
          <w:p w14:paraId="1FE114EC" w14:textId="77777777" w:rsidR="00FA1D9C" w:rsidRPr="00D95AC0" w:rsidRDefault="00FA1D9C" w:rsidP="006A439B">
            <w:pPr>
              <w:spacing w:after="0" w:line="276" w:lineRule="auto"/>
              <w:rPr>
                <w:rFonts w:ascii="Times New Roman" w:eastAsia="Times New Roman" w:hAnsi="Times New Roman" w:cs="Times New Roman"/>
                <w:sz w:val="21"/>
                <w:szCs w:val="21"/>
                <w:lang w:val="en-GB"/>
              </w:rPr>
            </w:pPr>
            <w:r w:rsidRPr="00D95AC0">
              <w:rPr>
                <w:rFonts w:ascii="Times New Roman" w:eastAsia="Times New Roman" w:hAnsi="Times New Roman" w:cs="Times New Roman"/>
                <w:sz w:val="21"/>
                <w:szCs w:val="21"/>
                <w:lang w:val="en-GB"/>
              </w:rPr>
              <w:t>A-band, exon 327 (LRG), PSI 100%</w:t>
            </w:r>
          </w:p>
        </w:tc>
      </w:tr>
    </w:tbl>
    <w:p w14:paraId="3F59B599" w14:textId="77777777" w:rsidR="00FA1D9C" w:rsidRPr="00D95AC0" w:rsidRDefault="00FA1D9C" w:rsidP="006A439B">
      <w:pPr>
        <w:spacing w:after="0" w:line="276" w:lineRule="auto"/>
        <w:rPr>
          <w:rFonts w:ascii="Times New Roman" w:eastAsia="Times New Roman" w:hAnsi="Times New Roman" w:cs="Times New Roman"/>
          <w:sz w:val="22"/>
          <w:lang w:val="en-GB"/>
        </w:rPr>
      </w:pPr>
      <w:r w:rsidRPr="00D95AC0">
        <w:rPr>
          <w:rFonts w:ascii="Times New Roman" w:eastAsia="Times New Roman" w:hAnsi="Times New Roman" w:cs="Times New Roman"/>
          <w:sz w:val="22"/>
          <w:lang w:val="en-GB"/>
        </w:rPr>
        <w:t xml:space="preserve">All variants were heterozygous unless otherwise stated. </w:t>
      </w:r>
    </w:p>
    <w:p w14:paraId="6F9880C7" w14:textId="77777777" w:rsidR="00FA1D9C" w:rsidRPr="00D95AC0" w:rsidRDefault="00FA1D9C" w:rsidP="006A439B">
      <w:pPr>
        <w:spacing w:line="276" w:lineRule="auto"/>
        <w:rPr>
          <w:rFonts w:ascii="Times New Roman" w:hAnsi="Times New Roman" w:cs="Times New Roman"/>
          <w:lang w:val="en-GB"/>
        </w:rPr>
      </w:pPr>
      <w:r w:rsidRPr="00D95AC0">
        <w:rPr>
          <w:rFonts w:ascii="Times New Roman" w:eastAsia="Times New Roman" w:hAnsi="Times New Roman" w:cs="Times New Roman"/>
          <w:sz w:val="22"/>
          <w:lang w:val="en-GB"/>
        </w:rPr>
        <w:t xml:space="preserve">Abbreviations: </w:t>
      </w:r>
      <w:proofErr w:type="spellStart"/>
      <w:r w:rsidRPr="00D95AC0">
        <w:rPr>
          <w:rFonts w:ascii="Times New Roman" w:eastAsia="Times New Roman" w:hAnsi="Times New Roman" w:cs="Times New Roman"/>
          <w:sz w:val="22"/>
          <w:lang w:val="en-GB"/>
        </w:rPr>
        <w:t>HGVSc</w:t>
      </w:r>
      <w:proofErr w:type="spellEnd"/>
      <w:r w:rsidRPr="00D95AC0">
        <w:rPr>
          <w:rFonts w:ascii="Times New Roman" w:eastAsia="Times New Roman" w:hAnsi="Times New Roman" w:cs="Times New Roman"/>
          <w:sz w:val="22"/>
          <w:lang w:val="en-GB"/>
        </w:rPr>
        <w:t xml:space="preserve">, Human Genome Variation Society [HGVS] coding sequence name; </w:t>
      </w:r>
      <w:proofErr w:type="spellStart"/>
      <w:r w:rsidRPr="00D95AC0">
        <w:rPr>
          <w:rFonts w:ascii="Times New Roman" w:eastAsia="Times New Roman" w:hAnsi="Times New Roman" w:cs="Times New Roman"/>
          <w:sz w:val="22"/>
          <w:lang w:val="en-GB"/>
        </w:rPr>
        <w:t>HGVSp</w:t>
      </w:r>
      <w:proofErr w:type="spellEnd"/>
      <w:r w:rsidRPr="00D95AC0">
        <w:rPr>
          <w:rFonts w:ascii="Times New Roman" w:eastAsia="Times New Roman" w:hAnsi="Times New Roman" w:cs="Times New Roman"/>
          <w:sz w:val="22"/>
          <w:lang w:val="en-GB"/>
        </w:rPr>
        <w:t>, HGVS protein sequence name; Path. score, pathogenicity score as created from prioritization algorithm; ACMG criteria, American College of Medical Genetics criteria</w:t>
      </w:r>
      <w:r w:rsidRPr="00D95AC0">
        <w:rPr>
          <w:rFonts w:ascii="Times New Roman" w:eastAsia="Times New Roman" w:hAnsi="Times New Roman" w:cs="Times New Roman"/>
          <w:noProof/>
          <w:sz w:val="22"/>
          <w:vertAlign w:val="superscript"/>
          <w:lang w:val="en-GB"/>
        </w:rPr>
        <w:t>8</w:t>
      </w:r>
      <w:r w:rsidRPr="00D95AC0">
        <w:rPr>
          <w:rFonts w:ascii="Times New Roman" w:eastAsia="Times New Roman" w:hAnsi="Times New Roman" w:cs="Times New Roman"/>
          <w:sz w:val="22"/>
          <w:lang w:val="en-GB"/>
        </w:rPr>
        <w:t xml:space="preserve">; VUS, variant of uncertain significance; LP, likely pathogenic; P, pathogenic; </w:t>
      </w:r>
      <w:r>
        <w:rPr>
          <w:rFonts w:ascii="Times New Roman" w:eastAsia="Times New Roman" w:hAnsi="Times New Roman" w:cs="Times New Roman"/>
          <w:sz w:val="22"/>
          <w:lang w:val="en-GB"/>
        </w:rPr>
        <w:t xml:space="preserve">(P), pathogenic but interpreted as secondary finding; </w:t>
      </w:r>
      <w:r w:rsidRPr="00D95AC0">
        <w:rPr>
          <w:rFonts w:ascii="Times New Roman" w:eastAsia="Times New Roman" w:hAnsi="Times New Roman" w:cs="Times New Roman"/>
          <w:sz w:val="22"/>
          <w:lang w:val="en-GB"/>
        </w:rPr>
        <w:t>DCM, dilated cardiomyopathy (CM); ICM, ischemic cardiomyopathy; HCM, hypertrophic CM; HCM*, HCM phenocopy; ATTR-CM, transthyretin amyloid CM (counted as HCM phenocopy here); ARVC, arrhythmogenic right ventricular CM; ACHD, adult congenital heart disease; LRG, Locus Reference Genomic sequence; PSI, proportion spliced-in</w:t>
      </w:r>
      <w:r w:rsidRPr="00D95AC0">
        <w:rPr>
          <w:rFonts w:ascii="Times New Roman" w:eastAsia="Times New Roman" w:hAnsi="Times New Roman" w:cs="Times New Roman"/>
          <w:noProof/>
          <w:sz w:val="22"/>
          <w:vertAlign w:val="superscript"/>
          <w:lang w:val="en-GB"/>
        </w:rPr>
        <w:t>31</w:t>
      </w:r>
      <w:r w:rsidRPr="00D95AC0">
        <w:rPr>
          <w:rFonts w:ascii="Times New Roman" w:eastAsia="Times New Roman" w:hAnsi="Times New Roman" w:cs="Times New Roman"/>
          <w:sz w:val="22"/>
          <w:lang w:val="en-GB"/>
        </w:rPr>
        <w:t>; GSD, glycogen storage disease</w:t>
      </w:r>
    </w:p>
    <w:p w14:paraId="48913619" w14:textId="77777777" w:rsidR="00FA1D9C" w:rsidRPr="00D95AC0" w:rsidRDefault="00FA1D9C" w:rsidP="0092319D">
      <w:pPr>
        <w:rPr>
          <w:rFonts w:ascii="Times New Roman" w:hAnsi="Times New Roman" w:cs="Times New Roman"/>
          <w:lang w:val="en-GB"/>
        </w:rPr>
      </w:pPr>
    </w:p>
    <w:p w14:paraId="05D534D4" w14:textId="77777777" w:rsidR="00FA1D9C" w:rsidRPr="00D95AC0" w:rsidRDefault="00FA1D9C" w:rsidP="0092319D">
      <w:pPr>
        <w:rPr>
          <w:rFonts w:ascii="Times New Roman" w:hAnsi="Times New Roman" w:cs="Times New Roman"/>
          <w:lang w:val="en-GB"/>
        </w:rPr>
      </w:pPr>
    </w:p>
    <w:p w14:paraId="5F585107" w14:textId="77777777" w:rsidR="00FA1D9C" w:rsidRPr="00D95AC0" w:rsidRDefault="00FA1D9C" w:rsidP="0092319D">
      <w:pPr>
        <w:rPr>
          <w:rFonts w:ascii="Times New Roman" w:hAnsi="Times New Roman" w:cs="Times New Roman"/>
          <w:lang w:val="en-GB"/>
        </w:rPr>
        <w:sectPr w:rsidR="00FA1D9C" w:rsidRPr="00D95AC0" w:rsidSect="00FA1D9C">
          <w:pgSz w:w="16838" w:h="11906" w:orient="landscape"/>
          <w:pgMar w:top="1417" w:right="1417" w:bottom="1417" w:left="1417" w:header="708" w:footer="708" w:gutter="0"/>
          <w:cols w:space="708"/>
          <w:docGrid w:linePitch="360"/>
        </w:sectPr>
      </w:pPr>
    </w:p>
    <w:p w14:paraId="5A29533B" w14:textId="77777777" w:rsidR="00FA1D9C" w:rsidRPr="00D95AC0" w:rsidRDefault="00FA1D9C" w:rsidP="0092319D">
      <w:pPr>
        <w:pStyle w:val="Heading1"/>
        <w:rPr>
          <w:rFonts w:ascii="Times New Roman" w:hAnsi="Times New Roman" w:cs="Times New Roman"/>
          <w:b/>
          <w:bCs/>
          <w:lang w:val="en-GB"/>
        </w:rPr>
      </w:pPr>
      <w:r w:rsidRPr="00D95AC0">
        <w:rPr>
          <w:rFonts w:ascii="Times New Roman" w:hAnsi="Times New Roman" w:cs="Times New Roman"/>
          <w:b/>
          <w:bCs/>
          <w:lang w:val="en-GB"/>
        </w:rPr>
        <w:lastRenderedPageBreak/>
        <w:t>Supplementary Figures</w:t>
      </w:r>
    </w:p>
    <w:p w14:paraId="7E6AE887" w14:textId="77777777" w:rsidR="00FA1D9C" w:rsidRPr="00D95AC0" w:rsidRDefault="00FA1D9C" w:rsidP="0092319D">
      <w:pPr>
        <w:spacing w:after="0" w:line="240" w:lineRule="auto"/>
        <w:rPr>
          <w:rFonts w:ascii="Times New Roman" w:hAnsi="Times New Roman" w:cs="Times New Roman"/>
          <w:lang w:val="en-GB"/>
        </w:rPr>
      </w:pPr>
      <w:r w:rsidRPr="00D95AC0">
        <w:rPr>
          <w:rFonts w:ascii="Times New Roman" w:eastAsia="Times New Roman" w:hAnsi="Times New Roman" w:cs="Times New Roman"/>
          <w:b/>
          <w:bCs/>
          <w:color w:val="000000"/>
          <w:sz w:val="22"/>
          <w:lang w:val="en-GB"/>
        </w:rPr>
        <w:t>Figure S1</w:t>
      </w:r>
      <w:r w:rsidRPr="00D95AC0">
        <w:rPr>
          <w:rFonts w:ascii="Times New Roman" w:eastAsia="Times New Roman" w:hAnsi="Times New Roman" w:cs="Times New Roman"/>
          <w:color w:val="000000"/>
          <w:sz w:val="22"/>
          <w:lang w:val="en-GB"/>
        </w:rPr>
        <w:t xml:space="preserve">. </w:t>
      </w:r>
      <w:r w:rsidRPr="00D95AC0">
        <w:rPr>
          <w:rFonts w:ascii="Times New Roman" w:eastAsia="Times New Roman" w:hAnsi="Times New Roman" w:cs="Times New Roman"/>
          <w:b/>
          <w:bCs/>
          <w:color w:val="000000"/>
          <w:sz w:val="22"/>
          <w:lang w:val="en-GB"/>
        </w:rPr>
        <w:t>Genes associated with monogenic heart muscle disease from systematic literature review.</w:t>
      </w:r>
      <w:r w:rsidRPr="00D95AC0">
        <w:rPr>
          <w:rFonts w:ascii="Times New Roman" w:eastAsia="Times New Roman" w:hAnsi="Times New Roman" w:cs="Times New Roman"/>
          <w:color w:val="000000"/>
          <w:sz w:val="22"/>
          <w:lang w:val="en-GB"/>
        </w:rPr>
        <w:t xml:space="preserve"> Genes were grouped by cellular organelle of principal function. Refences for the genes are listed in </w:t>
      </w:r>
      <w:r w:rsidRPr="00D95AC0">
        <w:rPr>
          <w:rFonts w:ascii="Times New Roman" w:eastAsia="Times New Roman" w:hAnsi="Times New Roman" w:cs="Times New Roman"/>
          <w:b/>
          <w:bCs/>
          <w:color w:val="000000"/>
          <w:sz w:val="22"/>
          <w:lang w:val="en-GB"/>
        </w:rPr>
        <w:t>Supplementary</w:t>
      </w:r>
      <w:r w:rsidRPr="00D95AC0">
        <w:rPr>
          <w:rFonts w:ascii="Times New Roman" w:eastAsia="Times New Roman" w:hAnsi="Times New Roman" w:cs="Times New Roman"/>
          <w:color w:val="000000"/>
          <w:sz w:val="22"/>
          <w:lang w:val="en-GB"/>
        </w:rPr>
        <w:t xml:space="preserve"> </w:t>
      </w:r>
      <w:r w:rsidRPr="00D95AC0">
        <w:rPr>
          <w:rFonts w:ascii="Times New Roman" w:eastAsia="Times New Roman" w:hAnsi="Times New Roman" w:cs="Times New Roman"/>
          <w:b/>
          <w:bCs/>
          <w:color w:val="000000"/>
          <w:sz w:val="22"/>
          <w:lang w:val="en-GB"/>
        </w:rPr>
        <w:t>Table S1</w:t>
      </w:r>
      <w:r w:rsidRPr="00D95AC0">
        <w:rPr>
          <w:rFonts w:ascii="Times New Roman" w:eastAsia="Times New Roman" w:hAnsi="Times New Roman" w:cs="Times New Roman"/>
          <w:color w:val="000000"/>
          <w:sz w:val="22"/>
          <w:lang w:val="en-GB"/>
        </w:rPr>
        <w:t>.</w:t>
      </w:r>
    </w:p>
    <w:p w14:paraId="66678B09"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noProof/>
          <w:lang w:val="en-GB"/>
          <w14:ligatures w14:val="standardContextual"/>
        </w:rPr>
        <w:drawing>
          <wp:inline distT="0" distB="0" distL="0" distR="0" wp14:anchorId="1E957F05" wp14:editId="6836A98C">
            <wp:extent cx="7484840" cy="5086350"/>
            <wp:effectExtent l="0" t="0" r="1905" b="0"/>
            <wp:docPr id="1301102947" name="Picture 1" descr="A screenshot of a cell divis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1102947" name="Picture 1" descr="A screenshot of a cell division&#10;&#10;Description automatically generated"/>
                    <pic:cNvPicPr/>
                  </pic:nvPicPr>
                  <pic:blipFill>
                    <a:blip r:embed="rId6"/>
                    <a:stretch>
                      <a:fillRect/>
                    </a:stretch>
                  </pic:blipFill>
                  <pic:spPr>
                    <a:xfrm>
                      <a:off x="0" y="0"/>
                      <a:ext cx="7569001" cy="5143542"/>
                    </a:xfrm>
                    <a:prstGeom prst="rect">
                      <a:avLst/>
                    </a:prstGeom>
                  </pic:spPr>
                </pic:pic>
              </a:graphicData>
            </a:graphic>
          </wp:inline>
        </w:drawing>
      </w:r>
    </w:p>
    <w:p w14:paraId="2D4DCC2F" w14:textId="77777777" w:rsidR="00FA1D9C" w:rsidRPr="00D95AC0" w:rsidRDefault="00FA1D9C" w:rsidP="0092319D">
      <w:pPr>
        <w:rPr>
          <w:rFonts w:ascii="Times New Roman" w:hAnsi="Times New Roman" w:cs="Times New Roman"/>
          <w:b/>
          <w:bCs/>
          <w:lang w:val="en-GB"/>
        </w:rPr>
        <w:sectPr w:rsidR="00FA1D9C" w:rsidRPr="00D95AC0" w:rsidSect="00FA1D9C">
          <w:pgSz w:w="16838" w:h="11906" w:orient="landscape"/>
          <w:pgMar w:top="1417" w:right="1417" w:bottom="1417" w:left="1417" w:header="708" w:footer="708" w:gutter="0"/>
          <w:cols w:space="708"/>
          <w:docGrid w:linePitch="360"/>
        </w:sectPr>
      </w:pPr>
    </w:p>
    <w:p w14:paraId="1C9F00D7" w14:textId="77777777" w:rsidR="00FA1D9C" w:rsidRPr="00D95AC0" w:rsidRDefault="00FA1D9C" w:rsidP="0092319D">
      <w:pPr>
        <w:rPr>
          <w:rFonts w:ascii="Times New Roman" w:hAnsi="Times New Roman" w:cs="Times New Roman"/>
          <w:lang w:val="en-GB"/>
        </w:rPr>
      </w:pPr>
      <w:r w:rsidRPr="00D95AC0">
        <w:rPr>
          <w:rFonts w:ascii="Times New Roman" w:hAnsi="Times New Roman" w:cs="Times New Roman"/>
          <w:b/>
          <w:bCs/>
          <w:lang w:val="en-GB"/>
        </w:rPr>
        <w:lastRenderedPageBreak/>
        <w:t>Figure S2</w:t>
      </w:r>
      <w:r w:rsidRPr="00D95AC0">
        <w:rPr>
          <w:rFonts w:ascii="Times New Roman" w:hAnsi="Times New Roman" w:cs="Times New Roman"/>
          <w:lang w:val="en-GB"/>
        </w:rPr>
        <w:t xml:space="preserve">. </w:t>
      </w:r>
      <w:r w:rsidRPr="00D95AC0">
        <w:rPr>
          <w:rFonts w:ascii="Times New Roman" w:hAnsi="Times New Roman" w:cs="Times New Roman"/>
          <w:b/>
          <w:bCs/>
          <w:lang w:val="en-GB"/>
        </w:rPr>
        <w:t>Distribution of polygenic risk scores between heart transplanted individuals with and without an identified likely pathogenic or pathogenic variant.</w:t>
      </w:r>
      <w:r w:rsidRPr="00D95AC0">
        <w:rPr>
          <w:rFonts w:ascii="Times New Roman" w:hAnsi="Times New Roman" w:cs="Times New Roman"/>
          <w:lang w:val="en-GB"/>
        </w:rPr>
        <w:t xml:space="preserve"> Scores are standardized to the scores of the population-based Malmö Diet and Cancer cohort.</w:t>
      </w:r>
    </w:p>
    <w:p w14:paraId="1AF002D0" w14:textId="77777777" w:rsidR="00FA1D9C" w:rsidRDefault="00FA1D9C" w:rsidP="0092319D">
      <w:pPr>
        <w:rPr>
          <w:rFonts w:ascii="Times New Roman" w:hAnsi="Times New Roman" w:cs="Times New Roman"/>
          <w:lang w:val="en-GB"/>
        </w:rPr>
      </w:pPr>
    </w:p>
    <w:p w14:paraId="04A89CB7" w14:textId="77777777" w:rsidR="00FA1D9C" w:rsidRPr="00D95AC0" w:rsidRDefault="00FA1D9C" w:rsidP="0092319D">
      <w:pPr>
        <w:rPr>
          <w:rFonts w:ascii="Times New Roman" w:hAnsi="Times New Roman" w:cs="Times New Roman"/>
          <w:lang w:val="en-GB"/>
        </w:rPr>
      </w:pPr>
      <w:r>
        <w:rPr>
          <w:rFonts w:ascii="Times New Roman" w:hAnsi="Times New Roman" w:cs="Times New Roman"/>
          <w:noProof/>
          <w:lang w:val="en-GB"/>
          <w14:ligatures w14:val="standardContextual"/>
        </w:rPr>
        <w:drawing>
          <wp:inline distT="0" distB="0" distL="0" distR="0" wp14:anchorId="14134BAF" wp14:editId="434B3AA9">
            <wp:extent cx="4105275" cy="4105275"/>
            <wp:effectExtent l="0" t="0" r="9525" b="9525"/>
            <wp:docPr id="852662509" name="Picture 1" descr="A graph of a number of object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662509" name="Picture 1" descr="A graph of a number of objects&#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4105275" cy="4105275"/>
                    </a:xfrm>
                    <a:prstGeom prst="rect">
                      <a:avLst/>
                    </a:prstGeom>
                  </pic:spPr>
                </pic:pic>
              </a:graphicData>
            </a:graphic>
          </wp:inline>
        </w:drawing>
      </w:r>
    </w:p>
    <w:p w14:paraId="5390BFF8" w14:textId="77777777" w:rsidR="00FA1D9C" w:rsidRPr="00D95AC0" w:rsidRDefault="00FA1D9C">
      <w:pPr>
        <w:rPr>
          <w:rFonts w:ascii="Times New Roman" w:hAnsi="Times New Roman" w:cs="Times New Roman"/>
          <w:lang w:val="en-GB"/>
        </w:rPr>
      </w:pPr>
    </w:p>
    <w:p w14:paraId="73215C5D" w14:textId="77777777" w:rsidR="00FA1D9C" w:rsidRPr="00D95AC0" w:rsidRDefault="00FA1D9C">
      <w:pPr>
        <w:rPr>
          <w:rFonts w:ascii="Times New Roman" w:hAnsi="Times New Roman" w:cs="Times New Roman"/>
          <w:lang w:val="en-GB"/>
        </w:rPr>
      </w:pPr>
    </w:p>
    <w:p w14:paraId="61E162BB" w14:textId="77777777" w:rsidR="00602B5A" w:rsidRDefault="00602B5A"/>
    <w:sectPr w:rsidR="00602B5A" w:rsidSect="00FA1D9C">
      <w:pgSz w:w="11906" w:h="16838"/>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C52"/>
    <w:multiLevelType w:val="hybridMultilevel"/>
    <w:tmpl w:val="B130FB2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CB12400"/>
    <w:multiLevelType w:val="hybridMultilevel"/>
    <w:tmpl w:val="7F987F32"/>
    <w:lvl w:ilvl="0" w:tplc="2000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34EC1"/>
    <w:multiLevelType w:val="hybridMultilevel"/>
    <w:tmpl w:val="F48E88E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15:restartNumberingAfterBreak="0">
    <w:nsid w:val="1C117F21"/>
    <w:multiLevelType w:val="hybridMultilevel"/>
    <w:tmpl w:val="F926BD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561760"/>
    <w:multiLevelType w:val="multilevel"/>
    <w:tmpl w:val="E1203E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7127EC8"/>
    <w:multiLevelType w:val="hybridMultilevel"/>
    <w:tmpl w:val="5FD62134"/>
    <w:lvl w:ilvl="0" w:tplc="32205580">
      <w:numFmt w:val="bullet"/>
      <w:lvlText w:val=""/>
      <w:lvlJc w:val="left"/>
      <w:pPr>
        <w:ind w:left="720" w:hanging="360"/>
      </w:pPr>
      <w:rPr>
        <w:rFonts w:ascii="Symbol" w:eastAsiaTheme="minorHAnsi" w:hAnsi="Symbol"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4CE70AB0"/>
    <w:multiLevelType w:val="multilevel"/>
    <w:tmpl w:val="00D2B20A"/>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594D1A8E"/>
    <w:multiLevelType w:val="hybridMultilevel"/>
    <w:tmpl w:val="E5A0D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E301445"/>
    <w:multiLevelType w:val="multilevel"/>
    <w:tmpl w:val="98768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AF451EF"/>
    <w:multiLevelType w:val="hybridMultilevel"/>
    <w:tmpl w:val="E99A4BBA"/>
    <w:lvl w:ilvl="0" w:tplc="C2107DA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C77651A"/>
    <w:multiLevelType w:val="hybridMultilevel"/>
    <w:tmpl w:val="C97E6948"/>
    <w:lvl w:ilvl="0" w:tplc="789205CA">
      <w:start w:val="1"/>
      <w:numFmt w:val="decimal"/>
      <w:lvlText w:val="%1."/>
      <w:lvlJc w:val="left"/>
      <w:pPr>
        <w:ind w:left="720" w:hanging="360"/>
      </w:pPr>
      <w:rPr>
        <w:rFonts w:hint="default"/>
        <w:lang w:val="en-U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2B2219"/>
    <w:multiLevelType w:val="hybridMultilevel"/>
    <w:tmpl w:val="BD40C9A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7686406E"/>
    <w:multiLevelType w:val="hybridMultilevel"/>
    <w:tmpl w:val="F38E3FD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76E92D8F"/>
    <w:multiLevelType w:val="hybridMultilevel"/>
    <w:tmpl w:val="730E4364"/>
    <w:lvl w:ilvl="0" w:tplc="EACE827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9057D2D"/>
    <w:multiLevelType w:val="hybridMultilevel"/>
    <w:tmpl w:val="D7520922"/>
    <w:lvl w:ilvl="0" w:tplc="2000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7DAE4D20"/>
    <w:multiLevelType w:val="multilevel"/>
    <w:tmpl w:val="2E7473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62427788">
    <w:abstractNumId w:val="12"/>
  </w:num>
  <w:num w:numId="2" w16cid:durableId="883366037">
    <w:abstractNumId w:val="9"/>
  </w:num>
  <w:num w:numId="3" w16cid:durableId="978926032">
    <w:abstractNumId w:val="8"/>
  </w:num>
  <w:num w:numId="4" w16cid:durableId="460535199">
    <w:abstractNumId w:val="3"/>
  </w:num>
  <w:num w:numId="5" w16cid:durableId="1391266083">
    <w:abstractNumId w:val="6"/>
  </w:num>
  <w:num w:numId="6" w16cid:durableId="1048184458">
    <w:abstractNumId w:val="4"/>
  </w:num>
  <w:num w:numId="7" w16cid:durableId="524943487">
    <w:abstractNumId w:val="0"/>
  </w:num>
  <w:num w:numId="8" w16cid:durableId="862984247">
    <w:abstractNumId w:val="7"/>
  </w:num>
  <w:num w:numId="9" w16cid:durableId="479620032">
    <w:abstractNumId w:val="14"/>
  </w:num>
  <w:num w:numId="10" w16cid:durableId="1815097529">
    <w:abstractNumId w:val="1"/>
  </w:num>
  <w:num w:numId="11" w16cid:durableId="1470441756">
    <w:abstractNumId w:val="11"/>
  </w:num>
  <w:num w:numId="12" w16cid:durableId="1439984768">
    <w:abstractNumId w:val="13"/>
  </w:num>
  <w:num w:numId="13" w16cid:durableId="711809152">
    <w:abstractNumId w:val="10"/>
  </w:num>
  <w:num w:numId="14" w16cid:durableId="1752502445">
    <w:abstractNumId w:val="15"/>
  </w:num>
  <w:num w:numId="15" w16cid:durableId="1895771107">
    <w:abstractNumId w:val="2"/>
  </w:num>
  <w:num w:numId="16" w16cid:durableId="141520330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s>
  <w:rsids>
    <w:rsidRoot w:val="00FA1D9C"/>
    <w:rsid w:val="003D15E9"/>
    <w:rsid w:val="00602B5A"/>
    <w:rsid w:val="00776A3B"/>
    <w:rsid w:val="007A76CB"/>
    <w:rsid w:val="009F1A61"/>
    <w:rsid w:val="00AF7ECF"/>
    <w:rsid w:val="00D54BFA"/>
    <w:rsid w:val="00F20B1C"/>
    <w:rsid w:val="00F869BF"/>
    <w:rsid w:val="00FA1D9C"/>
  </w:rsids>
  <m:mathPr>
    <m:mathFont m:val="Cambria Math"/>
    <m:brkBin m:val="before"/>
    <m:brkBinSub m:val="--"/>
    <m:smallFrac m:val="0"/>
    <m:dispDef/>
    <m:lMargin m:val="0"/>
    <m:rMargin m:val="0"/>
    <m:defJc m:val="centerGroup"/>
    <m:wrapIndent m:val="1440"/>
    <m:intLim m:val="subSup"/>
    <m:naryLim m:val="undOvr"/>
  </m:mathPr>
  <w:themeFontLang w:val="en-S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BEA1"/>
  <w15:chartTrackingRefBased/>
  <w15:docId w15:val="{866DAA1F-D4CE-4245-B02B-4A75095EE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1D9C"/>
    <w:rPr>
      <w:sz w:val="24"/>
      <w:lang w:val="en-US"/>
      <w14:ligatures w14:val="none"/>
    </w:rPr>
  </w:style>
  <w:style w:type="paragraph" w:styleId="Heading1">
    <w:name w:val="heading 1"/>
    <w:basedOn w:val="Normal"/>
    <w:next w:val="Normal"/>
    <w:link w:val="Heading1Char"/>
    <w:uiPriority w:val="9"/>
    <w:qFormat/>
    <w:rsid w:val="00FA1D9C"/>
    <w:pPr>
      <w:keepNext/>
      <w:keepLines/>
      <w:spacing w:before="240" w:after="0"/>
      <w:outlineLvl w:val="0"/>
    </w:pPr>
    <w:rPr>
      <w:rFonts w:asciiTheme="majorHAnsi" w:eastAsiaTheme="majorEastAsia" w:hAnsiTheme="majorHAnsi" w:cstheme="majorBidi"/>
      <w:sz w:val="32"/>
      <w:szCs w:val="32"/>
    </w:rPr>
  </w:style>
  <w:style w:type="paragraph" w:styleId="Heading2">
    <w:name w:val="heading 2"/>
    <w:basedOn w:val="Normal"/>
    <w:next w:val="Normal"/>
    <w:link w:val="Heading2Char"/>
    <w:uiPriority w:val="9"/>
    <w:unhideWhenUsed/>
    <w:qFormat/>
    <w:rsid w:val="00FA1D9C"/>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FA1D9C"/>
    <w:pPr>
      <w:keepNext/>
      <w:keepLines/>
      <w:spacing w:before="40" w:after="0"/>
      <w:outlineLvl w:val="2"/>
    </w:pPr>
    <w:rPr>
      <w:rFonts w:asciiTheme="majorHAnsi" w:eastAsiaTheme="majorEastAsia" w:hAnsiTheme="majorHAnsi" w:cstheme="majorBidi"/>
      <w:color w:val="0A2F40" w:themeColor="accent1" w:themeShade="7F"/>
      <w:szCs w:val="24"/>
    </w:rPr>
  </w:style>
  <w:style w:type="paragraph" w:styleId="Heading4">
    <w:name w:val="heading 4"/>
    <w:basedOn w:val="Normal"/>
    <w:next w:val="Normal"/>
    <w:link w:val="Heading4Char"/>
    <w:uiPriority w:val="9"/>
    <w:unhideWhenUsed/>
    <w:qFormat/>
    <w:rsid w:val="00FA1D9C"/>
    <w:pPr>
      <w:keepNext/>
      <w:keepLines/>
      <w:spacing w:before="40" w:after="0"/>
      <w:outlineLvl w:val="3"/>
    </w:pPr>
    <w:rPr>
      <w:rFonts w:asciiTheme="majorHAnsi" w:eastAsiaTheme="majorEastAsia" w:hAnsiTheme="majorHAnsi" w:cstheme="majorBidi"/>
      <w:i/>
      <w:iCs/>
      <w:color w:val="0F4761" w:themeColor="accent1" w:themeShade="BF"/>
    </w:rPr>
  </w:style>
  <w:style w:type="paragraph" w:styleId="Heading5">
    <w:name w:val="heading 5"/>
    <w:basedOn w:val="Normal"/>
    <w:next w:val="Normal"/>
    <w:link w:val="Heading5Char"/>
    <w:uiPriority w:val="9"/>
    <w:unhideWhenUsed/>
    <w:qFormat/>
    <w:rsid w:val="00FA1D9C"/>
    <w:pPr>
      <w:keepNext/>
      <w:keepLines/>
      <w:spacing w:before="40" w:after="0"/>
      <w:outlineLvl w:val="4"/>
    </w:pPr>
    <w:rPr>
      <w:rFonts w:asciiTheme="majorHAnsi" w:eastAsiaTheme="majorEastAsia" w:hAnsiTheme="majorHAnsi" w:cstheme="majorBidi"/>
      <w:color w:val="0F4761" w:themeColor="accent1" w:themeShade="BF"/>
    </w:rPr>
  </w:style>
  <w:style w:type="paragraph" w:styleId="Heading6">
    <w:name w:val="heading 6"/>
    <w:basedOn w:val="Normal"/>
    <w:next w:val="Normal"/>
    <w:link w:val="Heading6Char"/>
    <w:uiPriority w:val="9"/>
    <w:unhideWhenUsed/>
    <w:qFormat/>
    <w:rsid w:val="00FA1D9C"/>
    <w:pPr>
      <w:keepNext/>
      <w:keepLines/>
      <w:spacing w:before="40" w:after="0"/>
      <w:outlineLvl w:val="5"/>
    </w:pPr>
    <w:rPr>
      <w:rFonts w:asciiTheme="majorHAnsi" w:eastAsiaTheme="majorEastAsia" w:hAnsiTheme="majorHAnsi" w:cstheme="majorBidi"/>
      <w:color w:val="0A2F40" w:themeColor="accent1" w:themeShade="7F"/>
    </w:rPr>
  </w:style>
  <w:style w:type="paragraph" w:styleId="Heading7">
    <w:name w:val="heading 7"/>
    <w:basedOn w:val="Normal"/>
    <w:next w:val="Normal"/>
    <w:link w:val="Heading7Char"/>
    <w:uiPriority w:val="9"/>
    <w:unhideWhenUsed/>
    <w:qFormat/>
    <w:rsid w:val="00FA1D9C"/>
    <w:pPr>
      <w:keepNext/>
      <w:keepLines/>
      <w:spacing w:before="40" w:after="0"/>
      <w:outlineLvl w:val="6"/>
    </w:pPr>
    <w:rPr>
      <w:rFonts w:asciiTheme="majorHAnsi" w:eastAsiaTheme="majorEastAsia" w:hAnsiTheme="majorHAnsi" w:cstheme="majorBidi"/>
      <w:i/>
      <w:iCs/>
      <w:color w:val="0A2F40" w:themeColor="accent1" w:themeShade="7F"/>
    </w:rPr>
  </w:style>
  <w:style w:type="paragraph" w:styleId="Heading8">
    <w:name w:val="heading 8"/>
    <w:basedOn w:val="Normal"/>
    <w:next w:val="Normal"/>
    <w:link w:val="Heading8Char"/>
    <w:uiPriority w:val="9"/>
    <w:unhideWhenUsed/>
    <w:qFormat/>
    <w:rsid w:val="00FA1D9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FA1D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A1D9C"/>
    <w:rPr>
      <w:rFonts w:asciiTheme="majorHAnsi" w:eastAsiaTheme="majorEastAsia" w:hAnsiTheme="majorHAnsi" w:cstheme="majorBidi"/>
      <w:sz w:val="32"/>
      <w:szCs w:val="32"/>
      <w:lang w:val="en-US"/>
      <w14:ligatures w14:val="none"/>
    </w:rPr>
  </w:style>
  <w:style w:type="character" w:customStyle="1" w:styleId="Heading2Char">
    <w:name w:val="Heading 2 Char"/>
    <w:basedOn w:val="DefaultParagraphFont"/>
    <w:link w:val="Heading2"/>
    <w:uiPriority w:val="9"/>
    <w:rsid w:val="00FA1D9C"/>
    <w:rPr>
      <w:rFonts w:asciiTheme="majorHAnsi" w:eastAsiaTheme="majorEastAsia" w:hAnsiTheme="majorHAnsi" w:cstheme="majorBidi"/>
      <w:color w:val="0F4761" w:themeColor="accent1" w:themeShade="BF"/>
      <w:sz w:val="26"/>
      <w:szCs w:val="26"/>
      <w:lang w:val="en-US"/>
      <w14:ligatures w14:val="none"/>
    </w:rPr>
  </w:style>
  <w:style w:type="character" w:customStyle="1" w:styleId="Heading3Char">
    <w:name w:val="Heading 3 Char"/>
    <w:basedOn w:val="DefaultParagraphFont"/>
    <w:link w:val="Heading3"/>
    <w:uiPriority w:val="9"/>
    <w:rsid w:val="00FA1D9C"/>
    <w:rPr>
      <w:rFonts w:asciiTheme="majorHAnsi" w:eastAsiaTheme="majorEastAsia" w:hAnsiTheme="majorHAnsi" w:cstheme="majorBidi"/>
      <w:color w:val="0A2F40" w:themeColor="accent1" w:themeShade="7F"/>
      <w:sz w:val="24"/>
      <w:szCs w:val="24"/>
      <w:lang w:val="en-US"/>
      <w14:ligatures w14:val="none"/>
    </w:rPr>
  </w:style>
  <w:style w:type="character" w:customStyle="1" w:styleId="Heading4Char">
    <w:name w:val="Heading 4 Char"/>
    <w:basedOn w:val="DefaultParagraphFont"/>
    <w:link w:val="Heading4"/>
    <w:uiPriority w:val="9"/>
    <w:rsid w:val="00FA1D9C"/>
    <w:rPr>
      <w:rFonts w:asciiTheme="majorHAnsi" w:eastAsiaTheme="majorEastAsia" w:hAnsiTheme="majorHAnsi" w:cstheme="majorBidi"/>
      <w:i/>
      <w:iCs/>
      <w:color w:val="0F4761" w:themeColor="accent1" w:themeShade="BF"/>
      <w:sz w:val="24"/>
      <w:lang w:val="en-US"/>
      <w14:ligatures w14:val="none"/>
    </w:rPr>
  </w:style>
  <w:style w:type="character" w:customStyle="1" w:styleId="Heading5Char">
    <w:name w:val="Heading 5 Char"/>
    <w:basedOn w:val="DefaultParagraphFont"/>
    <w:link w:val="Heading5"/>
    <w:uiPriority w:val="9"/>
    <w:rsid w:val="00FA1D9C"/>
    <w:rPr>
      <w:rFonts w:asciiTheme="majorHAnsi" w:eastAsiaTheme="majorEastAsia" w:hAnsiTheme="majorHAnsi" w:cstheme="majorBidi"/>
      <w:color w:val="0F4761" w:themeColor="accent1" w:themeShade="BF"/>
      <w:sz w:val="24"/>
      <w:lang w:val="en-US"/>
      <w14:ligatures w14:val="none"/>
    </w:rPr>
  </w:style>
  <w:style w:type="character" w:customStyle="1" w:styleId="Heading6Char">
    <w:name w:val="Heading 6 Char"/>
    <w:basedOn w:val="DefaultParagraphFont"/>
    <w:link w:val="Heading6"/>
    <w:uiPriority w:val="9"/>
    <w:rsid w:val="00FA1D9C"/>
    <w:rPr>
      <w:rFonts w:asciiTheme="majorHAnsi" w:eastAsiaTheme="majorEastAsia" w:hAnsiTheme="majorHAnsi" w:cstheme="majorBidi"/>
      <w:color w:val="0A2F40" w:themeColor="accent1" w:themeShade="7F"/>
      <w:sz w:val="24"/>
      <w:lang w:val="en-US"/>
      <w14:ligatures w14:val="none"/>
    </w:rPr>
  </w:style>
  <w:style w:type="character" w:customStyle="1" w:styleId="Heading7Char">
    <w:name w:val="Heading 7 Char"/>
    <w:basedOn w:val="DefaultParagraphFont"/>
    <w:link w:val="Heading7"/>
    <w:uiPriority w:val="9"/>
    <w:rsid w:val="00FA1D9C"/>
    <w:rPr>
      <w:rFonts w:asciiTheme="majorHAnsi" w:eastAsiaTheme="majorEastAsia" w:hAnsiTheme="majorHAnsi" w:cstheme="majorBidi"/>
      <w:i/>
      <w:iCs/>
      <w:color w:val="0A2F40" w:themeColor="accent1" w:themeShade="7F"/>
      <w:sz w:val="24"/>
      <w:lang w:val="en-US"/>
      <w14:ligatures w14:val="none"/>
    </w:rPr>
  </w:style>
  <w:style w:type="character" w:customStyle="1" w:styleId="Heading8Char">
    <w:name w:val="Heading 8 Char"/>
    <w:basedOn w:val="DefaultParagraphFont"/>
    <w:link w:val="Heading8"/>
    <w:uiPriority w:val="9"/>
    <w:rsid w:val="00FA1D9C"/>
    <w:rPr>
      <w:rFonts w:asciiTheme="majorHAnsi" w:eastAsiaTheme="majorEastAsia" w:hAnsiTheme="majorHAnsi" w:cstheme="majorBidi"/>
      <w:color w:val="272727" w:themeColor="text1" w:themeTint="D8"/>
      <w:sz w:val="21"/>
      <w:szCs w:val="21"/>
      <w:lang w:val="en-US"/>
      <w14:ligatures w14:val="none"/>
    </w:rPr>
  </w:style>
  <w:style w:type="character" w:customStyle="1" w:styleId="Heading9Char">
    <w:name w:val="Heading 9 Char"/>
    <w:basedOn w:val="DefaultParagraphFont"/>
    <w:link w:val="Heading9"/>
    <w:uiPriority w:val="9"/>
    <w:semiHidden/>
    <w:rsid w:val="00FA1D9C"/>
    <w:rPr>
      <w:rFonts w:eastAsiaTheme="majorEastAsia" w:cstheme="majorBidi"/>
      <w:color w:val="272727" w:themeColor="text1" w:themeTint="D8"/>
    </w:rPr>
  </w:style>
  <w:style w:type="paragraph" w:styleId="Title">
    <w:name w:val="Title"/>
    <w:basedOn w:val="Normal"/>
    <w:next w:val="Normal"/>
    <w:link w:val="TitleChar"/>
    <w:uiPriority w:val="10"/>
    <w:qFormat/>
    <w:rsid w:val="00FA1D9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A1D9C"/>
    <w:rPr>
      <w:rFonts w:asciiTheme="majorHAnsi" w:eastAsiaTheme="majorEastAsia" w:hAnsiTheme="majorHAnsi" w:cstheme="majorBidi"/>
      <w:spacing w:val="-10"/>
      <w:kern w:val="28"/>
      <w:sz w:val="56"/>
      <w:szCs w:val="56"/>
      <w:lang w:val="en-US"/>
      <w14:ligatures w14:val="none"/>
    </w:rPr>
  </w:style>
  <w:style w:type="paragraph" w:styleId="Subtitle">
    <w:name w:val="Subtitle"/>
    <w:basedOn w:val="Normal"/>
    <w:next w:val="Normal"/>
    <w:link w:val="SubtitleChar"/>
    <w:uiPriority w:val="11"/>
    <w:qFormat/>
    <w:rsid w:val="00FA1D9C"/>
    <w:pPr>
      <w:numPr>
        <w:ilvl w:val="1"/>
      </w:numPr>
    </w:pPr>
    <w:rPr>
      <w:rFonts w:eastAsiaTheme="minorEastAsia"/>
      <w:i/>
      <w:sz w:val="22"/>
    </w:rPr>
  </w:style>
  <w:style w:type="character" w:customStyle="1" w:styleId="SubtitleChar">
    <w:name w:val="Subtitle Char"/>
    <w:basedOn w:val="DefaultParagraphFont"/>
    <w:link w:val="Subtitle"/>
    <w:uiPriority w:val="11"/>
    <w:rsid w:val="00FA1D9C"/>
    <w:rPr>
      <w:rFonts w:eastAsiaTheme="minorEastAsia"/>
      <w:i/>
      <w:lang w:val="en-US"/>
      <w14:ligatures w14:val="none"/>
    </w:rPr>
  </w:style>
  <w:style w:type="paragraph" w:styleId="Quote">
    <w:name w:val="Quote"/>
    <w:basedOn w:val="Normal"/>
    <w:next w:val="Normal"/>
    <w:link w:val="QuoteChar"/>
    <w:uiPriority w:val="29"/>
    <w:qFormat/>
    <w:rsid w:val="00FA1D9C"/>
    <w:pPr>
      <w:spacing w:before="160"/>
      <w:jc w:val="center"/>
    </w:pPr>
    <w:rPr>
      <w:i/>
      <w:iCs/>
      <w:color w:val="404040" w:themeColor="text1" w:themeTint="BF"/>
    </w:rPr>
  </w:style>
  <w:style w:type="character" w:customStyle="1" w:styleId="QuoteChar">
    <w:name w:val="Quote Char"/>
    <w:basedOn w:val="DefaultParagraphFont"/>
    <w:link w:val="Quote"/>
    <w:uiPriority w:val="29"/>
    <w:rsid w:val="00FA1D9C"/>
    <w:rPr>
      <w:i/>
      <w:iCs/>
      <w:color w:val="404040" w:themeColor="text1" w:themeTint="BF"/>
    </w:rPr>
  </w:style>
  <w:style w:type="paragraph" w:styleId="ListParagraph">
    <w:name w:val="List Paragraph"/>
    <w:basedOn w:val="Normal"/>
    <w:uiPriority w:val="34"/>
    <w:qFormat/>
    <w:rsid w:val="00FA1D9C"/>
    <w:pPr>
      <w:ind w:left="720"/>
      <w:contextualSpacing/>
    </w:pPr>
  </w:style>
  <w:style w:type="character" w:styleId="IntenseEmphasis">
    <w:name w:val="Intense Emphasis"/>
    <w:basedOn w:val="DefaultParagraphFont"/>
    <w:uiPriority w:val="21"/>
    <w:qFormat/>
    <w:rsid w:val="00FA1D9C"/>
    <w:rPr>
      <w:i/>
      <w:iCs/>
      <w:color w:val="0F4761" w:themeColor="accent1" w:themeShade="BF"/>
    </w:rPr>
  </w:style>
  <w:style w:type="paragraph" w:styleId="IntenseQuote">
    <w:name w:val="Intense Quote"/>
    <w:basedOn w:val="Normal"/>
    <w:next w:val="Normal"/>
    <w:link w:val="IntenseQuoteChar"/>
    <w:uiPriority w:val="30"/>
    <w:qFormat/>
    <w:rsid w:val="00FA1D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A1D9C"/>
    <w:rPr>
      <w:i/>
      <w:iCs/>
      <w:color w:val="0F4761" w:themeColor="accent1" w:themeShade="BF"/>
    </w:rPr>
  </w:style>
  <w:style w:type="character" w:styleId="IntenseReference">
    <w:name w:val="Intense Reference"/>
    <w:basedOn w:val="DefaultParagraphFont"/>
    <w:uiPriority w:val="32"/>
    <w:qFormat/>
    <w:rsid w:val="00FA1D9C"/>
    <w:rPr>
      <w:b/>
      <w:bCs/>
      <w:smallCaps/>
      <w:color w:val="0F4761" w:themeColor="accent1" w:themeShade="BF"/>
      <w:spacing w:val="5"/>
    </w:rPr>
  </w:style>
  <w:style w:type="paragraph" w:customStyle="1" w:styleId="EndNoteBibliography">
    <w:name w:val="EndNote Bibliography"/>
    <w:basedOn w:val="Normal"/>
    <w:link w:val="EndNoteBibliographyChar"/>
    <w:rsid w:val="00FA1D9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FA1D9C"/>
    <w:rPr>
      <w:rFonts w:ascii="Calibri" w:hAnsi="Calibri" w:cs="Calibri"/>
      <w:noProof/>
      <w:sz w:val="24"/>
      <w:lang w:val="en-US"/>
      <w14:ligatures w14:val="none"/>
    </w:rPr>
  </w:style>
  <w:style w:type="character" w:styleId="Hyperlink">
    <w:name w:val="Hyperlink"/>
    <w:basedOn w:val="DefaultParagraphFont"/>
    <w:uiPriority w:val="99"/>
    <w:unhideWhenUsed/>
    <w:rsid w:val="00FA1D9C"/>
    <w:rPr>
      <w:color w:val="0000FF"/>
      <w:u w:val="single"/>
    </w:rPr>
  </w:style>
  <w:style w:type="character" w:styleId="FollowedHyperlink">
    <w:name w:val="FollowedHyperlink"/>
    <w:basedOn w:val="DefaultParagraphFont"/>
    <w:uiPriority w:val="99"/>
    <w:semiHidden/>
    <w:unhideWhenUsed/>
    <w:rsid w:val="00FA1D9C"/>
    <w:rPr>
      <w:color w:val="96607D" w:themeColor="followedHyperlink"/>
      <w:u w:val="single"/>
    </w:rPr>
  </w:style>
  <w:style w:type="paragraph" w:styleId="Header">
    <w:name w:val="header"/>
    <w:basedOn w:val="Normal"/>
    <w:link w:val="HeaderChar"/>
    <w:uiPriority w:val="99"/>
    <w:unhideWhenUsed/>
    <w:rsid w:val="00FA1D9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A1D9C"/>
    <w:rPr>
      <w:sz w:val="24"/>
      <w:lang w:val="en-US"/>
      <w14:ligatures w14:val="none"/>
    </w:rPr>
  </w:style>
  <w:style w:type="paragraph" w:styleId="Footer">
    <w:name w:val="footer"/>
    <w:basedOn w:val="Normal"/>
    <w:link w:val="FooterChar"/>
    <w:uiPriority w:val="99"/>
    <w:unhideWhenUsed/>
    <w:rsid w:val="00FA1D9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A1D9C"/>
    <w:rPr>
      <w:sz w:val="24"/>
      <w:lang w:val="en-US"/>
      <w14:ligatures w14:val="none"/>
    </w:rPr>
  </w:style>
  <w:style w:type="paragraph" w:customStyle="1" w:styleId="EndNoteBibliographyTitle">
    <w:name w:val="EndNote Bibliography Title"/>
    <w:basedOn w:val="Normal"/>
    <w:link w:val="EndNoteBibliographyTitleChar"/>
    <w:rsid w:val="00FA1D9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FA1D9C"/>
    <w:rPr>
      <w:rFonts w:ascii="Calibri" w:hAnsi="Calibri" w:cs="Calibri"/>
      <w:noProof/>
      <w:sz w:val="24"/>
      <w:lang w:val="en-US"/>
      <w14:ligatures w14:val="none"/>
    </w:rPr>
  </w:style>
  <w:style w:type="paragraph" w:styleId="NormalWeb">
    <w:name w:val="Normal (Web)"/>
    <w:basedOn w:val="Normal"/>
    <w:uiPriority w:val="99"/>
    <w:semiHidden/>
    <w:unhideWhenUsed/>
    <w:rsid w:val="00FA1D9C"/>
    <w:pPr>
      <w:spacing w:before="100" w:beforeAutospacing="1" w:after="100" w:afterAutospacing="1" w:line="240" w:lineRule="auto"/>
    </w:pPr>
    <w:rPr>
      <w:rFonts w:ascii="Times New Roman" w:eastAsia="Times New Roman" w:hAnsi="Times New Roman" w:cs="Times New Roman"/>
      <w:szCs w:val="24"/>
    </w:rPr>
  </w:style>
  <w:style w:type="character" w:customStyle="1" w:styleId="UnresolvedMention1">
    <w:name w:val="Unresolved Mention1"/>
    <w:basedOn w:val="DefaultParagraphFont"/>
    <w:uiPriority w:val="99"/>
    <w:semiHidden/>
    <w:unhideWhenUsed/>
    <w:rsid w:val="00FA1D9C"/>
    <w:rPr>
      <w:color w:val="605E5C"/>
      <w:shd w:val="clear" w:color="auto" w:fill="E1DFDD"/>
    </w:rPr>
  </w:style>
  <w:style w:type="character" w:styleId="Strong">
    <w:name w:val="Strong"/>
    <w:basedOn w:val="DefaultParagraphFont"/>
    <w:uiPriority w:val="22"/>
    <w:qFormat/>
    <w:rsid w:val="00FA1D9C"/>
    <w:rPr>
      <w:b/>
      <w:bCs/>
    </w:rPr>
  </w:style>
  <w:style w:type="character" w:styleId="CommentReference">
    <w:name w:val="annotation reference"/>
    <w:basedOn w:val="DefaultParagraphFont"/>
    <w:uiPriority w:val="99"/>
    <w:semiHidden/>
    <w:unhideWhenUsed/>
    <w:rsid w:val="00FA1D9C"/>
    <w:rPr>
      <w:sz w:val="16"/>
      <w:szCs w:val="16"/>
    </w:rPr>
  </w:style>
  <w:style w:type="paragraph" w:styleId="CommentText">
    <w:name w:val="annotation text"/>
    <w:basedOn w:val="Normal"/>
    <w:link w:val="CommentTextChar"/>
    <w:uiPriority w:val="99"/>
    <w:unhideWhenUsed/>
    <w:rsid w:val="00FA1D9C"/>
    <w:pPr>
      <w:spacing w:line="240" w:lineRule="auto"/>
    </w:pPr>
    <w:rPr>
      <w:sz w:val="20"/>
      <w:szCs w:val="20"/>
    </w:rPr>
  </w:style>
  <w:style w:type="character" w:customStyle="1" w:styleId="CommentTextChar">
    <w:name w:val="Comment Text Char"/>
    <w:basedOn w:val="DefaultParagraphFont"/>
    <w:link w:val="CommentText"/>
    <w:uiPriority w:val="99"/>
    <w:rsid w:val="00FA1D9C"/>
    <w:rPr>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FA1D9C"/>
    <w:rPr>
      <w:b/>
      <w:bCs/>
    </w:rPr>
  </w:style>
  <w:style w:type="character" w:customStyle="1" w:styleId="CommentSubjectChar">
    <w:name w:val="Comment Subject Char"/>
    <w:basedOn w:val="CommentTextChar"/>
    <w:link w:val="CommentSubject"/>
    <w:uiPriority w:val="99"/>
    <w:semiHidden/>
    <w:rsid w:val="00FA1D9C"/>
    <w:rPr>
      <w:b/>
      <w:bCs/>
      <w:sz w:val="20"/>
      <w:szCs w:val="20"/>
      <w:lang w:val="en-US"/>
      <w14:ligatures w14:val="none"/>
    </w:rPr>
  </w:style>
  <w:style w:type="paragraph" w:styleId="Caption">
    <w:name w:val="caption"/>
    <w:basedOn w:val="Normal"/>
    <w:next w:val="Normal"/>
    <w:uiPriority w:val="35"/>
    <w:unhideWhenUsed/>
    <w:qFormat/>
    <w:rsid w:val="00FA1D9C"/>
    <w:pPr>
      <w:spacing w:after="200" w:line="240" w:lineRule="auto"/>
    </w:pPr>
    <w:rPr>
      <w:i/>
      <w:iCs/>
      <w:color w:val="0E2841" w:themeColor="text2"/>
      <w:sz w:val="18"/>
      <w:szCs w:val="18"/>
    </w:rPr>
  </w:style>
  <w:style w:type="table" w:customStyle="1" w:styleId="Ljuslista-dekorfrg31">
    <w:name w:val="Ljus lista - dekorfärg 31"/>
    <w:basedOn w:val="TableNormal"/>
    <w:next w:val="LightList-Accent3"/>
    <w:uiPriority w:val="61"/>
    <w:semiHidden/>
    <w:unhideWhenUsed/>
    <w:rsid w:val="00FA1D9C"/>
    <w:pPr>
      <w:spacing w:after="0" w:line="240" w:lineRule="auto"/>
    </w:pPr>
    <w:rPr>
      <w:rFonts w:ascii="Times New Roman" w:eastAsia="Times New Roman" w:hAnsi="Times New Roman" w:cs="Times New Roman"/>
      <w:sz w:val="20"/>
      <w:szCs w:val="20"/>
      <w:lang w:eastAsia="sv-SE"/>
      <w14:ligatures w14:val="none"/>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LightList-Accent3">
    <w:name w:val="Light List Accent 3"/>
    <w:basedOn w:val="TableNormal"/>
    <w:uiPriority w:val="61"/>
    <w:semiHidden/>
    <w:unhideWhenUsed/>
    <w:rsid w:val="00FA1D9C"/>
    <w:pPr>
      <w:spacing w:after="0" w:line="240" w:lineRule="auto"/>
    </w:pPr>
    <w:rPr>
      <w:lang w:val="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TableGrid">
    <w:name w:val="Table Grid"/>
    <w:basedOn w:val="TableNormal"/>
    <w:uiPriority w:val="39"/>
    <w:rsid w:val="00FA1D9C"/>
    <w:pPr>
      <w:spacing w:after="0" w:line="240" w:lineRule="auto"/>
    </w:pPr>
    <w:rPr>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FA1D9C"/>
    <w:rPr>
      <w:color w:val="605E5C"/>
      <w:shd w:val="clear" w:color="auto" w:fill="E1DFDD"/>
    </w:rPr>
  </w:style>
  <w:style w:type="character" w:styleId="UnresolvedMention">
    <w:name w:val="Unresolved Mention"/>
    <w:basedOn w:val="DefaultParagraphFont"/>
    <w:uiPriority w:val="99"/>
    <w:semiHidden/>
    <w:unhideWhenUsed/>
    <w:rsid w:val="00FA1D9C"/>
    <w:rPr>
      <w:color w:val="605E5C"/>
      <w:shd w:val="clear" w:color="auto" w:fill="E1DFDD"/>
    </w:rPr>
  </w:style>
  <w:style w:type="character" w:styleId="LineNumber">
    <w:name w:val="line number"/>
    <w:basedOn w:val="DefaultParagraphFont"/>
    <w:uiPriority w:val="99"/>
    <w:semiHidden/>
    <w:unhideWhenUsed/>
    <w:rsid w:val="00FA1D9C"/>
  </w:style>
  <w:style w:type="paragraph" w:customStyle="1" w:styleId="msonormal0">
    <w:name w:val="msonormal"/>
    <w:basedOn w:val="Normal"/>
    <w:rsid w:val="00FA1D9C"/>
    <w:pPr>
      <w:spacing w:before="100" w:beforeAutospacing="1" w:after="100" w:afterAutospacing="1" w:line="240" w:lineRule="auto"/>
    </w:pPr>
    <w:rPr>
      <w:rFonts w:ascii="Times New Roman" w:eastAsia="Times New Roman" w:hAnsi="Times New Roman" w:cs="Times New Roman"/>
      <w:szCs w:val="24"/>
    </w:rPr>
  </w:style>
  <w:style w:type="paragraph" w:customStyle="1" w:styleId="xl63">
    <w:name w:val="xl63"/>
    <w:basedOn w:val="Normal"/>
    <w:rsid w:val="00FA1D9C"/>
    <w:pPr>
      <w:spacing w:before="100" w:beforeAutospacing="1" w:after="100" w:afterAutospacing="1" w:line="240" w:lineRule="auto"/>
    </w:pPr>
    <w:rPr>
      <w:rFonts w:ascii="Times New Roman" w:eastAsia="Times New Roman" w:hAnsi="Times New Roman" w:cs="Times New Roman"/>
      <w:i/>
      <w:iCs/>
      <w:szCs w:val="24"/>
    </w:rPr>
  </w:style>
  <w:style w:type="paragraph" w:customStyle="1" w:styleId="xl64">
    <w:name w:val="xl64"/>
    <w:basedOn w:val="Normal"/>
    <w:rsid w:val="00FA1D9C"/>
    <w:pPr>
      <w:spacing w:before="100" w:beforeAutospacing="1" w:after="100" w:afterAutospacing="1" w:line="240" w:lineRule="auto"/>
    </w:pPr>
    <w:rPr>
      <w:rFonts w:ascii="Times New Roman" w:eastAsia="Times New Roman" w:hAnsi="Times New Roman" w:cs="Times New Roman"/>
      <w:b/>
      <w:bCs/>
      <w:szCs w:val="24"/>
    </w:rPr>
  </w:style>
  <w:style w:type="paragraph" w:styleId="Revision">
    <w:name w:val="Revision"/>
    <w:hidden/>
    <w:uiPriority w:val="99"/>
    <w:semiHidden/>
    <w:rsid w:val="00FA1D9C"/>
    <w:pPr>
      <w:spacing w:after="0" w:line="240" w:lineRule="auto"/>
    </w:pPr>
    <w:rPr>
      <w:sz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19635-783C-4B60-B3DB-34A2703F2A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9584</Words>
  <Characters>50798</Characters>
  <Application>Microsoft Office Word</Application>
  <DocSecurity>0</DocSecurity>
  <Lines>423</Lines>
  <Paragraphs>120</Paragraphs>
  <ScaleCrop>false</ScaleCrop>
  <Company/>
  <LinksUpToDate>false</LinksUpToDate>
  <CharactersWithSpaces>60262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L</dc:creator>
  <cp:keywords/>
  <dc:description/>
  <cp:lastModifiedBy>Erik L</cp:lastModifiedBy>
  <cp:revision>3</cp:revision>
  <dcterms:created xsi:type="dcterms:W3CDTF">2025-01-09T20:53:00Z</dcterms:created>
  <dcterms:modified xsi:type="dcterms:W3CDTF">2025-01-09T21:46:00Z</dcterms:modified>
</cp:coreProperties>
</file>