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1610" w:type="dxa"/>
        <w:tblInd w:w="-995" w:type="dxa"/>
        <w:tblLook w:val="04A0" w:firstRow="1" w:lastRow="0" w:firstColumn="1" w:lastColumn="0" w:noHBand="0" w:noVBand="1"/>
      </w:tblPr>
      <w:tblGrid>
        <w:gridCol w:w="5130"/>
        <w:gridCol w:w="3780"/>
        <w:gridCol w:w="2700"/>
      </w:tblGrid>
      <w:tr w:rsidR="006C7290" w:rsidRPr="006D57FF" w14:paraId="7A144D27" w14:textId="77777777" w:rsidTr="00A54102">
        <w:trPr>
          <w:trHeight w:val="291"/>
        </w:trPr>
        <w:tc>
          <w:tcPr>
            <w:tcW w:w="5130" w:type="dxa"/>
          </w:tcPr>
          <w:p w14:paraId="356D5703" w14:textId="4BAEBB06" w:rsidR="006C7290" w:rsidRPr="006D57FF" w:rsidRDefault="006C7290">
            <w:pPr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</w:pPr>
            <w:r w:rsidRPr="006D57FF"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  <w:t>Symptom</w:t>
            </w:r>
          </w:p>
        </w:tc>
        <w:tc>
          <w:tcPr>
            <w:tcW w:w="3780" w:type="dxa"/>
          </w:tcPr>
          <w:p w14:paraId="7F11944E" w14:textId="47E27C51" w:rsidR="006C7290" w:rsidRPr="006D57FF" w:rsidRDefault="006C7290">
            <w:pPr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</w:pPr>
            <w:r w:rsidRPr="006D57FF"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  <w:t>Note</w:t>
            </w:r>
          </w:p>
        </w:tc>
        <w:tc>
          <w:tcPr>
            <w:tcW w:w="2700" w:type="dxa"/>
          </w:tcPr>
          <w:p w14:paraId="3EAFD1E6" w14:textId="0810942F" w:rsidR="006C7290" w:rsidRPr="006D57FF" w:rsidRDefault="006C7290">
            <w:pPr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</w:pPr>
            <w:r w:rsidRPr="006D57FF">
              <w:rPr>
                <w:rFonts w:ascii="Arial" w:hAnsi="Arial" w:cs="Arial"/>
                <w:b/>
                <w:bCs/>
                <w:sz w:val="21"/>
                <w:szCs w:val="21"/>
                <w:u w:val="single"/>
              </w:rPr>
              <w:t>Reference</w:t>
            </w:r>
          </w:p>
        </w:tc>
      </w:tr>
      <w:tr w:rsidR="006C7290" w:rsidRPr="006D57FF" w14:paraId="6F24E79B" w14:textId="77777777" w:rsidTr="00A54102">
        <w:trPr>
          <w:trHeight w:val="278"/>
        </w:trPr>
        <w:tc>
          <w:tcPr>
            <w:tcW w:w="5130" w:type="dxa"/>
          </w:tcPr>
          <w:p w14:paraId="045497B7" w14:textId="5983F382" w:rsidR="006C7290" w:rsidRPr="006D57FF" w:rsidRDefault="006C7290">
            <w:pPr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</w:pPr>
            <w:r w:rsidRPr="006D57FF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Motor alterations symptoms</w:t>
            </w:r>
          </w:p>
        </w:tc>
        <w:tc>
          <w:tcPr>
            <w:tcW w:w="3780" w:type="dxa"/>
          </w:tcPr>
          <w:p w14:paraId="47592EBE" w14:textId="77777777" w:rsidR="006C7290" w:rsidRPr="006D57FF" w:rsidRDefault="006C7290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700" w:type="dxa"/>
          </w:tcPr>
          <w:p w14:paraId="3C4CF377" w14:textId="60736E3E" w:rsidR="006C7290" w:rsidRPr="006D57FF" w:rsidRDefault="006C7290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90C2A" w:rsidRPr="006D57FF" w14:paraId="26C95CF1" w14:textId="77777777" w:rsidTr="00A54102">
        <w:trPr>
          <w:trHeight w:val="584"/>
        </w:trPr>
        <w:tc>
          <w:tcPr>
            <w:tcW w:w="5130" w:type="dxa"/>
          </w:tcPr>
          <w:p w14:paraId="31DD362F" w14:textId="2BAC4F1E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Variable tremor and dystonia of the hands, feet, and face</w:t>
            </w:r>
          </w:p>
        </w:tc>
        <w:tc>
          <w:tcPr>
            <w:tcW w:w="3780" w:type="dxa"/>
          </w:tcPr>
          <w:p w14:paraId="7C52B155" w14:textId="77777777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(Jab’16)</w:t>
            </w:r>
          </w:p>
          <w:p w14:paraId="4A746B27" w14:textId="1820C927" w:rsidR="000C3F38" w:rsidRPr="006D57FF" w:rsidRDefault="006C2567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2 out of 3</w:t>
            </w:r>
            <w:r w:rsidR="000C3F38" w:rsidRPr="006D57FF">
              <w:rPr>
                <w:rFonts w:ascii="Arial" w:hAnsi="Arial" w:cs="Arial"/>
                <w:sz w:val="21"/>
                <w:szCs w:val="21"/>
              </w:rPr>
              <w:t xml:space="preserve"> (Cart’19)</w:t>
            </w:r>
          </w:p>
        </w:tc>
        <w:tc>
          <w:tcPr>
            <w:tcW w:w="2700" w:type="dxa"/>
          </w:tcPr>
          <w:p w14:paraId="66D9FD39" w14:textId="77777777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Jaberi et al. (2016) </w:t>
            </w:r>
          </w:p>
          <w:p w14:paraId="0E7482C4" w14:textId="53D45BDB" w:rsidR="000C3F38" w:rsidRPr="006D57FF" w:rsidRDefault="000C3F38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 xml:space="preserve">Carter et al. </w:t>
            </w:r>
            <w:r w:rsidRPr="006D57FF">
              <w:rPr>
                <w:rFonts w:ascii="Arial" w:hAnsi="Arial" w:cs="Arial"/>
                <w:sz w:val="21"/>
                <w:szCs w:val="21"/>
              </w:rPr>
              <w:t>(2019) </w:t>
            </w:r>
          </w:p>
        </w:tc>
      </w:tr>
      <w:tr w:rsidR="00190C2A" w:rsidRPr="006D57FF" w14:paraId="239C79E7" w14:textId="77777777" w:rsidTr="00A54102">
        <w:trPr>
          <w:trHeight w:val="291"/>
        </w:trPr>
        <w:tc>
          <w:tcPr>
            <w:tcW w:w="5130" w:type="dxa"/>
          </w:tcPr>
          <w:p w14:paraId="7CFFF9C3" w14:textId="3BB5F1FC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Ataxia</w:t>
            </w:r>
          </w:p>
        </w:tc>
        <w:tc>
          <w:tcPr>
            <w:tcW w:w="3780" w:type="dxa"/>
          </w:tcPr>
          <w:p w14:paraId="09474095" w14:textId="77777777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(Jab’16)</w:t>
            </w:r>
          </w:p>
          <w:p w14:paraId="42C2CCEA" w14:textId="106401AE" w:rsidR="000C3F38" w:rsidRPr="006D57FF" w:rsidRDefault="000C3F38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Bert’19 says not present</w:t>
            </w:r>
          </w:p>
          <w:p w14:paraId="76B313FD" w14:textId="605E7488" w:rsidR="000C3F38" w:rsidRPr="006D57FF" w:rsidRDefault="000C3F38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(Cart’19)</w:t>
            </w:r>
          </w:p>
        </w:tc>
        <w:tc>
          <w:tcPr>
            <w:tcW w:w="2700" w:type="dxa"/>
          </w:tcPr>
          <w:p w14:paraId="4110714A" w14:textId="77777777" w:rsidR="000C3F38" w:rsidRPr="006D57FF" w:rsidRDefault="000C3F38" w:rsidP="000C3F38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Jaberi et al. (2016) </w:t>
            </w:r>
          </w:p>
          <w:p w14:paraId="2ED6F196" w14:textId="77777777" w:rsidR="000C3F38" w:rsidRPr="006D57FF" w:rsidRDefault="000C3F38" w:rsidP="000C3F38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 xml:space="preserve">Bertoli-Avella et al. </w:t>
            </w:r>
            <w:r w:rsidRPr="006D57FF">
              <w:rPr>
                <w:rFonts w:ascii="Arial" w:hAnsi="Arial" w:cs="Arial"/>
                <w:sz w:val="21"/>
                <w:szCs w:val="21"/>
              </w:rPr>
              <w:t>(2018) </w:t>
            </w:r>
          </w:p>
          <w:p w14:paraId="031DA701" w14:textId="06FEC8D5" w:rsidR="00190C2A" w:rsidRPr="006D57FF" w:rsidRDefault="000C3F38" w:rsidP="000C3F38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Carter et al. (2019) </w:t>
            </w:r>
          </w:p>
        </w:tc>
      </w:tr>
      <w:tr w:rsidR="00190C2A" w:rsidRPr="006D57FF" w14:paraId="51A56BC9" w14:textId="77777777" w:rsidTr="00A54102">
        <w:trPr>
          <w:trHeight w:val="291"/>
        </w:trPr>
        <w:tc>
          <w:tcPr>
            <w:tcW w:w="5130" w:type="dxa"/>
          </w:tcPr>
          <w:p w14:paraId="450C47A6" w14:textId="24CD64E4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Mildly abnormal finger-nose test,</w:t>
            </w:r>
          </w:p>
        </w:tc>
        <w:tc>
          <w:tcPr>
            <w:tcW w:w="3780" w:type="dxa"/>
          </w:tcPr>
          <w:p w14:paraId="1D52354A" w14:textId="58CD2FA4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(Jab’16)</w:t>
            </w:r>
          </w:p>
        </w:tc>
        <w:tc>
          <w:tcPr>
            <w:tcW w:w="2700" w:type="dxa"/>
          </w:tcPr>
          <w:p w14:paraId="0325867F" w14:textId="0A8CC489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Jaberi et al. (2016) </w:t>
            </w:r>
          </w:p>
        </w:tc>
      </w:tr>
      <w:tr w:rsidR="00190C2A" w:rsidRPr="006D57FF" w14:paraId="573E372D" w14:textId="77777777" w:rsidTr="00A54102">
        <w:trPr>
          <w:trHeight w:val="278"/>
        </w:trPr>
        <w:tc>
          <w:tcPr>
            <w:tcW w:w="5130" w:type="dxa"/>
          </w:tcPr>
          <w:p w14:paraId="17EC7E8B" w14:textId="10FD9548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Dysmetria</w:t>
            </w:r>
          </w:p>
        </w:tc>
        <w:tc>
          <w:tcPr>
            <w:tcW w:w="3780" w:type="dxa"/>
          </w:tcPr>
          <w:p w14:paraId="3CEEB404" w14:textId="4EC9B6D9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(Jab’16)</w:t>
            </w:r>
          </w:p>
        </w:tc>
        <w:tc>
          <w:tcPr>
            <w:tcW w:w="2700" w:type="dxa"/>
          </w:tcPr>
          <w:p w14:paraId="66BF62CD" w14:textId="555C6A73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Jaberi et al. (2016) </w:t>
            </w:r>
          </w:p>
        </w:tc>
      </w:tr>
      <w:tr w:rsidR="00190C2A" w:rsidRPr="006D57FF" w14:paraId="2D9771D2" w14:textId="77777777" w:rsidTr="00A54102">
        <w:trPr>
          <w:trHeight w:val="291"/>
        </w:trPr>
        <w:tc>
          <w:tcPr>
            <w:tcW w:w="5130" w:type="dxa"/>
          </w:tcPr>
          <w:p w14:paraId="3AC1A080" w14:textId="2327DD94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Hyporeflexia at the ankles and abnormal plantar reflexes</w:t>
            </w:r>
          </w:p>
        </w:tc>
        <w:tc>
          <w:tcPr>
            <w:tcW w:w="3780" w:type="dxa"/>
          </w:tcPr>
          <w:p w14:paraId="4C05EDCC" w14:textId="4A47CDA7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(Jab’16)</w:t>
            </w:r>
          </w:p>
        </w:tc>
        <w:tc>
          <w:tcPr>
            <w:tcW w:w="2700" w:type="dxa"/>
          </w:tcPr>
          <w:p w14:paraId="31373275" w14:textId="58EF6EA2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Jaberi et al. (2016) </w:t>
            </w:r>
          </w:p>
        </w:tc>
      </w:tr>
      <w:tr w:rsidR="00190C2A" w:rsidRPr="006D57FF" w14:paraId="79CF5BDE" w14:textId="77777777" w:rsidTr="00A54102">
        <w:trPr>
          <w:trHeight w:val="291"/>
        </w:trPr>
        <w:tc>
          <w:tcPr>
            <w:tcW w:w="5130" w:type="dxa"/>
          </w:tcPr>
          <w:p w14:paraId="2FFD3A0E" w14:textId="2775B201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Decreased distal muscle tone and strength (chronic motor neuronopathy in all extremities)</w:t>
            </w:r>
          </w:p>
        </w:tc>
        <w:tc>
          <w:tcPr>
            <w:tcW w:w="3780" w:type="dxa"/>
          </w:tcPr>
          <w:p w14:paraId="137F7881" w14:textId="77777777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2 patients out of 3 (Jab’16)</w:t>
            </w:r>
          </w:p>
          <w:p w14:paraId="20A8F32B" w14:textId="3D05D3B9" w:rsidR="0002158E" w:rsidRPr="006D57FF" w:rsidRDefault="0002158E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2 siblings clear musc. atrophy (Abdi Rad’21)</w:t>
            </w:r>
          </w:p>
        </w:tc>
        <w:tc>
          <w:tcPr>
            <w:tcW w:w="2700" w:type="dxa"/>
          </w:tcPr>
          <w:p w14:paraId="3C658686" w14:textId="77777777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Jaberi et al. (2016) </w:t>
            </w:r>
          </w:p>
          <w:p w14:paraId="0C85886C" w14:textId="34B0393D" w:rsidR="0002158E" w:rsidRPr="006D57FF" w:rsidRDefault="0002158E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 xml:space="preserve">Abdi Rad et al. </w:t>
            </w:r>
            <w:r w:rsidRPr="006D57FF">
              <w:rPr>
                <w:rFonts w:ascii="Arial" w:hAnsi="Arial" w:cs="Arial"/>
                <w:sz w:val="21"/>
                <w:szCs w:val="21"/>
              </w:rPr>
              <w:t>(2021)</w:t>
            </w:r>
          </w:p>
        </w:tc>
      </w:tr>
      <w:tr w:rsidR="00190C2A" w:rsidRPr="006D57FF" w14:paraId="21A1B105" w14:textId="77777777" w:rsidTr="00A54102">
        <w:trPr>
          <w:trHeight w:val="291"/>
        </w:trPr>
        <w:tc>
          <w:tcPr>
            <w:tcW w:w="5130" w:type="dxa"/>
          </w:tcPr>
          <w:p w14:paraId="74854CCE" w14:textId="04BECF50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Generalized seizures</w:t>
            </w:r>
          </w:p>
        </w:tc>
        <w:tc>
          <w:tcPr>
            <w:tcW w:w="3780" w:type="dxa"/>
          </w:tcPr>
          <w:p w14:paraId="7F329AC4" w14:textId="77777777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1 patient (Jab’16)</w:t>
            </w:r>
          </w:p>
          <w:p w14:paraId="1E824773" w14:textId="77777777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(Bert’18)</w:t>
            </w:r>
          </w:p>
          <w:p w14:paraId="3F072133" w14:textId="77777777" w:rsidR="000C3F38" w:rsidRPr="006D57FF" w:rsidRDefault="000C3F38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(Cart’19)</w:t>
            </w:r>
          </w:p>
          <w:p w14:paraId="38E07F76" w14:textId="36D4B3A6" w:rsidR="006C2567" w:rsidRPr="006D57FF" w:rsidRDefault="006C2567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9/16 (Sal’24</w:t>
            </w:r>
            <w:r w:rsidR="00105DEB" w:rsidRPr="006D57FF">
              <w:rPr>
                <w:rFonts w:ascii="Arial" w:hAnsi="Arial" w:cs="Arial"/>
                <w:sz w:val="21"/>
                <w:szCs w:val="21"/>
              </w:rPr>
              <w:t>)</w:t>
            </w:r>
          </w:p>
        </w:tc>
        <w:tc>
          <w:tcPr>
            <w:tcW w:w="2700" w:type="dxa"/>
          </w:tcPr>
          <w:p w14:paraId="44849071" w14:textId="77777777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Jaberi et al. (2016) </w:t>
            </w:r>
          </w:p>
          <w:p w14:paraId="466089FD" w14:textId="77777777" w:rsidR="00190C2A" w:rsidRPr="006D57FF" w:rsidRDefault="00190C2A" w:rsidP="006C7290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Bertoli-Avella et al. (2018) </w:t>
            </w:r>
          </w:p>
          <w:p w14:paraId="6CE6C3DD" w14:textId="77777777" w:rsidR="000C3F38" w:rsidRPr="006D57FF" w:rsidRDefault="000C3F38" w:rsidP="006C7290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Carter et al. (2019) </w:t>
            </w:r>
          </w:p>
          <w:p w14:paraId="178698D4" w14:textId="6BF4E500" w:rsidR="006C2567" w:rsidRPr="006D57FF" w:rsidRDefault="006C2567" w:rsidP="006C7290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 xml:space="preserve">Salpietro et al. </w:t>
            </w:r>
            <w:r w:rsidRPr="006D57FF">
              <w:rPr>
                <w:rFonts w:ascii="Arial" w:hAnsi="Arial" w:cs="Arial"/>
                <w:sz w:val="21"/>
                <w:szCs w:val="21"/>
              </w:rPr>
              <w:t>(2024)</w:t>
            </w:r>
          </w:p>
        </w:tc>
      </w:tr>
      <w:tr w:rsidR="00190C2A" w:rsidRPr="006D57FF" w14:paraId="18576ECD" w14:textId="77777777" w:rsidTr="00A54102">
        <w:trPr>
          <w:trHeight w:val="291"/>
        </w:trPr>
        <w:tc>
          <w:tcPr>
            <w:tcW w:w="5130" w:type="dxa"/>
          </w:tcPr>
          <w:p w14:paraId="7C1B2412" w14:textId="758BA759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Hypotonia</w:t>
            </w:r>
            <w:r w:rsidR="00A854D1" w:rsidRPr="006D57FF">
              <w:rPr>
                <w:rFonts w:ascii="Arial" w:hAnsi="Arial" w:cs="Arial"/>
                <w:sz w:val="21"/>
                <w:szCs w:val="21"/>
              </w:rPr>
              <w:t xml:space="preserve"> (esp truncal)</w:t>
            </w:r>
          </w:p>
        </w:tc>
        <w:tc>
          <w:tcPr>
            <w:tcW w:w="3780" w:type="dxa"/>
          </w:tcPr>
          <w:p w14:paraId="014A3868" w14:textId="77777777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(Bert’18) (no ataxia)</w:t>
            </w:r>
          </w:p>
          <w:p w14:paraId="0A961990" w14:textId="61F12404" w:rsidR="00DC2964" w:rsidRPr="006D57FF" w:rsidRDefault="00DC2964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1 out of 3 (Cart’19)</w:t>
            </w:r>
          </w:p>
          <w:p w14:paraId="3843C625" w14:textId="4B879A3B" w:rsidR="00C57EFB" w:rsidRPr="006D57FF" w:rsidRDefault="00C57EFB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13/16 (Sal’24)</w:t>
            </w:r>
          </w:p>
        </w:tc>
        <w:tc>
          <w:tcPr>
            <w:tcW w:w="2700" w:type="dxa"/>
          </w:tcPr>
          <w:p w14:paraId="4091B9AC" w14:textId="77777777" w:rsidR="00C57EFB" w:rsidRPr="006D57FF" w:rsidRDefault="00190C2A" w:rsidP="0095136A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Bertoli-Avella et al. (2018)</w:t>
            </w:r>
          </w:p>
          <w:p w14:paraId="38355713" w14:textId="03137233" w:rsidR="00DC2964" w:rsidRPr="006D57FF" w:rsidRDefault="00DC2964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 xml:space="preserve">Carter et al. </w:t>
            </w:r>
            <w:r w:rsidRPr="006D57FF">
              <w:rPr>
                <w:rFonts w:ascii="Arial" w:hAnsi="Arial" w:cs="Arial"/>
                <w:sz w:val="21"/>
                <w:szCs w:val="21"/>
              </w:rPr>
              <w:t>(2019) </w:t>
            </w:r>
          </w:p>
          <w:p w14:paraId="1B1539CF" w14:textId="318CDCD1" w:rsidR="00190C2A" w:rsidRPr="006D57FF" w:rsidRDefault="00C57EFB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Salpietro et al. (2024)</w:t>
            </w:r>
            <w:r w:rsidR="00190C2A" w:rsidRPr="006D57FF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190C2A" w:rsidRPr="006D57FF" w14:paraId="516B75C3" w14:textId="77777777" w:rsidTr="00A54102">
        <w:trPr>
          <w:trHeight w:val="291"/>
        </w:trPr>
        <w:tc>
          <w:tcPr>
            <w:tcW w:w="5130" w:type="dxa"/>
          </w:tcPr>
          <w:p w14:paraId="29A59711" w14:textId="1E6954FA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Spasticity</w:t>
            </w:r>
          </w:p>
        </w:tc>
        <w:tc>
          <w:tcPr>
            <w:tcW w:w="3780" w:type="dxa"/>
          </w:tcPr>
          <w:p w14:paraId="50A13B05" w14:textId="345571E7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(Bert’18) (no ataxia)</w:t>
            </w:r>
          </w:p>
        </w:tc>
        <w:tc>
          <w:tcPr>
            <w:tcW w:w="2700" w:type="dxa"/>
          </w:tcPr>
          <w:p w14:paraId="54621278" w14:textId="21768473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Bertoli-Avella et al. (2018) </w:t>
            </w:r>
          </w:p>
        </w:tc>
      </w:tr>
      <w:tr w:rsidR="00190C2A" w:rsidRPr="006D57FF" w14:paraId="4F75B9F8" w14:textId="77777777" w:rsidTr="00A54102">
        <w:trPr>
          <w:trHeight w:val="291"/>
        </w:trPr>
        <w:tc>
          <w:tcPr>
            <w:tcW w:w="5130" w:type="dxa"/>
          </w:tcPr>
          <w:p w14:paraId="3C310004" w14:textId="1FD409FE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Choreoathetosis</w:t>
            </w:r>
          </w:p>
        </w:tc>
        <w:tc>
          <w:tcPr>
            <w:tcW w:w="3780" w:type="dxa"/>
          </w:tcPr>
          <w:p w14:paraId="4DCC6571" w14:textId="77777777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(Bert’18) (no ataxia)</w:t>
            </w:r>
          </w:p>
          <w:p w14:paraId="3EDA5FF6" w14:textId="7FFDD85C" w:rsidR="006C2567" w:rsidRPr="006D57FF" w:rsidRDefault="006C2567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2 out of 3 (Cart’19)</w:t>
            </w:r>
          </w:p>
        </w:tc>
        <w:tc>
          <w:tcPr>
            <w:tcW w:w="2700" w:type="dxa"/>
          </w:tcPr>
          <w:p w14:paraId="65378F7D" w14:textId="77777777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Bertoli-Avella et al. (2018) </w:t>
            </w:r>
          </w:p>
          <w:p w14:paraId="5AA03748" w14:textId="1F889956" w:rsidR="006C2567" w:rsidRPr="006D57FF" w:rsidRDefault="006C2567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 xml:space="preserve">Carter et al. </w:t>
            </w:r>
            <w:r w:rsidRPr="006D57FF">
              <w:rPr>
                <w:rFonts w:ascii="Arial" w:hAnsi="Arial" w:cs="Arial"/>
                <w:sz w:val="21"/>
                <w:szCs w:val="21"/>
              </w:rPr>
              <w:t>(2019) </w:t>
            </w:r>
          </w:p>
        </w:tc>
      </w:tr>
      <w:tr w:rsidR="006C2567" w:rsidRPr="006D57FF" w14:paraId="524C4BA3" w14:textId="77777777" w:rsidTr="00A54102">
        <w:trPr>
          <w:trHeight w:val="291"/>
        </w:trPr>
        <w:tc>
          <w:tcPr>
            <w:tcW w:w="5130" w:type="dxa"/>
          </w:tcPr>
          <w:p w14:paraId="378FA9AA" w14:textId="0E6C9E00" w:rsidR="006C2567" w:rsidRPr="006D57FF" w:rsidRDefault="00105DEB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Tetraparesis</w:t>
            </w:r>
          </w:p>
        </w:tc>
        <w:tc>
          <w:tcPr>
            <w:tcW w:w="3780" w:type="dxa"/>
          </w:tcPr>
          <w:p w14:paraId="1D6CADE2" w14:textId="6C951EFE" w:rsidR="006C2567" w:rsidRPr="006D57FF" w:rsidRDefault="00105DEB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14/16 (Sal’24)</w:t>
            </w:r>
          </w:p>
        </w:tc>
        <w:tc>
          <w:tcPr>
            <w:tcW w:w="2700" w:type="dxa"/>
          </w:tcPr>
          <w:p w14:paraId="6D5789BF" w14:textId="2EB6B31F" w:rsidR="006C2567" w:rsidRPr="006D57FF" w:rsidRDefault="00105DEB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Salpietro et al. (2024) </w:t>
            </w:r>
          </w:p>
        </w:tc>
      </w:tr>
      <w:tr w:rsidR="0095136A" w:rsidRPr="006D57FF" w14:paraId="0EA71503" w14:textId="77777777" w:rsidTr="00A54102">
        <w:trPr>
          <w:trHeight w:val="291"/>
        </w:trPr>
        <w:tc>
          <w:tcPr>
            <w:tcW w:w="5130" w:type="dxa"/>
          </w:tcPr>
          <w:p w14:paraId="6ACA77F9" w14:textId="2B5D3107" w:rsidR="0095136A" w:rsidRPr="006D57FF" w:rsidRDefault="0095136A" w:rsidP="0095136A">
            <w:pPr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</w:pPr>
            <w:r w:rsidRPr="006D57FF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 xml:space="preserve">Intellectual </w:t>
            </w:r>
            <w:r w:rsidR="000C3F38" w:rsidRPr="006D57FF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dis</w:t>
            </w:r>
            <w:r w:rsidRPr="006D57FF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 xml:space="preserve">ability </w:t>
            </w:r>
          </w:p>
        </w:tc>
        <w:tc>
          <w:tcPr>
            <w:tcW w:w="3780" w:type="dxa"/>
          </w:tcPr>
          <w:p w14:paraId="50AFA1FB" w14:textId="77777777" w:rsidR="0095136A" w:rsidRPr="006D57FF" w:rsidRDefault="0095136A" w:rsidP="0095136A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700" w:type="dxa"/>
          </w:tcPr>
          <w:p w14:paraId="746981D7" w14:textId="1A808D0B" w:rsidR="0095136A" w:rsidRPr="006D57FF" w:rsidRDefault="0095136A" w:rsidP="0095136A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90C2A" w:rsidRPr="006D57FF" w14:paraId="707352BA" w14:textId="77777777" w:rsidTr="00A54102">
        <w:trPr>
          <w:trHeight w:val="584"/>
        </w:trPr>
        <w:tc>
          <w:tcPr>
            <w:tcW w:w="5130" w:type="dxa"/>
          </w:tcPr>
          <w:p w14:paraId="63DE6156" w14:textId="77777777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Impaired intellectual development </w:t>
            </w:r>
          </w:p>
          <w:p w14:paraId="3D928F53" w14:textId="11E23693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(more severe in Bert’18</w:t>
            </w:r>
            <w:r w:rsidR="000C3F38" w:rsidRPr="006D57FF">
              <w:rPr>
                <w:rFonts w:ascii="Arial" w:hAnsi="Arial" w:cs="Arial"/>
                <w:sz w:val="21"/>
                <w:szCs w:val="21"/>
              </w:rPr>
              <w:t xml:space="preserve"> and especially Cart’19</w:t>
            </w:r>
            <w:r w:rsidRPr="006D57FF">
              <w:rPr>
                <w:rFonts w:ascii="Arial" w:hAnsi="Arial" w:cs="Arial"/>
                <w:sz w:val="21"/>
                <w:szCs w:val="21"/>
              </w:rPr>
              <w:t>)</w:t>
            </w:r>
          </w:p>
        </w:tc>
        <w:tc>
          <w:tcPr>
            <w:tcW w:w="3780" w:type="dxa"/>
          </w:tcPr>
          <w:p w14:paraId="135EB74B" w14:textId="77777777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(Jab’16)</w:t>
            </w:r>
          </w:p>
          <w:p w14:paraId="41E0AC4B" w14:textId="77777777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(Bert’18)</w:t>
            </w:r>
          </w:p>
          <w:p w14:paraId="1254AF1C" w14:textId="77777777" w:rsidR="000C3F38" w:rsidRPr="006D57FF" w:rsidRDefault="000C3F38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(Cart’19)</w:t>
            </w:r>
          </w:p>
          <w:p w14:paraId="5F44C2FB" w14:textId="49CFF301" w:rsidR="00763F4B" w:rsidRPr="006D57FF" w:rsidRDefault="00763F4B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2 siblings (Abdi Rad’21)</w:t>
            </w:r>
          </w:p>
          <w:p w14:paraId="6347B7DD" w14:textId="2788ECED" w:rsidR="00C57EFB" w:rsidRPr="006D57FF" w:rsidRDefault="00C57EFB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14/16 “severe” Sal’24</w:t>
            </w:r>
          </w:p>
        </w:tc>
        <w:tc>
          <w:tcPr>
            <w:tcW w:w="2700" w:type="dxa"/>
          </w:tcPr>
          <w:p w14:paraId="092B1A5D" w14:textId="77777777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Jaberi et al. (2016) </w:t>
            </w:r>
          </w:p>
          <w:p w14:paraId="1CA697EA" w14:textId="77777777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Bertoli-Avella et al. (2018) </w:t>
            </w:r>
          </w:p>
          <w:p w14:paraId="1762F516" w14:textId="77777777" w:rsidR="000C3F38" w:rsidRPr="006D57FF" w:rsidRDefault="000C3F38" w:rsidP="0095136A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Carter et al. (2019) </w:t>
            </w:r>
          </w:p>
          <w:p w14:paraId="35FE9785" w14:textId="54450725" w:rsidR="00763F4B" w:rsidRPr="006D57FF" w:rsidRDefault="00763F4B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 xml:space="preserve">Abdi Rad et al. </w:t>
            </w:r>
            <w:r w:rsidRPr="006D57FF">
              <w:rPr>
                <w:rFonts w:ascii="Arial" w:hAnsi="Arial" w:cs="Arial"/>
                <w:sz w:val="21"/>
                <w:szCs w:val="21"/>
              </w:rPr>
              <w:t>(2021)</w:t>
            </w:r>
          </w:p>
          <w:p w14:paraId="3A913A38" w14:textId="4A61161F" w:rsidR="00C57EFB" w:rsidRPr="006D57FF" w:rsidRDefault="00C57EFB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Salpietro et al. (2024)</w:t>
            </w:r>
          </w:p>
        </w:tc>
      </w:tr>
      <w:tr w:rsidR="00190C2A" w:rsidRPr="006D57FF" w14:paraId="47EA2624" w14:textId="77777777" w:rsidTr="00A54102">
        <w:trPr>
          <w:trHeight w:val="291"/>
        </w:trPr>
        <w:tc>
          <w:tcPr>
            <w:tcW w:w="5130" w:type="dxa"/>
          </w:tcPr>
          <w:p w14:paraId="2C590977" w14:textId="3401D6EB" w:rsidR="00190C2A" w:rsidRPr="006D57FF" w:rsidRDefault="00190C2A" w:rsidP="00190C2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Delayed walking</w:t>
            </w:r>
          </w:p>
        </w:tc>
        <w:tc>
          <w:tcPr>
            <w:tcW w:w="3780" w:type="dxa"/>
          </w:tcPr>
          <w:p w14:paraId="4990D30A" w14:textId="77777777" w:rsidR="000C3F38" w:rsidRPr="006D57FF" w:rsidRDefault="000C3F38" w:rsidP="000C3F38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(Jab’16)</w:t>
            </w:r>
          </w:p>
          <w:p w14:paraId="53FD06B1" w14:textId="77777777" w:rsidR="000C3F38" w:rsidRPr="006D57FF" w:rsidRDefault="000C3F38" w:rsidP="000C3F38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(Bert’18)</w:t>
            </w:r>
          </w:p>
          <w:p w14:paraId="3E9F0609" w14:textId="2CF688E5" w:rsidR="00190C2A" w:rsidRPr="006D57FF" w:rsidRDefault="000C3F38" w:rsidP="000C3F38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(Cart’19)</w:t>
            </w:r>
          </w:p>
        </w:tc>
        <w:tc>
          <w:tcPr>
            <w:tcW w:w="2700" w:type="dxa"/>
          </w:tcPr>
          <w:p w14:paraId="00717CF8" w14:textId="77777777" w:rsidR="000C3F38" w:rsidRPr="006D57FF" w:rsidRDefault="000C3F38" w:rsidP="000C3F38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Jaberi et al. (2016) </w:t>
            </w:r>
          </w:p>
          <w:p w14:paraId="1CD3F2A3" w14:textId="77777777" w:rsidR="000C3F38" w:rsidRPr="006D57FF" w:rsidRDefault="000C3F38" w:rsidP="000C3F38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 xml:space="preserve">Bertoli-Avella et al. </w:t>
            </w:r>
            <w:r w:rsidRPr="006D57FF">
              <w:rPr>
                <w:rFonts w:ascii="Arial" w:hAnsi="Arial" w:cs="Arial"/>
                <w:sz w:val="21"/>
                <w:szCs w:val="21"/>
              </w:rPr>
              <w:t>(2018) </w:t>
            </w:r>
          </w:p>
          <w:p w14:paraId="6ECCF544" w14:textId="0A102811" w:rsidR="00190C2A" w:rsidRPr="006D57FF" w:rsidRDefault="000C3F38" w:rsidP="000C3F38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Carter et al. (2019) </w:t>
            </w:r>
          </w:p>
        </w:tc>
      </w:tr>
      <w:tr w:rsidR="00190C2A" w:rsidRPr="006D57FF" w14:paraId="7795B051" w14:textId="77777777" w:rsidTr="00A54102">
        <w:trPr>
          <w:trHeight w:val="291"/>
        </w:trPr>
        <w:tc>
          <w:tcPr>
            <w:tcW w:w="5130" w:type="dxa"/>
          </w:tcPr>
          <w:p w14:paraId="567CD2F0" w14:textId="67947C3C" w:rsidR="00190C2A" w:rsidRPr="006D57FF" w:rsidRDefault="00190C2A" w:rsidP="00190C2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Delayed speech</w:t>
            </w:r>
          </w:p>
        </w:tc>
        <w:tc>
          <w:tcPr>
            <w:tcW w:w="3780" w:type="dxa"/>
          </w:tcPr>
          <w:p w14:paraId="43F5C6CB" w14:textId="77777777" w:rsidR="000C3F38" w:rsidRPr="006D57FF" w:rsidRDefault="000C3F38" w:rsidP="000C3F38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(Jab’16)</w:t>
            </w:r>
          </w:p>
          <w:p w14:paraId="46D8341C" w14:textId="77777777" w:rsidR="000C3F38" w:rsidRPr="006D57FF" w:rsidRDefault="000C3F38" w:rsidP="000C3F38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(Bert’18)</w:t>
            </w:r>
          </w:p>
          <w:p w14:paraId="163ACAAD" w14:textId="6F53F242" w:rsidR="00190C2A" w:rsidRPr="006D57FF" w:rsidRDefault="000C3F38" w:rsidP="000C3F38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(Cart’19)</w:t>
            </w:r>
          </w:p>
        </w:tc>
        <w:tc>
          <w:tcPr>
            <w:tcW w:w="2700" w:type="dxa"/>
          </w:tcPr>
          <w:p w14:paraId="60EC0022" w14:textId="77777777" w:rsidR="000C3F38" w:rsidRPr="006D57FF" w:rsidRDefault="000C3F38" w:rsidP="000C3F38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Jaberi et al. (2016) </w:t>
            </w:r>
          </w:p>
          <w:p w14:paraId="58CE06C2" w14:textId="77777777" w:rsidR="000C3F38" w:rsidRPr="006D57FF" w:rsidRDefault="000C3F38" w:rsidP="000C3F38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 xml:space="preserve">Bertoli-Avella et al. </w:t>
            </w:r>
            <w:r w:rsidRPr="006D57FF">
              <w:rPr>
                <w:rFonts w:ascii="Arial" w:hAnsi="Arial" w:cs="Arial"/>
                <w:sz w:val="21"/>
                <w:szCs w:val="21"/>
              </w:rPr>
              <w:t>(2018) </w:t>
            </w:r>
          </w:p>
          <w:p w14:paraId="0DB5193B" w14:textId="72E61FEF" w:rsidR="00190C2A" w:rsidRPr="006D57FF" w:rsidRDefault="000C3F38" w:rsidP="000C3F38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Carter et al. (2019) </w:t>
            </w:r>
          </w:p>
        </w:tc>
      </w:tr>
      <w:tr w:rsidR="0095136A" w:rsidRPr="006D57FF" w14:paraId="43A10A11" w14:textId="77777777" w:rsidTr="00A54102">
        <w:trPr>
          <w:trHeight w:val="62"/>
        </w:trPr>
        <w:tc>
          <w:tcPr>
            <w:tcW w:w="5130" w:type="dxa"/>
          </w:tcPr>
          <w:p w14:paraId="33FAFC0E" w14:textId="69F85A35" w:rsidR="0095136A" w:rsidRPr="006D57FF" w:rsidRDefault="00190C2A" w:rsidP="0095136A">
            <w:pPr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</w:pPr>
            <w:r w:rsidRPr="006D57FF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General m</w:t>
            </w:r>
            <w:r w:rsidR="0095136A" w:rsidRPr="006D57FF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orphological changes</w:t>
            </w:r>
          </w:p>
        </w:tc>
        <w:tc>
          <w:tcPr>
            <w:tcW w:w="3780" w:type="dxa"/>
          </w:tcPr>
          <w:p w14:paraId="6B17F85C" w14:textId="77777777" w:rsidR="0095136A" w:rsidRPr="006D57FF" w:rsidRDefault="0095136A" w:rsidP="0095136A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700" w:type="dxa"/>
          </w:tcPr>
          <w:p w14:paraId="3EA4641A" w14:textId="7046E6FA" w:rsidR="0095136A" w:rsidRPr="006D57FF" w:rsidRDefault="0095136A" w:rsidP="0095136A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90C2A" w:rsidRPr="006D57FF" w14:paraId="5BEFF1E8" w14:textId="77777777" w:rsidTr="00A54102">
        <w:trPr>
          <w:trHeight w:val="291"/>
        </w:trPr>
        <w:tc>
          <w:tcPr>
            <w:tcW w:w="5130" w:type="dxa"/>
          </w:tcPr>
          <w:p w14:paraId="2F2BB5A4" w14:textId="504101C0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Scoliosis or kyphoscoliosis</w:t>
            </w:r>
          </w:p>
        </w:tc>
        <w:tc>
          <w:tcPr>
            <w:tcW w:w="3780" w:type="dxa"/>
          </w:tcPr>
          <w:p w14:paraId="3869C4E1" w14:textId="1FFDD234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 xml:space="preserve">2 patients out of 3 (Jab’16) </w:t>
            </w:r>
          </w:p>
        </w:tc>
        <w:tc>
          <w:tcPr>
            <w:tcW w:w="2700" w:type="dxa"/>
          </w:tcPr>
          <w:p w14:paraId="3AE41B16" w14:textId="0732C6EC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Jaberi et al. (2016) </w:t>
            </w:r>
          </w:p>
        </w:tc>
      </w:tr>
      <w:tr w:rsidR="00190C2A" w:rsidRPr="006D57FF" w14:paraId="482B1205" w14:textId="77777777" w:rsidTr="00A54102">
        <w:trPr>
          <w:trHeight w:val="278"/>
        </w:trPr>
        <w:tc>
          <w:tcPr>
            <w:tcW w:w="5130" w:type="dxa"/>
          </w:tcPr>
          <w:p w14:paraId="753A59F1" w14:textId="05E28318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Pectus carinatum</w:t>
            </w:r>
          </w:p>
        </w:tc>
        <w:tc>
          <w:tcPr>
            <w:tcW w:w="3780" w:type="dxa"/>
          </w:tcPr>
          <w:p w14:paraId="0166AF89" w14:textId="2FAB0C42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1 patient (Jab’16)</w:t>
            </w:r>
          </w:p>
        </w:tc>
        <w:tc>
          <w:tcPr>
            <w:tcW w:w="2700" w:type="dxa"/>
          </w:tcPr>
          <w:p w14:paraId="5A995A53" w14:textId="4205FB8A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Jaberi et al. (2016) </w:t>
            </w:r>
          </w:p>
        </w:tc>
      </w:tr>
      <w:tr w:rsidR="00190C2A" w:rsidRPr="006D57FF" w14:paraId="4246918D" w14:textId="77777777" w:rsidTr="00A54102">
        <w:trPr>
          <w:trHeight w:val="291"/>
        </w:trPr>
        <w:tc>
          <w:tcPr>
            <w:tcW w:w="5130" w:type="dxa"/>
          </w:tcPr>
          <w:p w14:paraId="58FE8928" w14:textId="32AE0892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Thin, sparse, brittle hair</w:t>
            </w:r>
          </w:p>
        </w:tc>
        <w:tc>
          <w:tcPr>
            <w:tcW w:w="3780" w:type="dxa"/>
          </w:tcPr>
          <w:p w14:paraId="3BEBDB2A" w14:textId="77777777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(Jab’16)</w:t>
            </w:r>
          </w:p>
          <w:p w14:paraId="2F4168C0" w14:textId="77777777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(Bert’18)</w:t>
            </w:r>
          </w:p>
          <w:p w14:paraId="085C0D7F" w14:textId="77777777" w:rsidR="000C3F38" w:rsidRPr="006D57FF" w:rsidRDefault="000C3F38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2 out of 3 (Cart’19)</w:t>
            </w:r>
          </w:p>
          <w:p w14:paraId="296AA4CC" w14:textId="6353C282" w:rsidR="00350369" w:rsidRPr="006D57FF" w:rsidRDefault="00350369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2 siblings (Abdi Rad’21)</w:t>
            </w:r>
          </w:p>
          <w:p w14:paraId="6018E8E9" w14:textId="205EF38E" w:rsidR="00C57EFB" w:rsidRPr="006D57FF" w:rsidRDefault="00C57EFB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 xml:space="preserve">5/16 </w:t>
            </w:r>
            <w:r w:rsidR="00E05177">
              <w:rPr>
                <w:rFonts w:ascii="Arial" w:hAnsi="Arial" w:cs="Arial"/>
                <w:sz w:val="21"/>
                <w:szCs w:val="21"/>
              </w:rPr>
              <w:t>(</w:t>
            </w:r>
            <w:r w:rsidRPr="006D57FF">
              <w:rPr>
                <w:rFonts w:ascii="Arial" w:hAnsi="Arial" w:cs="Arial"/>
                <w:sz w:val="21"/>
                <w:szCs w:val="21"/>
              </w:rPr>
              <w:t>Sal’24</w:t>
            </w:r>
            <w:r w:rsidR="00E05177">
              <w:rPr>
                <w:rFonts w:ascii="Arial" w:hAnsi="Arial" w:cs="Arial"/>
                <w:sz w:val="21"/>
                <w:szCs w:val="21"/>
              </w:rPr>
              <w:t>)</w:t>
            </w:r>
          </w:p>
        </w:tc>
        <w:tc>
          <w:tcPr>
            <w:tcW w:w="2700" w:type="dxa"/>
          </w:tcPr>
          <w:p w14:paraId="722C5927" w14:textId="77777777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Jaberi et al. (2016) </w:t>
            </w:r>
          </w:p>
          <w:p w14:paraId="6A7D7751" w14:textId="77777777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Bertoli-Avella et al. (2018) </w:t>
            </w:r>
          </w:p>
          <w:p w14:paraId="55F10E1D" w14:textId="77777777" w:rsidR="000C3F38" w:rsidRPr="006D57FF" w:rsidRDefault="000C3F38" w:rsidP="0095136A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Carter et al. (2019) </w:t>
            </w:r>
          </w:p>
          <w:p w14:paraId="03A88CFE" w14:textId="49974AE7" w:rsidR="00350369" w:rsidRPr="006D57FF" w:rsidRDefault="00350369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 xml:space="preserve">Abdi Rad et al. </w:t>
            </w:r>
            <w:r w:rsidRPr="006D57FF">
              <w:rPr>
                <w:rFonts w:ascii="Arial" w:hAnsi="Arial" w:cs="Arial"/>
                <w:sz w:val="21"/>
                <w:szCs w:val="21"/>
              </w:rPr>
              <w:t>(2021)</w:t>
            </w:r>
          </w:p>
          <w:p w14:paraId="37E0B32D" w14:textId="1BB75FAE" w:rsidR="00C57EFB" w:rsidRPr="006D57FF" w:rsidRDefault="00C57EFB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Salpietro et al. (2024)</w:t>
            </w:r>
          </w:p>
        </w:tc>
      </w:tr>
      <w:tr w:rsidR="00190C2A" w:rsidRPr="006D57FF" w14:paraId="7FF29E57" w14:textId="77777777" w:rsidTr="00A54102">
        <w:trPr>
          <w:trHeight w:val="291"/>
        </w:trPr>
        <w:tc>
          <w:tcPr>
            <w:tcW w:w="5130" w:type="dxa"/>
          </w:tcPr>
          <w:p w14:paraId="1C8295CF" w14:textId="59776F44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Microcephaly</w:t>
            </w:r>
            <w:r w:rsidR="000C3F38" w:rsidRPr="006D57FF">
              <w:rPr>
                <w:rFonts w:ascii="Arial" w:hAnsi="Arial" w:cs="Arial"/>
                <w:sz w:val="21"/>
                <w:szCs w:val="21"/>
              </w:rPr>
              <w:t xml:space="preserve"> (hypogenesis of the corpus callosum, cerebellar hypoplasia)</w:t>
            </w:r>
          </w:p>
        </w:tc>
        <w:tc>
          <w:tcPr>
            <w:tcW w:w="3780" w:type="dxa"/>
          </w:tcPr>
          <w:p w14:paraId="08EFB055" w14:textId="77777777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(Bert’18)</w:t>
            </w:r>
          </w:p>
          <w:p w14:paraId="18637B62" w14:textId="77777777" w:rsidR="000C3F38" w:rsidRPr="006D57FF" w:rsidRDefault="000C3F38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(Cart’19)</w:t>
            </w:r>
          </w:p>
          <w:p w14:paraId="4F2DE120" w14:textId="252DDD88" w:rsidR="0002158E" w:rsidRPr="006D57FF" w:rsidRDefault="0002158E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2 siblings (Abdi Rad’21)</w:t>
            </w:r>
          </w:p>
          <w:p w14:paraId="58B9EFDA" w14:textId="3F472CFA" w:rsidR="00C57EFB" w:rsidRPr="006D57FF" w:rsidRDefault="00C57EFB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16 (Sal’24)</w:t>
            </w:r>
            <w:r w:rsidR="00105DEB" w:rsidRPr="006D57FF">
              <w:rPr>
                <w:rFonts w:ascii="Arial" w:hAnsi="Arial" w:cs="Arial"/>
                <w:sz w:val="21"/>
                <w:szCs w:val="21"/>
              </w:rPr>
              <w:t xml:space="preserve"> – 11 hyp. C. cal.</w:t>
            </w:r>
          </w:p>
        </w:tc>
        <w:tc>
          <w:tcPr>
            <w:tcW w:w="2700" w:type="dxa"/>
          </w:tcPr>
          <w:p w14:paraId="73FD0958" w14:textId="77777777" w:rsidR="00190C2A" w:rsidRPr="006D57FF" w:rsidRDefault="00190C2A" w:rsidP="0095136A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Bertoli-Avella et al. (2018) </w:t>
            </w:r>
          </w:p>
          <w:p w14:paraId="0FBBCBA3" w14:textId="77777777" w:rsidR="000C3F38" w:rsidRPr="006D57FF" w:rsidRDefault="000C3F38" w:rsidP="0095136A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Carter et al. (2019) </w:t>
            </w:r>
          </w:p>
          <w:p w14:paraId="763F96E2" w14:textId="62404812" w:rsidR="0002158E" w:rsidRPr="006D57FF" w:rsidRDefault="0002158E" w:rsidP="0095136A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Abdi Rad et al. (2021)</w:t>
            </w:r>
          </w:p>
          <w:p w14:paraId="70336D3D" w14:textId="1BD82C38" w:rsidR="00C57EFB" w:rsidRPr="006D57FF" w:rsidRDefault="00C57EFB" w:rsidP="0095136A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 xml:space="preserve">Salpietro et al. </w:t>
            </w:r>
            <w:r w:rsidRPr="006D57FF">
              <w:rPr>
                <w:rFonts w:ascii="Arial" w:hAnsi="Arial" w:cs="Arial"/>
                <w:sz w:val="21"/>
                <w:szCs w:val="21"/>
              </w:rPr>
              <w:t>(2024)</w:t>
            </w:r>
          </w:p>
        </w:tc>
      </w:tr>
      <w:tr w:rsidR="00C57EFB" w:rsidRPr="006D57FF" w14:paraId="6F59D05D" w14:textId="77777777" w:rsidTr="00A54102">
        <w:trPr>
          <w:trHeight w:val="291"/>
        </w:trPr>
        <w:tc>
          <w:tcPr>
            <w:tcW w:w="5130" w:type="dxa"/>
          </w:tcPr>
          <w:p w14:paraId="487AA8D5" w14:textId="0F1BE18A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lastRenderedPageBreak/>
              <w:t>Pathognomonic craniofacial features, eyebrow, chin alterations</w:t>
            </w:r>
          </w:p>
        </w:tc>
        <w:tc>
          <w:tcPr>
            <w:tcW w:w="3780" w:type="dxa"/>
          </w:tcPr>
          <w:p w14:paraId="6C9F253C" w14:textId="6BAB2F06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(Bert’18)</w:t>
            </w:r>
          </w:p>
          <w:p w14:paraId="30645AD8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(Cart’19)</w:t>
            </w:r>
          </w:p>
          <w:p w14:paraId="24ABBDC9" w14:textId="14FDE79D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16 (Sal’24)</w:t>
            </w:r>
          </w:p>
        </w:tc>
        <w:tc>
          <w:tcPr>
            <w:tcW w:w="2700" w:type="dxa"/>
          </w:tcPr>
          <w:p w14:paraId="7F444A6B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Bertoli-Avella et al. (2018) </w:t>
            </w:r>
          </w:p>
          <w:p w14:paraId="79E7EEAB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 xml:space="preserve">Carter et al. </w:t>
            </w:r>
            <w:r w:rsidRPr="006D57FF">
              <w:rPr>
                <w:rFonts w:ascii="Arial" w:hAnsi="Arial" w:cs="Arial"/>
                <w:sz w:val="21"/>
                <w:szCs w:val="21"/>
              </w:rPr>
              <w:t>(2019) </w:t>
            </w:r>
          </w:p>
          <w:p w14:paraId="6B9C89A8" w14:textId="51BC0371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Salpietro et al. (2024)</w:t>
            </w:r>
          </w:p>
        </w:tc>
      </w:tr>
      <w:tr w:rsidR="00C57EFB" w:rsidRPr="006D57FF" w14:paraId="64498CD8" w14:textId="77777777" w:rsidTr="00A54102">
        <w:trPr>
          <w:trHeight w:val="291"/>
        </w:trPr>
        <w:tc>
          <w:tcPr>
            <w:tcW w:w="5130" w:type="dxa"/>
          </w:tcPr>
          <w:p w14:paraId="248A45AD" w14:textId="0862B6DF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 xml:space="preserve">Cerebellar atrophy and </w:t>
            </w:r>
            <w:r w:rsidR="007264C3" w:rsidRPr="006D57FF">
              <w:rPr>
                <w:rFonts w:ascii="Arial" w:hAnsi="Arial" w:cs="Arial"/>
                <w:sz w:val="21"/>
                <w:szCs w:val="21"/>
              </w:rPr>
              <w:t>h</w:t>
            </w:r>
            <w:r w:rsidR="00513F3B" w:rsidRPr="006D57FF">
              <w:rPr>
                <w:rFonts w:ascii="Arial" w:hAnsi="Arial" w:cs="Arial"/>
                <w:sz w:val="21"/>
                <w:szCs w:val="21"/>
              </w:rPr>
              <w:t>ypointensities</w:t>
            </w:r>
          </w:p>
        </w:tc>
        <w:tc>
          <w:tcPr>
            <w:tcW w:w="3780" w:type="dxa"/>
          </w:tcPr>
          <w:p w14:paraId="2E342871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Patient with seizures (Jab’16)</w:t>
            </w:r>
          </w:p>
          <w:p w14:paraId="679FBBBD" w14:textId="4F5D7602" w:rsidR="00513F3B" w:rsidRPr="006D57FF" w:rsidRDefault="00105DE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10/16 hypointens</w:t>
            </w:r>
            <w:r w:rsidR="00B909F1" w:rsidRPr="006D57FF">
              <w:rPr>
                <w:rFonts w:ascii="Arial" w:hAnsi="Arial" w:cs="Arial"/>
                <w:sz w:val="21"/>
                <w:szCs w:val="21"/>
              </w:rPr>
              <w:t xml:space="preserve"> (Sal’24)</w:t>
            </w:r>
          </w:p>
        </w:tc>
        <w:tc>
          <w:tcPr>
            <w:tcW w:w="2700" w:type="dxa"/>
          </w:tcPr>
          <w:p w14:paraId="361CA8EB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Jaberi et al. (2016) </w:t>
            </w:r>
          </w:p>
          <w:p w14:paraId="75F21CD8" w14:textId="048915B1" w:rsidR="00105DEB" w:rsidRPr="006D57FF" w:rsidRDefault="00105DE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 xml:space="preserve">Salpietro et al. </w:t>
            </w:r>
            <w:r w:rsidRPr="006D57FF">
              <w:rPr>
                <w:rFonts w:ascii="Arial" w:hAnsi="Arial" w:cs="Arial"/>
                <w:sz w:val="21"/>
                <w:szCs w:val="21"/>
              </w:rPr>
              <w:t>(2024)</w:t>
            </w:r>
          </w:p>
        </w:tc>
      </w:tr>
      <w:tr w:rsidR="00C57EFB" w:rsidRPr="006D57FF" w14:paraId="6DAF77BA" w14:textId="77777777" w:rsidTr="00A54102">
        <w:trPr>
          <w:trHeight w:val="291"/>
        </w:trPr>
        <w:tc>
          <w:tcPr>
            <w:tcW w:w="5130" w:type="dxa"/>
          </w:tcPr>
          <w:p w14:paraId="518EB176" w14:textId="7B2B7271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Failure to thrive</w:t>
            </w:r>
          </w:p>
        </w:tc>
        <w:tc>
          <w:tcPr>
            <w:tcW w:w="3780" w:type="dxa"/>
          </w:tcPr>
          <w:p w14:paraId="03112F95" w14:textId="78A9DFE6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1 patient (Bert’18)</w:t>
            </w:r>
          </w:p>
        </w:tc>
        <w:tc>
          <w:tcPr>
            <w:tcW w:w="2700" w:type="dxa"/>
          </w:tcPr>
          <w:p w14:paraId="6A3AD2A2" w14:textId="7322C98A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Bertoli-Avella et al. (2018) </w:t>
            </w:r>
          </w:p>
        </w:tc>
      </w:tr>
      <w:tr w:rsidR="00C57EFB" w:rsidRPr="006D57FF" w14:paraId="068B2581" w14:textId="77777777" w:rsidTr="00A54102">
        <w:trPr>
          <w:trHeight w:val="291"/>
        </w:trPr>
        <w:tc>
          <w:tcPr>
            <w:tcW w:w="5130" w:type="dxa"/>
          </w:tcPr>
          <w:p w14:paraId="252C87A7" w14:textId="02F290A6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Dandy-Walker malformation</w:t>
            </w:r>
          </w:p>
        </w:tc>
        <w:tc>
          <w:tcPr>
            <w:tcW w:w="3780" w:type="dxa"/>
          </w:tcPr>
          <w:p w14:paraId="385CE237" w14:textId="0E93BB6F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1 patient (Bert’18)</w:t>
            </w:r>
          </w:p>
        </w:tc>
        <w:tc>
          <w:tcPr>
            <w:tcW w:w="2700" w:type="dxa"/>
          </w:tcPr>
          <w:p w14:paraId="5E5F3BEF" w14:textId="548A5908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Bertoli-Avella et al. (2018) </w:t>
            </w:r>
          </w:p>
        </w:tc>
      </w:tr>
      <w:tr w:rsidR="00C57EFB" w:rsidRPr="006D57FF" w14:paraId="635AFD00" w14:textId="77777777" w:rsidTr="00A54102">
        <w:trPr>
          <w:trHeight w:val="291"/>
        </w:trPr>
        <w:tc>
          <w:tcPr>
            <w:tcW w:w="5130" w:type="dxa"/>
          </w:tcPr>
          <w:p w14:paraId="6A2A678E" w14:textId="06CDD3E5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Abnormal dentition</w:t>
            </w:r>
          </w:p>
        </w:tc>
        <w:tc>
          <w:tcPr>
            <w:tcW w:w="3780" w:type="dxa"/>
          </w:tcPr>
          <w:p w14:paraId="6EF97D04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(Bert’18)</w:t>
            </w:r>
          </w:p>
          <w:p w14:paraId="2A6BDCA2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(Cart’19)</w:t>
            </w:r>
          </w:p>
          <w:p w14:paraId="77D3B495" w14:textId="5A390BED" w:rsidR="00061186" w:rsidRPr="006D57FF" w:rsidRDefault="00061186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Common (Sal’24)</w:t>
            </w:r>
          </w:p>
        </w:tc>
        <w:tc>
          <w:tcPr>
            <w:tcW w:w="2700" w:type="dxa"/>
          </w:tcPr>
          <w:p w14:paraId="101FF009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Bertoli-Avella et al. (2018) </w:t>
            </w:r>
          </w:p>
          <w:p w14:paraId="7B2307B9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 xml:space="preserve">Carter et al. </w:t>
            </w:r>
            <w:r w:rsidRPr="006D57FF">
              <w:rPr>
                <w:rFonts w:ascii="Arial" w:hAnsi="Arial" w:cs="Arial"/>
                <w:sz w:val="21"/>
                <w:szCs w:val="21"/>
              </w:rPr>
              <w:t>(2019) </w:t>
            </w:r>
          </w:p>
          <w:p w14:paraId="0FC3BDF4" w14:textId="09EC3A13" w:rsidR="00061186" w:rsidRPr="006D57FF" w:rsidRDefault="00061186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Salpietro et al. (2024)</w:t>
            </w:r>
          </w:p>
        </w:tc>
      </w:tr>
      <w:tr w:rsidR="00C57EFB" w:rsidRPr="006D57FF" w14:paraId="52E9506B" w14:textId="77777777" w:rsidTr="00A54102">
        <w:trPr>
          <w:trHeight w:val="291"/>
        </w:trPr>
        <w:tc>
          <w:tcPr>
            <w:tcW w:w="5130" w:type="dxa"/>
          </w:tcPr>
          <w:p w14:paraId="34A8CE27" w14:textId="03403FFF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Prominent low-set ears</w:t>
            </w:r>
          </w:p>
        </w:tc>
        <w:tc>
          <w:tcPr>
            <w:tcW w:w="3780" w:type="dxa"/>
          </w:tcPr>
          <w:p w14:paraId="4AF99040" w14:textId="792C1F3D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(Bert’18)</w:t>
            </w:r>
          </w:p>
        </w:tc>
        <w:tc>
          <w:tcPr>
            <w:tcW w:w="2700" w:type="dxa"/>
          </w:tcPr>
          <w:p w14:paraId="631FB82C" w14:textId="7E153205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Bertoli-Avella et al. (2018) </w:t>
            </w:r>
          </w:p>
        </w:tc>
      </w:tr>
      <w:tr w:rsidR="00C57EFB" w:rsidRPr="006D57FF" w14:paraId="60A7816E" w14:textId="77777777" w:rsidTr="00A54102">
        <w:trPr>
          <w:trHeight w:val="291"/>
        </w:trPr>
        <w:tc>
          <w:tcPr>
            <w:tcW w:w="5130" w:type="dxa"/>
          </w:tcPr>
          <w:p w14:paraId="5BBEE9F1" w14:textId="34D6C391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Small nose</w:t>
            </w:r>
          </w:p>
        </w:tc>
        <w:tc>
          <w:tcPr>
            <w:tcW w:w="3780" w:type="dxa"/>
          </w:tcPr>
          <w:p w14:paraId="4621B0EC" w14:textId="2CB76950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(Bert’18)</w:t>
            </w:r>
          </w:p>
        </w:tc>
        <w:tc>
          <w:tcPr>
            <w:tcW w:w="2700" w:type="dxa"/>
          </w:tcPr>
          <w:p w14:paraId="158D1691" w14:textId="0E2CD87D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Bertoli-Avella et al. (2018) </w:t>
            </w:r>
          </w:p>
        </w:tc>
      </w:tr>
      <w:tr w:rsidR="00C57EFB" w:rsidRPr="006D57FF" w14:paraId="74D33176" w14:textId="77777777" w:rsidTr="00A54102">
        <w:trPr>
          <w:trHeight w:val="291"/>
        </w:trPr>
        <w:tc>
          <w:tcPr>
            <w:tcW w:w="5130" w:type="dxa"/>
          </w:tcPr>
          <w:p w14:paraId="2C0C5271" w14:textId="7FAC2141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Protruding tongue</w:t>
            </w:r>
          </w:p>
        </w:tc>
        <w:tc>
          <w:tcPr>
            <w:tcW w:w="3780" w:type="dxa"/>
          </w:tcPr>
          <w:p w14:paraId="4E39CCD5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(Cart’19)</w:t>
            </w:r>
          </w:p>
          <w:p w14:paraId="6FC37A9C" w14:textId="1A73F8E6" w:rsidR="00061186" w:rsidRPr="006D57FF" w:rsidRDefault="00061186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Common (Sal’24)</w:t>
            </w:r>
          </w:p>
        </w:tc>
        <w:tc>
          <w:tcPr>
            <w:tcW w:w="2700" w:type="dxa"/>
          </w:tcPr>
          <w:p w14:paraId="67C96F4A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Carter et al. (2019) </w:t>
            </w:r>
          </w:p>
          <w:p w14:paraId="3943B067" w14:textId="467C93BD" w:rsidR="00061186" w:rsidRPr="006D57FF" w:rsidRDefault="00061186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 xml:space="preserve">Salpietro et al. </w:t>
            </w:r>
            <w:r w:rsidRPr="006D57FF">
              <w:rPr>
                <w:rFonts w:ascii="Arial" w:hAnsi="Arial" w:cs="Arial"/>
                <w:sz w:val="21"/>
                <w:szCs w:val="21"/>
              </w:rPr>
              <w:t>(2024)</w:t>
            </w:r>
          </w:p>
        </w:tc>
      </w:tr>
      <w:tr w:rsidR="00C57EFB" w:rsidRPr="006D57FF" w14:paraId="289E137C" w14:textId="77777777" w:rsidTr="00A54102">
        <w:trPr>
          <w:trHeight w:val="291"/>
        </w:trPr>
        <w:tc>
          <w:tcPr>
            <w:tcW w:w="5130" w:type="dxa"/>
          </w:tcPr>
          <w:p w14:paraId="762BA634" w14:textId="380DBD93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Hyperconvex nail</w:t>
            </w:r>
          </w:p>
        </w:tc>
        <w:tc>
          <w:tcPr>
            <w:tcW w:w="3780" w:type="dxa"/>
          </w:tcPr>
          <w:p w14:paraId="03941893" w14:textId="53138631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(Cart’19)</w:t>
            </w:r>
          </w:p>
        </w:tc>
        <w:tc>
          <w:tcPr>
            <w:tcW w:w="2700" w:type="dxa"/>
          </w:tcPr>
          <w:p w14:paraId="637F604B" w14:textId="2F0FFAD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Carter et al. (2019) </w:t>
            </w:r>
          </w:p>
        </w:tc>
      </w:tr>
      <w:tr w:rsidR="00C57EFB" w:rsidRPr="006D57FF" w14:paraId="5EA29B6D" w14:textId="77777777" w:rsidTr="00A54102">
        <w:trPr>
          <w:trHeight w:val="291"/>
        </w:trPr>
        <w:tc>
          <w:tcPr>
            <w:tcW w:w="5130" w:type="dxa"/>
          </w:tcPr>
          <w:p w14:paraId="55B9394F" w14:textId="0A3DB4BD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Joint stiffness or hypermobility</w:t>
            </w:r>
          </w:p>
        </w:tc>
        <w:tc>
          <w:tcPr>
            <w:tcW w:w="3780" w:type="dxa"/>
          </w:tcPr>
          <w:p w14:paraId="3DD864B7" w14:textId="767E4773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1 out of 3 (Bert’18)</w:t>
            </w:r>
          </w:p>
        </w:tc>
        <w:tc>
          <w:tcPr>
            <w:tcW w:w="2700" w:type="dxa"/>
          </w:tcPr>
          <w:p w14:paraId="319C923A" w14:textId="502ADE61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Bertoli-Avella et al. (2018) </w:t>
            </w:r>
          </w:p>
        </w:tc>
      </w:tr>
      <w:tr w:rsidR="00C57EFB" w:rsidRPr="006D57FF" w14:paraId="086CE25B" w14:textId="77777777" w:rsidTr="00A54102">
        <w:trPr>
          <w:trHeight w:val="278"/>
        </w:trPr>
        <w:tc>
          <w:tcPr>
            <w:tcW w:w="5130" w:type="dxa"/>
          </w:tcPr>
          <w:p w14:paraId="793EF7D2" w14:textId="4ED94A49" w:rsidR="00C57EFB" w:rsidRPr="006D57FF" w:rsidRDefault="00C57EFB" w:rsidP="00C57EFB">
            <w:pPr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</w:pPr>
            <w:r w:rsidRPr="006D57FF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Ocular alterations</w:t>
            </w:r>
          </w:p>
        </w:tc>
        <w:tc>
          <w:tcPr>
            <w:tcW w:w="3780" w:type="dxa"/>
          </w:tcPr>
          <w:p w14:paraId="539CB808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700" w:type="dxa"/>
          </w:tcPr>
          <w:p w14:paraId="7FB61C69" w14:textId="455B1E0D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57EFB" w:rsidRPr="006D57FF" w14:paraId="6ED90FC2" w14:textId="77777777" w:rsidTr="00A54102">
        <w:trPr>
          <w:trHeight w:val="291"/>
        </w:trPr>
        <w:tc>
          <w:tcPr>
            <w:tcW w:w="5130" w:type="dxa"/>
          </w:tcPr>
          <w:p w14:paraId="30E6E2CE" w14:textId="455E607E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Retinal anomalies</w:t>
            </w:r>
          </w:p>
        </w:tc>
        <w:tc>
          <w:tcPr>
            <w:tcW w:w="3780" w:type="dxa"/>
          </w:tcPr>
          <w:p w14:paraId="3C356AB2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2 out of 3 (Jab’16)</w:t>
            </w:r>
          </w:p>
          <w:p w14:paraId="6D550312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(Cart’19)</w:t>
            </w:r>
          </w:p>
          <w:p w14:paraId="2AA7BA41" w14:textId="06166A2A" w:rsidR="00A54102" w:rsidRPr="006D57FF" w:rsidRDefault="00A54102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Confirmed in 4/16 -many young (Sal’24)</w:t>
            </w:r>
          </w:p>
        </w:tc>
        <w:tc>
          <w:tcPr>
            <w:tcW w:w="2700" w:type="dxa"/>
          </w:tcPr>
          <w:p w14:paraId="54D86974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Jaberi et al. (2016) </w:t>
            </w:r>
          </w:p>
          <w:p w14:paraId="54ABE943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 xml:space="preserve">Carter et al. </w:t>
            </w:r>
            <w:r w:rsidRPr="006D57FF">
              <w:rPr>
                <w:rFonts w:ascii="Arial" w:hAnsi="Arial" w:cs="Arial"/>
                <w:sz w:val="21"/>
                <w:szCs w:val="21"/>
              </w:rPr>
              <w:t>(2019) </w:t>
            </w:r>
          </w:p>
          <w:p w14:paraId="2497CE7B" w14:textId="6220911F" w:rsidR="00A54102" w:rsidRPr="006D57FF" w:rsidRDefault="00A54102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Salpietro et al. (2024)</w:t>
            </w:r>
          </w:p>
        </w:tc>
      </w:tr>
      <w:tr w:rsidR="00C57EFB" w:rsidRPr="006D57FF" w14:paraId="731ED24B" w14:textId="77777777" w:rsidTr="00A54102">
        <w:trPr>
          <w:trHeight w:val="291"/>
        </w:trPr>
        <w:tc>
          <w:tcPr>
            <w:tcW w:w="5130" w:type="dxa"/>
          </w:tcPr>
          <w:p w14:paraId="31A0F5B3" w14:textId="115E65CD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Cataracts</w:t>
            </w:r>
          </w:p>
        </w:tc>
        <w:tc>
          <w:tcPr>
            <w:tcW w:w="3780" w:type="dxa"/>
          </w:tcPr>
          <w:p w14:paraId="617B9E72" w14:textId="78495B72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1 out of 3 (Jab’16)</w:t>
            </w:r>
          </w:p>
        </w:tc>
        <w:tc>
          <w:tcPr>
            <w:tcW w:w="2700" w:type="dxa"/>
          </w:tcPr>
          <w:p w14:paraId="06FEAC26" w14:textId="0F940DB9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Jaberi et al. (2016) </w:t>
            </w:r>
          </w:p>
        </w:tc>
      </w:tr>
      <w:tr w:rsidR="00C57EFB" w:rsidRPr="006D57FF" w14:paraId="4512CFED" w14:textId="77777777" w:rsidTr="00A54102">
        <w:trPr>
          <w:trHeight w:val="291"/>
        </w:trPr>
        <w:tc>
          <w:tcPr>
            <w:tcW w:w="5130" w:type="dxa"/>
          </w:tcPr>
          <w:p w14:paraId="5B1ADC6C" w14:textId="0AC8091D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“Generalized visual impairment”</w:t>
            </w:r>
          </w:p>
        </w:tc>
        <w:tc>
          <w:tcPr>
            <w:tcW w:w="3780" w:type="dxa"/>
          </w:tcPr>
          <w:p w14:paraId="17955FBC" w14:textId="3BC2CFDC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(Bert’18)</w:t>
            </w:r>
          </w:p>
        </w:tc>
        <w:tc>
          <w:tcPr>
            <w:tcW w:w="2700" w:type="dxa"/>
          </w:tcPr>
          <w:p w14:paraId="3086F932" w14:textId="4EC96320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Bertoli-Avella et al. (2018) </w:t>
            </w:r>
          </w:p>
        </w:tc>
      </w:tr>
      <w:tr w:rsidR="00C57EFB" w:rsidRPr="006D57FF" w14:paraId="5049E2E8" w14:textId="77777777" w:rsidTr="00A54102">
        <w:trPr>
          <w:trHeight w:val="278"/>
        </w:trPr>
        <w:tc>
          <w:tcPr>
            <w:tcW w:w="5130" w:type="dxa"/>
          </w:tcPr>
          <w:p w14:paraId="386A6165" w14:textId="09270F1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Optic atrophy</w:t>
            </w:r>
          </w:p>
        </w:tc>
        <w:tc>
          <w:tcPr>
            <w:tcW w:w="3780" w:type="dxa"/>
          </w:tcPr>
          <w:p w14:paraId="410BFB79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1 out of 3 (Bert’18)</w:t>
            </w:r>
          </w:p>
          <w:p w14:paraId="37E6C7D3" w14:textId="03BB36A4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(Cart’19)</w:t>
            </w:r>
          </w:p>
        </w:tc>
        <w:tc>
          <w:tcPr>
            <w:tcW w:w="2700" w:type="dxa"/>
          </w:tcPr>
          <w:p w14:paraId="711F3FB1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Bertoli-Avella et al. (2018) </w:t>
            </w:r>
          </w:p>
          <w:p w14:paraId="64273C87" w14:textId="56DB6ED3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 xml:space="preserve">Carter et al. </w:t>
            </w:r>
            <w:r w:rsidRPr="006D57FF">
              <w:rPr>
                <w:rFonts w:ascii="Arial" w:hAnsi="Arial" w:cs="Arial"/>
                <w:sz w:val="21"/>
                <w:szCs w:val="21"/>
              </w:rPr>
              <w:t>(2019) </w:t>
            </w:r>
          </w:p>
        </w:tc>
      </w:tr>
      <w:tr w:rsidR="00C57EFB" w:rsidRPr="006D57FF" w14:paraId="0E1A7AD7" w14:textId="77777777" w:rsidTr="00A54102">
        <w:trPr>
          <w:trHeight w:val="278"/>
        </w:trPr>
        <w:tc>
          <w:tcPr>
            <w:tcW w:w="5130" w:type="dxa"/>
          </w:tcPr>
          <w:p w14:paraId="748ED3A2" w14:textId="0B6B1DF1" w:rsidR="00C57EFB" w:rsidRPr="006D57FF" w:rsidRDefault="00C57EFB" w:rsidP="00C57EFB">
            <w:pPr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</w:pPr>
            <w:r w:rsidRPr="006D57FF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Metabolic manifestations</w:t>
            </w:r>
          </w:p>
        </w:tc>
        <w:tc>
          <w:tcPr>
            <w:tcW w:w="3780" w:type="dxa"/>
          </w:tcPr>
          <w:p w14:paraId="2659F6E6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700" w:type="dxa"/>
          </w:tcPr>
          <w:p w14:paraId="64619192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57EFB" w:rsidRPr="006D57FF" w14:paraId="50270768" w14:textId="77777777" w:rsidTr="00A54102">
        <w:trPr>
          <w:trHeight w:val="278"/>
        </w:trPr>
        <w:tc>
          <w:tcPr>
            <w:tcW w:w="5130" w:type="dxa"/>
          </w:tcPr>
          <w:p w14:paraId="55437CBF" w14:textId="38C6554A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Iron accumulation in the brain</w:t>
            </w:r>
          </w:p>
        </w:tc>
        <w:tc>
          <w:tcPr>
            <w:tcW w:w="3780" w:type="dxa"/>
          </w:tcPr>
          <w:p w14:paraId="2067D97F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All 3 (Jab’16)</w:t>
            </w:r>
          </w:p>
          <w:p w14:paraId="7863590F" w14:textId="480C49EA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No hypoint</w:t>
            </w:r>
            <w:r w:rsidR="007264C3" w:rsidRPr="006D57FF">
              <w:rPr>
                <w:rFonts w:ascii="Arial" w:hAnsi="Arial" w:cs="Arial"/>
                <w:sz w:val="21"/>
                <w:szCs w:val="21"/>
              </w:rPr>
              <w:t>intensities a</w:t>
            </w:r>
            <w:r w:rsidRPr="006D57FF">
              <w:rPr>
                <w:rFonts w:ascii="Arial" w:hAnsi="Arial" w:cs="Arial"/>
                <w:sz w:val="21"/>
                <w:szCs w:val="21"/>
              </w:rPr>
              <w:t>ssociated with iron in Bert’18</w:t>
            </w:r>
          </w:p>
          <w:p w14:paraId="19157BA3" w14:textId="171E5631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1 patient in Cart’19</w:t>
            </w:r>
          </w:p>
        </w:tc>
        <w:tc>
          <w:tcPr>
            <w:tcW w:w="2700" w:type="dxa"/>
          </w:tcPr>
          <w:p w14:paraId="32FFDC9C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  <w:lang w:val="es-ES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>Jaberi et al. (2016) </w:t>
            </w:r>
          </w:p>
          <w:p w14:paraId="55D18E18" w14:textId="77777777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  <w:lang w:val="es-ES"/>
              </w:rPr>
              <w:t xml:space="preserve">Bertoli-Avella et al. </w:t>
            </w:r>
            <w:r w:rsidRPr="006D57FF">
              <w:rPr>
                <w:rFonts w:ascii="Arial" w:hAnsi="Arial" w:cs="Arial"/>
                <w:sz w:val="21"/>
                <w:szCs w:val="21"/>
              </w:rPr>
              <w:t>(2018) </w:t>
            </w:r>
          </w:p>
          <w:p w14:paraId="6834E44B" w14:textId="63451F7C" w:rsidR="00C57EFB" w:rsidRPr="006D57FF" w:rsidRDefault="00C57EFB" w:rsidP="00C57EFB">
            <w:pPr>
              <w:rPr>
                <w:rFonts w:ascii="Arial" w:hAnsi="Arial" w:cs="Arial"/>
                <w:sz w:val="21"/>
                <w:szCs w:val="21"/>
              </w:rPr>
            </w:pPr>
            <w:r w:rsidRPr="006D57FF">
              <w:rPr>
                <w:rFonts w:ascii="Arial" w:hAnsi="Arial" w:cs="Arial"/>
                <w:sz w:val="21"/>
                <w:szCs w:val="21"/>
              </w:rPr>
              <w:t>Carter et al. (2019) </w:t>
            </w:r>
          </w:p>
        </w:tc>
      </w:tr>
    </w:tbl>
    <w:p w14:paraId="7CE2E8A9" w14:textId="77777777" w:rsidR="003C7FDB" w:rsidRPr="006D57FF" w:rsidRDefault="003C7FDB">
      <w:pPr>
        <w:rPr>
          <w:rFonts w:ascii="Arial" w:hAnsi="Arial" w:cs="Arial"/>
          <w:sz w:val="21"/>
          <w:szCs w:val="21"/>
        </w:rPr>
      </w:pPr>
    </w:p>
    <w:p w14:paraId="4C89FFEC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5F616014" w14:textId="3864FC5F" w:rsidR="00FC7C61" w:rsidRPr="006D57FF" w:rsidRDefault="006D57FF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Table S</w:t>
      </w:r>
      <w:r w:rsidR="00C2022D">
        <w:rPr>
          <w:rFonts w:ascii="Arial" w:hAnsi="Arial" w:cs="Arial"/>
          <w:sz w:val="21"/>
          <w:szCs w:val="21"/>
        </w:rPr>
        <w:t>3</w:t>
      </w:r>
      <w:r>
        <w:rPr>
          <w:rFonts w:ascii="Arial" w:hAnsi="Arial" w:cs="Arial"/>
          <w:sz w:val="21"/>
          <w:szCs w:val="21"/>
        </w:rPr>
        <w:t xml:space="preserve"> – Prominent and common phenotypic manifestations reported in human patients with deleterious </w:t>
      </w:r>
      <w:r w:rsidRPr="000F1A4A">
        <w:rPr>
          <w:rFonts w:ascii="Arial" w:hAnsi="Arial" w:cs="Arial"/>
          <w:i/>
          <w:iCs/>
          <w:sz w:val="21"/>
          <w:szCs w:val="21"/>
        </w:rPr>
        <w:t>GTPBP2</w:t>
      </w:r>
      <w:r>
        <w:rPr>
          <w:rFonts w:ascii="Arial" w:hAnsi="Arial" w:cs="Arial"/>
          <w:sz w:val="21"/>
          <w:szCs w:val="21"/>
        </w:rPr>
        <w:t xml:space="preserve"> genetic variants.</w:t>
      </w:r>
    </w:p>
    <w:p w14:paraId="364AF9B5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28577A25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6FB3C2CC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17278B25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3AD5105D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59769BD3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0A2CC15A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5C4C0EAF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5510DA79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7037B8A4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0FA59E14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379B844E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0B8FC6F7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50B7CFEA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213E93EC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6CACEE7E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3F7F480A" w14:textId="2163050C" w:rsidR="00FC7C61" w:rsidRPr="006D57FF" w:rsidRDefault="00FC7C61">
      <w:pPr>
        <w:rPr>
          <w:rFonts w:ascii="Arial" w:hAnsi="Arial" w:cs="Arial"/>
          <w:sz w:val="21"/>
          <w:szCs w:val="21"/>
        </w:rPr>
      </w:pPr>
      <w:r w:rsidRPr="006D57FF">
        <w:rPr>
          <w:rFonts w:ascii="Arial" w:hAnsi="Arial" w:cs="Arial"/>
          <w:sz w:val="21"/>
          <w:szCs w:val="21"/>
        </w:rPr>
        <w:lastRenderedPageBreak/>
        <w:t>References in the table</w:t>
      </w:r>
    </w:p>
    <w:p w14:paraId="394C7221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4475257A" w14:textId="6F557780" w:rsidR="00FC7C61" w:rsidRPr="006D57FF" w:rsidRDefault="000B171A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42</w:t>
      </w:r>
      <w:r w:rsidR="00C33558" w:rsidRPr="006D57FF">
        <w:rPr>
          <w:rFonts w:ascii="Arial" w:hAnsi="Arial" w:cs="Arial"/>
          <w:sz w:val="21"/>
          <w:szCs w:val="21"/>
        </w:rPr>
        <w:t xml:space="preserve">. </w:t>
      </w:r>
      <w:r w:rsidR="00FC7C61" w:rsidRPr="006D57FF">
        <w:rPr>
          <w:rFonts w:ascii="Arial" w:hAnsi="Arial" w:cs="Arial"/>
          <w:sz w:val="21"/>
          <w:szCs w:val="21"/>
        </w:rPr>
        <w:t xml:space="preserve">Jaberi, E. et al. Identification of mutation in GTPBP2 in patients of a family with neurodegeneration accompanied by iron deposition in the brain. Neurobiol Aging 38, 216 e211-216 e218 (2016). </w:t>
      </w:r>
      <w:r w:rsidR="00C33558" w:rsidRPr="006D57FF">
        <w:rPr>
          <w:rFonts w:ascii="Arial" w:hAnsi="Arial" w:cs="Arial"/>
          <w:sz w:val="21"/>
          <w:szCs w:val="21"/>
        </w:rPr>
        <w:t>https://doi.org:10.1016/j.neurobiolaging.2015.10.034</w:t>
      </w:r>
    </w:p>
    <w:p w14:paraId="5D09ED97" w14:textId="77777777" w:rsidR="00C33558" w:rsidRPr="006D57FF" w:rsidRDefault="00C33558">
      <w:pPr>
        <w:rPr>
          <w:rFonts w:ascii="Arial" w:hAnsi="Arial" w:cs="Arial"/>
          <w:sz w:val="21"/>
          <w:szCs w:val="21"/>
        </w:rPr>
      </w:pPr>
    </w:p>
    <w:p w14:paraId="7B346D8E" w14:textId="6D4BE551" w:rsidR="00C33558" w:rsidRPr="006D57FF" w:rsidRDefault="00C33558" w:rsidP="00C33558">
      <w:pPr>
        <w:rPr>
          <w:rFonts w:ascii="Arial" w:hAnsi="Arial" w:cs="Arial"/>
          <w:sz w:val="21"/>
          <w:szCs w:val="21"/>
        </w:rPr>
      </w:pPr>
      <w:r w:rsidRPr="006D57FF">
        <w:rPr>
          <w:rFonts w:ascii="Arial" w:hAnsi="Arial" w:cs="Arial"/>
          <w:sz w:val="21"/>
          <w:szCs w:val="21"/>
        </w:rPr>
        <w:t>4</w:t>
      </w:r>
      <w:r w:rsidR="0025506D">
        <w:rPr>
          <w:rFonts w:ascii="Arial" w:hAnsi="Arial" w:cs="Arial"/>
          <w:sz w:val="21"/>
          <w:szCs w:val="21"/>
        </w:rPr>
        <w:t>8</w:t>
      </w:r>
      <w:r w:rsidRPr="006D57FF">
        <w:rPr>
          <w:rFonts w:ascii="Arial" w:hAnsi="Arial" w:cs="Arial"/>
          <w:sz w:val="21"/>
          <w:szCs w:val="21"/>
        </w:rPr>
        <w:t>. Bertoli-Avella, A. M. et al. Biallelic inactivating variants in the GTPBP2 gene cause a neurodevelopmental disorder with severe intellectual disability. Eur J Hum Genet 26, 592-598 (2018). https://doi.org:10.1038/s41431-018-0097-3</w:t>
      </w:r>
    </w:p>
    <w:p w14:paraId="65FD75F7" w14:textId="77777777" w:rsidR="00C33558" w:rsidRPr="006D57FF" w:rsidRDefault="00C33558" w:rsidP="00C33558">
      <w:pPr>
        <w:rPr>
          <w:rFonts w:ascii="Arial" w:hAnsi="Arial" w:cs="Arial"/>
          <w:sz w:val="21"/>
          <w:szCs w:val="21"/>
        </w:rPr>
      </w:pPr>
    </w:p>
    <w:p w14:paraId="255BD03B" w14:textId="1231FE7A" w:rsidR="00C33558" w:rsidRPr="006D57FF" w:rsidRDefault="0025506D" w:rsidP="00C33558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49</w:t>
      </w:r>
      <w:r w:rsidR="00C33558" w:rsidRPr="006D57FF">
        <w:rPr>
          <w:rFonts w:ascii="Arial" w:hAnsi="Arial" w:cs="Arial"/>
          <w:sz w:val="21"/>
          <w:szCs w:val="21"/>
        </w:rPr>
        <w:t>. Carter, M. T. et al. Clinical delineation of GTPBP2-associated neuro-ectodermal syndrome: Report of two new families and review of the literature. Clin Genet 95, 601-606 (2019). https://doi.org:10.1111/cge.13523</w:t>
      </w:r>
    </w:p>
    <w:p w14:paraId="71FD99CD" w14:textId="77777777" w:rsidR="00C33558" w:rsidRPr="006D57FF" w:rsidRDefault="00C33558" w:rsidP="00C33558">
      <w:pPr>
        <w:rPr>
          <w:rFonts w:ascii="Arial" w:hAnsi="Arial" w:cs="Arial"/>
          <w:sz w:val="21"/>
          <w:szCs w:val="21"/>
        </w:rPr>
      </w:pPr>
    </w:p>
    <w:p w14:paraId="188C5432" w14:textId="590B1484" w:rsidR="00FC7C61" w:rsidRPr="006D57FF" w:rsidRDefault="00C33558" w:rsidP="00C33558">
      <w:pPr>
        <w:rPr>
          <w:rFonts w:ascii="Arial" w:hAnsi="Arial" w:cs="Arial"/>
          <w:sz w:val="21"/>
          <w:szCs w:val="21"/>
        </w:rPr>
      </w:pPr>
      <w:r w:rsidRPr="006D57FF">
        <w:rPr>
          <w:rFonts w:ascii="Arial" w:hAnsi="Arial" w:cs="Arial"/>
          <w:sz w:val="21"/>
          <w:szCs w:val="21"/>
        </w:rPr>
        <w:t>5</w:t>
      </w:r>
      <w:r w:rsidR="009F40CB">
        <w:rPr>
          <w:rFonts w:ascii="Arial" w:hAnsi="Arial" w:cs="Arial"/>
          <w:sz w:val="21"/>
          <w:szCs w:val="21"/>
        </w:rPr>
        <w:t>0</w:t>
      </w:r>
      <w:r w:rsidRPr="006D57FF">
        <w:rPr>
          <w:rFonts w:ascii="Arial" w:hAnsi="Arial" w:cs="Arial"/>
          <w:sz w:val="21"/>
          <w:szCs w:val="21"/>
        </w:rPr>
        <w:t>. Salpietro, V. et al. Bi-allelic genetic variants in the translational GTPases GTPBP1 and GTPBP2 cause a distinct identical neurodevelopmental syndrome. Am J Hum Genet 111, 200-210 (2024). https://doi.org:10.1016/j.ajhg.2023.11.012</w:t>
      </w:r>
    </w:p>
    <w:p w14:paraId="62587BE5" w14:textId="77777777" w:rsidR="00C33558" w:rsidRPr="006D57FF" w:rsidRDefault="00C33558" w:rsidP="00C33558">
      <w:pPr>
        <w:rPr>
          <w:rFonts w:ascii="Arial" w:hAnsi="Arial" w:cs="Arial"/>
          <w:sz w:val="21"/>
          <w:szCs w:val="21"/>
        </w:rPr>
      </w:pPr>
    </w:p>
    <w:p w14:paraId="7FFE2333" w14:textId="50D874A0" w:rsidR="00FC7C61" w:rsidRPr="006D57FF" w:rsidRDefault="00C33558">
      <w:pPr>
        <w:rPr>
          <w:rFonts w:ascii="Arial" w:hAnsi="Arial" w:cs="Arial"/>
          <w:sz w:val="21"/>
          <w:szCs w:val="21"/>
        </w:rPr>
      </w:pPr>
      <w:r w:rsidRPr="006D57FF">
        <w:rPr>
          <w:rFonts w:ascii="Arial" w:hAnsi="Arial" w:cs="Arial"/>
          <w:sz w:val="21"/>
          <w:szCs w:val="21"/>
        </w:rPr>
        <w:t>5</w:t>
      </w:r>
      <w:r w:rsidR="009F40CB">
        <w:rPr>
          <w:rFonts w:ascii="Arial" w:hAnsi="Arial" w:cs="Arial"/>
          <w:sz w:val="21"/>
          <w:szCs w:val="21"/>
        </w:rPr>
        <w:t>1</w:t>
      </w:r>
      <w:r w:rsidRPr="006D57FF">
        <w:rPr>
          <w:rFonts w:ascii="Arial" w:hAnsi="Arial" w:cs="Arial"/>
          <w:sz w:val="21"/>
          <w:szCs w:val="21"/>
        </w:rPr>
        <w:t xml:space="preserve">. Abdi Rad, I., Vahabi, A. &amp; Akbariazar, E. A novel GTPBP2 splicing mutation in two siblings affected with microcephaly, generalized muscular atrophy, and hypotrichosis. Clin Case Rep 9, 732-736 (2021). </w:t>
      </w:r>
      <w:r w:rsidR="004236B2" w:rsidRPr="006D57FF">
        <w:rPr>
          <w:rFonts w:ascii="Arial" w:hAnsi="Arial" w:cs="Arial"/>
          <w:sz w:val="21"/>
          <w:szCs w:val="21"/>
        </w:rPr>
        <w:t>https://doi.org:10.1002/ccr3.3637</w:t>
      </w:r>
    </w:p>
    <w:p w14:paraId="1D00B01F" w14:textId="77777777" w:rsidR="004236B2" w:rsidRPr="006D57FF" w:rsidRDefault="004236B2">
      <w:pPr>
        <w:rPr>
          <w:rFonts w:ascii="Arial" w:hAnsi="Arial" w:cs="Arial"/>
          <w:sz w:val="21"/>
          <w:szCs w:val="21"/>
        </w:rPr>
      </w:pPr>
    </w:p>
    <w:p w14:paraId="3CABCEC1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p w14:paraId="572F617A" w14:textId="77777777" w:rsidR="00FC7C61" w:rsidRPr="006D57FF" w:rsidRDefault="00FC7C61">
      <w:pPr>
        <w:rPr>
          <w:rFonts w:ascii="Arial" w:hAnsi="Arial" w:cs="Arial"/>
          <w:sz w:val="21"/>
          <w:szCs w:val="21"/>
        </w:rPr>
      </w:pPr>
    </w:p>
    <w:sectPr w:rsidR="00FC7C61" w:rsidRPr="006D57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290"/>
    <w:rsid w:val="0002158E"/>
    <w:rsid w:val="00061186"/>
    <w:rsid w:val="00084D7C"/>
    <w:rsid w:val="000B171A"/>
    <w:rsid w:val="000B496E"/>
    <w:rsid w:val="000C3F38"/>
    <w:rsid w:val="000D2DCC"/>
    <w:rsid w:val="000F1A4A"/>
    <w:rsid w:val="00105DEB"/>
    <w:rsid w:val="00145366"/>
    <w:rsid w:val="001471EC"/>
    <w:rsid w:val="001606BE"/>
    <w:rsid w:val="00190C2A"/>
    <w:rsid w:val="001F5230"/>
    <w:rsid w:val="00201BA4"/>
    <w:rsid w:val="00242CA3"/>
    <w:rsid w:val="0025506D"/>
    <w:rsid w:val="0028156D"/>
    <w:rsid w:val="002B6FE1"/>
    <w:rsid w:val="0032413E"/>
    <w:rsid w:val="00334381"/>
    <w:rsid w:val="00350369"/>
    <w:rsid w:val="0037785E"/>
    <w:rsid w:val="003C7FDB"/>
    <w:rsid w:val="003E3718"/>
    <w:rsid w:val="00416A44"/>
    <w:rsid w:val="004236B2"/>
    <w:rsid w:val="00450B21"/>
    <w:rsid w:val="00460DDE"/>
    <w:rsid w:val="00513F3B"/>
    <w:rsid w:val="005712E0"/>
    <w:rsid w:val="00584D35"/>
    <w:rsid w:val="005F2766"/>
    <w:rsid w:val="006C2567"/>
    <w:rsid w:val="006C71F1"/>
    <w:rsid w:val="006C7290"/>
    <w:rsid w:val="006D11EC"/>
    <w:rsid w:val="006D57FF"/>
    <w:rsid w:val="007264C3"/>
    <w:rsid w:val="00763F4B"/>
    <w:rsid w:val="00877229"/>
    <w:rsid w:val="008901A1"/>
    <w:rsid w:val="008C2DBF"/>
    <w:rsid w:val="008E12D2"/>
    <w:rsid w:val="00906DA2"/>
    <w:rsid w:val="00931AE9"/>
    <w:rsid w:val="0095136A"/>
    <w:rsid w:val="0098210A"/>
    <w:rsid w:val="009846B1"/>
    <w:rsid w:val="009B3139"/>
    <w:rsid w:val="009F40CB"/>
    <w:rsid w:val="00A375A2"/>
    <w:rsid w:val="00A54102"/>
    <w:rsid w:val="00A854D1"/>
    <w:rsid w:val="00A979EC"/>
    <w:rsid w:val="00AE26FC"/>
    <w:rsid w:val="00B20D09"/>
    <w:rsid w:val="00B4695C"/>
    <w:rsid w:val="00B52A42"/>
    <w:rsid w:val="00B909F1"/>
    <w:rsid w:val="00C10A1E"/>
    <w:rsid w:val="00C2022D"/>
    <w:rsid w:val="00C33558"/>
    <w:rsid w:val="00C57EFB"/>
    <w:rsid w:val="00CC0FB6"/>
    <w:rsid w:val="00DC2964"/>
    <w:rsid w:val="00E0243C"/>
    <w:rsid w:val="00E05177"/>
    <w:rsid w:val="00E47FC5"/>
    <w:rsid w:val="00E904A9"/>
    <w:rsid w:val="00E94C78"/>
    <w:rsid w:val="00EC247C"/>
    <w:rsid w:val="00F502C4"/>
    <w:rsid w:val="00F94A1E"/>
    <w:rsid w:val="00FC7C61"/>
    <w:rsid w:val="00FD084C"/>
    <w:rsid w:val="00FE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2D67AE"/>
  <w15:chartTrackingRefBased/>
  <w15:docId w15:val="{212CDE2E-EDC3-9D42-8C93-8E50A2A8A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72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72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72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72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72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729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729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729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729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72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72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72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72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72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72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72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72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72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729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72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729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72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729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72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72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72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72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72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729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C7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C729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72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E5223E4-7872-5C45-A138-E1680EF4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Murgiano, Leonardo</dc:creator>
  <cp:keywords/>
  <dc:description/>
  <cp:lastModifiedBy>Murgiano, Leonardo</cp:lastModifiedBy>
  <cp:revision>35</cp:revision>
  <dcterms:created xsi:type="dcterms:W3CDTF">2024-11-22T18:35:00Z</dcterms:created>
  <dcterms:modified xsi:type="dcterms:W3CDTF">2024-12-10T19:18:00Z</dcterms:modified>
</cp:coreProperties>
</file>