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CA5104">
      <w:pPr>
        <w:tabs>
          <w:tab w:val="left" w:pos="2016"/>
        </w:tabs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</w:pPr>
      <w:bookmarkStart w:id="1" w:name="_GoBack"/>
      <w:bookmarkEnd w:id="1"/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drawing>
          <wp:inline distT="0" distB="0" distL="114300" distR="114300">
            <wp:extent cx="5266690" cy="3218815"/>
            <wp:effectExtent l="0" t="0" r="3810" b="6985"/>
            <wp:docPr id="3" name="图片 3" descr="Fig S1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 S1 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1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4BEB7">
      <w:pPr>
        <w:tabs>
          <w:tab w:val="left" w:pos="2016"/>
        </w:tabs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 xml:space="preserve">Fig. S1. 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Schoenfeld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residuals test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 xml:space="preserve"> for each variable.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Schoenfeld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residuals test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for age, sex, ACA, </w:t>
      </w:r>
      <w:r>
        <w:rPr>
          <w:rFonts w:ascii="Times New Roman" w:hAnsi="Times New Roman" w:cs="Times New Roman"/>
          <w:sz w:val="20"/>
          <w:szCs w:val="20"/>
          <w:highlight w:val="none"/>
        </w:rPr>
        <w:t>spleen size below the costal margin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, </w:t>
      </w:r>
      <w:r>
        <w:rPr>
          <w:rFonts w:ascii="Times New Roman" w:hAnsi="Times New Roman" w:cs="Times New Roman"/>
          <w:sz w:val="20"/>
          <w:szCs w:val="20"/>
          <w:highlight w:val="none"/>
        </w:rPr>
        <w:t>WBC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, HB, PLT, EOS,BAS, PBB, </w:t>
      </w:r>
      <w:r>
        <w:rPr>
          <w:rFonts w:ascii="Times New Roman" w:hAnsi="Times New Roman" w:cs="Times New Roman"/>
          <w:sz w:val="20"/>
          <w:szCs w:val="20"/>
          <w:highlight w:val="none"/>
        </w:rPr>
        <w:t>history of TKI discontinuation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, </w:t>
      </w:r>
      <w:bookmarkStart w:id="0" w:name="OLE_LINK27"/>
      <w:r>
        <w:rPr>
          <w:rFonts w:ascii="Times New Roman" w:hAnsi="Times New Roman" w:cs="Times New Roman"/>
          <w:sz w:val="20"/>
          <w:szCs w:val="20"/>
          <w:highlight w:val="none"/>
        </w:rPr>
        <w:t>time from CML diagnosis to the start of first TKI, number of TKI lines used,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none"/>
        </w:rPr>
        <w:t>choice of TKI, number of lines of dasatinib used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, </w:t>
      </w:r>
      <w:r>
        <w:rPr>
          <w:rFonts w:ascii="Times New Roman" w:hAnsi="Times New Roman" w:cs="Times New Roman"/>
          <w:sz w:val="20"/>
          <w:szCs w:val="20"/>
          <w:highlight w:val="none"/>
        </w:rPr>
        <w:t>duration of dasatinib use,</w:t>
      </w:r>
      <w:bookmarkEnd w:id="0"/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and molecular response at 3, 6, and 12 months. 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ACA=</w:t>
      </w:r>
      <w:r>
        <w:rPr>
          <w:rFonts w:ascii="Times New Roman" w:hAnsi="Times New Roman" w:cs="Times New Roman"/>
          <w:sz w:val="20"/>
          <w:szCs w:val="20"/>
          <w:highlight w:val="none"/>
        </w:rPr>
        <w:t>additional chromosomal abnormality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; WBC=</w:t>
      </w:r>
      <w:r>
        <w:rPr>
          <w:rFonts w:ascii="Times New Roman" w:hAnsi="Times New Roman" w:cs="Times New Roman"/>
          <w:sz w:val="20"/>
          <w:szCs w:val="20"/>
          <w:highlight w:val="none"/>
        </w:rPr>
        <w:t>white blood cell count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; </w:t>
      </w:r>
      <w:r>
        <w:rPr>
          <w:rFonts w:ascii="Times New Roman" w:hAnsi="Times New Roman" w:cs="Times New Roman"/>
          <w:sz w:val="20"/>
          <w:szCs w:val="20"/>
          <w:highlight w:val="none"/>
        </w:rPr>
        <w:t>HB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=</w:t>
      </w:r>
      <w:r>
        <w:rPr>
          <w:rFonts w:ascii="Times New Roman" w:hAnsi="Times New Roman" w:cs="Times New Roman"/>
          <w:sz w:val="20"/>
          <w:szCs w:val="20"/>
          <w:highlight w:val="none"/>
        </w:rPr>
        <w:t>hemoglobin level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; PLT=</w:t>
      </w:r>
      <w:r>
        <w:rPr>
          <w:rFonts w:ascii="Times New Roman" w:hAnsi="Times New Roman" w:cs="Times New Roman"/>
          <w:sz w:val="20"/>
          <w:szCs w:val="20"/>
          <w:highlight w:val="none"/>
        </w:rPr>
        <w:t>platelet count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; </w:t>
      </w:r>
      <w:r>
        <w:rPr>
          <w:rFonts w:ascii="Times New Roman" w:hAnsi="Times New Roman" w:cs="Times New Roman"/>
          <w:sz w:val="20"/>
          <w:szCs w:val="20"/>
          <w:highlight w:val="none"/>
        </w:rPr>
        <w:t>EOS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=</w:t>
      </w:r>
      <w:r>
        <w:rPr>
          <w:rFonts w:ascii="Times New Roman" w:hAnsi="Times New Roman" w:cs="Times New Roman"/>
          <w:sz w:val="20"/>
          <w:szCs w:val="20"/>
          <w:highlight w:val="none"/>
        </w:rPr>
        <w:t>eosinophil count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; BAS=</w:t>
      </w:r>
      <w:r>
        <w:rPr>
          <w:rFonts w:ascii="Times New Roman" w:hAnsi="Times New Roman" w:cs="Times New Roman"/>
          <w:sz w:val="20"/>
          <w:szCs w:val="20"/>
          <w:highlight w:val="none"/>
        </w:rPr>
        <w:t>basophil count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; PBB=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>p</w:t>
      </w:r>
      <w:r>
        <w:rPr>
          <w:rFonts w:ascii="Times New Roman" w:hAnsi="Times New Roman" w:cs="Times New Roman"/>
          <w:sz w:val="20"/>
          <w:szCs w:val="20"/>
          <w:highlight w:val="none"/>
        </w:rPr>
        <w:t>eripheral blood blast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.</w:t>
      </w:r>
    </w:p>
    <w:p w14:paraId="26C0C378">
      <w:pPr>
        <w:tabs>
          <w:tab w:val="left" w:pos="2016"/>
        </w:tabs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319270" cy="4319270"/>
            <wp:effectExtent l="0" t="0" r="11430" b="11430"/>
            <wp:docPr id="4" name="图片 4" descr="Fig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9270" cy="431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E2CB6">
      <w:pPr>
        <w:tabs>
          <w:tab w:val="left" w:pos="2016"/>
        </w:tabs>
        <w:rPr>
          <w:rFonts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</w:rPr>
        <w:t>Fig.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S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2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 xml:space="preserve">. </w:t>
      </w:r>
      <w:r>
        <w:rPr>
          <w:rFonts w:ascii="Times New Roman" w:hAnsi="Times New Roman" w:cs="Times New Roman"/>
          <w:b/>
          <w:bCs/>
          <w:sz w:val="20"/>
          <w:szCs w:val="20"/>
        </w:rPr>
        <w:t>Kaplan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-</w:t>
      </w:r>
      <w:r>
        <w:rPr>
          <w:rFonts w:ascii="Times New Roman" w:hAnsi="Times New Roman" w:cs="Times New Roman"/>
          <w:b/>
          <w:bCs/>
          <w:sz w:val="20"/>
          <w:szCs w:val="20"/>
        </w:rPr>
        <w:t>Meier curves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 xml:space="preserve"> in training and validation cohorts. </w:t>
      </w:r>
      <w:r>
        <w:rPr>
          <w:rFonts w:ascii="Times New Roman" w:hAnsi="Times New Roman" w:cs="Times New Roman"/>
          <w:sz w:val="20"/>
          <w:szCs w:val="20"/>
        </w:rPr>
        <w:t>Kaplan</w:t>
      </w:r>
      <w:r>
        <w:rPr>
          <w:rFonts w:hint="eastAsia"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>Meier curves of</w:t>
      </w:r>
      <w:r>
        <w:rPr>
          <w:rFonts w:hint="eastAsia" w:ascii="Times New Roman" w:hAnsi="Times New Roman" w:cs="Times New Roman"/>
          <w:sz w:val="20"/>
          <w:szCs w:val="20"/>
        </w:rPr>
        <w:t xml:space="preserve"> T315I-free survival probability in chronic phase chronic myeloid leukemia patients in training and validation cohorts.</w:t>
      </w:r>
    </w:p>
    <w:p w14:paraId="30CB2DA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624C69"/>
    <w:rsid w:val="19A625A3"/>
    <w:rsid w:val="4262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2024-12-14T14:33:00Z</dcterms:created>
  <dc:creator>357058495</dc:creator>
  <cp:lastModifiedBy>357058495</cp:lastModifiedBy>
  <dcterms:modified xsi:type="dcterms:W3CDTF">2024-12-14T14:56:28Z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0475A6D718D84D55A08A24166A15C691_11</vt:lpwstr>
  </property>
</Properties>
</file>