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Spec="center" w:tblpY="2080"/>
        <w:tblOverlap w:val="never"/>
        <w:tblW w:w="4880" w:type="pct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6"/>
        <w:gridCol w:w="2134"/>
        <w:gridCol w:w="2916"/>
        <w:gridCol w:w="1522"/>
      </w:tblGrid>
      <w:tr w14:paraId="317A023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1049" w:type="pct"/>
            <w:tcBorders>
              <w:bottom w:val="single" w:color="auto" w:sz="4" w:space="0"/>
            </w:tcBorders>
          </w:tcPr>
          <w:p w14:paraId="3614BD3D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82" w:type="pct"/>
            <w:tcBorders>
              <w:bottom w:val="single" w:color="auto" w:sz="4" w:space="0"/>
            </w:tcBorders>
          </w:tcPr>
          <w:p w14:paraId="1E114B7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</w:rPr>
              <w:t xml:space="preserve">T315I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val="en-US" w:eastAsia="zh-CN"/>
              </w:rPr>
              <w:t xml:space="preserve">mutation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</w:rPr>
              <w:t>(n=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val="en-US" w:eastAsia="zh-CN"/>
              </w:rPr>
              <w:t>53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1752" w:type="pct"/>
            <w:tcBorders>
              <w:bottom w:val="single" w:color="auto" w:sz="4" w:space="0"/>
            </w:tcBorders>
          </w:tcPr>
          <w:p w14:paraId="7E3AC59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</w:rPr>
              <w:t xml:space="preserve">Non- T315I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val="en-US" w:eastAsia="zh-CN"/>
              </w:rPr>
              <w:t xml:space="preserve">BCR::ABL KD mutations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</w:rPr>
              <w:t>(n=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val="en-US" w:eastAsia="zh-CN"/>
              </w:rPr>
              <w:t>95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914" w:type="pct"/>
            <w:tcBorders>
              <w:bottom w:val="single" w:color="auto" w:sz="4" w:space="0"/>
            </w:tcBorders>
          </w:tcPr>
          <w:p w14:paraId="5A5BA85D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</w:rPr>
              <w:t>p value</w:t>
            </w:r>
          </w:p>
        </w:tc>
      </w:tr>
      <w:tr w14:paraId="5259A24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49" w:type="pct"/>
            <w:tcBorders>
              <w:top w:val="single" w:color="auto" w:sz="4" w:space="0"/>
              <w:tl2br w:val="nil"/>
              <w:tr2bl w:val="nil"/>
            </w:tcBorders>
          </w:tcPr>
          <w:p w14:paraId="234117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  <w:t>Imatinib</w:t>
            </w:r>
          </w:p>
        </w:tc>
        <w:tc>
          <w:tcPr>
            <w:tcW w:w="1282" w:type="pct"/>
            <w:tcBorders>
              <w:top w:val="single" w:color="auto" w:sz="4" w:space="0"/>
              <w:tl2br w:val="nil"/>
              <w:tr2bl w:val="nil"/>
            </w:tcBorders>
          </w:tcPr>
          <w:p w14:paraId="016EA5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  <w:t>19 (35.8)</w:t>
            </w:r>
          </w:p>
        </w:tc>
        <w:tc>
          <w:tcPr>
            <w:tcW w:w="1752" w:type="pct"/>
            <w:tcBorders>
              <w:top w:val="single" w:color="auto" w:sz="4" w:space="0"/>
              <w:tl2br w:val="nil"/>
              <w:tr2bl w:val="nil"/>
            </w:tcBorders>
          </w:tcPr>
          <w:p w14:paraId="49DCF18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  <w:t>69 (72.6)</w:t>
            </w:r>
          </w:p>
        </w:tc>
        <w:tc>
          <w:tcPr>
            <w:tcW w:w="914" w:type="pct"/>
            <w:tcBorders>
              <w:top w:val="single" w:color="auto" w:sz="4" w:space="0"/>
              <w:tl2br w:val="nil"/>
              <w:tr2bl w:val="nil"/>
            </w:tcBorders>
          </w:tcPr>
          <w:p w14:paraId="2A44DE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  <w:t>&lt;0.001</w:t>
            </w:r>
          </w:p>
        </w:tc>
      </w:tr>
      <w:tr w14:paraId="4B2E7AD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049" w:type="pct"/>
            <w:tcBorders>
              <w:tl2br w:val="nil"/>
              <w:tr2bl w:val="nil"/>
            </w:tcBorders>
          </w:tcPr>
          <w:p w14:paraId="7A710C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  <w:t>Dasatinib</w:t>
            </w:r>
          </w:p>
        </w:tc>
        <w:tc>
          <w:tcPr>
            <w:tcW w:w="1282" w:type="pct"/>
            <w:tcBorders>
              <w:tl2br w:val="nil"/>
              <w:tr2bl w:val="nil"/>
            </w:tcBorders>
          </w:tcPr>
          <w:p w14:paraId="5092D83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  <w:t xml:space="preserve">23 (43.4) </w:t>
            </w:r>
          </w:p>
        </w:tc>
        <w:tc>
          <w:tcPr>
            <w:tcW w:w="1752" w:type="pct"/>
            <w:tcBorders>
              <w:tl2br w:val="nil"/>
              <w:tr2bl w:val="nil"/>
            </w:tcBorders>
          </w:tcPr>
          <w:p w14:paraId="463201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  <w:t>11 (11.6)</w:t>
            </w:r>
          </w:p>
        </w:tc>
        <w:tc>
          <w:tcPr>
            <w:tcW w:w="914" w:type="pct"/>
            <w:tcBorders>
              <w:tl2br w:val="nil"/>
              <w:tr2bl w:val="nil"/>
            </w:tcBorders>
          </w:tcPr>
          <w:p w14:paraId="2FA3A0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  <w:t>&lt;0.001</w:t>
            </w:r>
          </w:p>
        </w:tc>
      </w:tr>
      <w:tr w14:paraId="653DB2B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049" w:type="pct"/>
            <w:tcBorders>
              <w:tl2br w:val="nil"/>
              <w:tr2bl w:val="nil"/>
            </w:tcBorders>
          </w:tcPr>
          <w:p w14:paraId="7067BB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  <w:t>Nilotinib</w:t>
            </w:r>
          </w:p>
        </w:tc>
        <w:tc>
          <w:tcPr>
            <w:tcW w:w="1282" w:type="pct"/>
            <w:tcBorders>
              <w:tl2br w:val="nil"/>
              <w:tr2bl w:val="nil"/>
            </w:tcBorders>
          </w:tcPr>
          <w:p w14:paraId="40026B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  <w:t>6 (11.3)</w:t>
            </w:r>
          </w:p>
        </w:tc>
        <w:tc>
          <w:tcPr>
            <w:tcW w:w="1752" w:type="pct"/>
            <w:tcBorders>
              <w:tl2br w:val="nil"/>
              <w:tr2bl w:val="nil"/>
            </w:tcBorders>
          </w:tcPr>
          <w:p w14:paraId="7D4885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  <w:t>10 (10.5)</w:t>
            </w:r>
          </w:p>
        </w:tc>
        <w:tc>
          <w:tcPr>
            <w:tcW w:w="914" w:type="pct"/>
            <w:tcBorders>
              <w:tl2br w:val="nil"/>
              <w:tr2bl w:val="nil"/>
            </w:tcBorders>
          </w:tcPr>
          <w:p w14:paraId="008ED6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  <w:t>0.881</w:t>
            </w:r>
          </w:p>
        </w:tc>
      </w:tr>
      <w:tr w14:paraId="41A0937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049" w:type="pct"/>
            <w:tcBorders>
              <w:tl2br w:val="nil"/>
              <w:tr2bl w:val="nil"/>
            </w:tcBorders>
          </w:tcPr>
          <w:p w14:paraId="1DFF621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atLeast"/>
              <w:ind w:left="0" w:right="0"/>
              <w:jc w:val="both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vertAlign w:val="baseline"/>
                <w:lang w:val="en-US" w:eastAsia="zh-CN" w:bidi="ar-SA"/>
              </w:rPr>
              <w:t>Flumatinib</w:t>
            </w:r>
          </w:p>
        </w:tc>
        <w:tc>
          <w:tcPr>
            <w:tcW w:w="1282" w:type="pct"/>
            <w:tcBorders>
              <w:tl2br w:val="nil"/>
              <w:tr2bl w:val="nil"/>
            </w:tcBorders>
          </w:tcPr>
          <w:p w14:paraId="222580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vertAlign w:val="baseline"/>
                <w:lang w:val="en-US" w:eastAsia="zh-CN" w:bidi="ar-SA"/>
              </w:rPr>
              <w:t>3 (5.7)</w:t>
            </w:r>
          </w:p>
        </w:tc>
        <w:tc>
          <w:tcPr>
            <w:tcW w:w="1752" w:type="pct"/>
            <w:tcBorders>
              <w:tl2br w:val="nil"/>
              <w:tr2bl w:val="nil"/>
            </w:tcBorders>
          </w:tcPr>
          <w:p w14:paraId="1127F4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vertAlign w:val="baseline"/>
                <w:lang w:val="en-US" w:eastAsia="zh-CN" w:bidi="ar-SA"/>
              </w:rPr>
              <w:t>3 (3.2)</w:t>
            </w:r>
          </w:p>
        </w:tc>
        <w:tc>
          <w:tcPr>
            <w:tcW w:w="914" w:type="pct"/>
            <w:tcBorders>
              <w:tl2br w:val="nil"/>
              <w:tr2bl w:val="nil"/>
            </w:tcBorders>
          </w:tcPr>
          <w:p w14:paraId="153EB2F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vertAlign w:val="baseline"/>
                <w:lang w:val="en-US" w:eastAsia="zh-CN" w:bidi="ar-SA"/>
              </w:rPr>
              <w:t>0.760</w:t>
            </w:r>
          </w:p>
        </w:tc>
      </w:tr>
      <w:tr w14:paraId="5DF3523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049" w:type="pct"/>
            <w:tcBorders>
              <w:tl2br w:val="nil"/>
              <w:tr2bl w:val="nil"/>
            </w:tcBorders>
          </w:tcPr>
          <w:p w14:paraId="070067B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vertAlign w:val="baseline"/>
                <w:lang w:val="en-US" w:eastAsia="zh-CN" w:bidi="ar-SA"/>
              </w:rPr>
              <w:t>Ponatinib</w:t>
            </w:r>
          </w:p>
        </w:tc>
        <w:tc>
          <w:tcPr>
            <w:tcW w:w="1282" w:type="pct"/>
            <w:tcBorders>
              <w:tl2br w:val="nil"/>
              <w:tr2bl w:val="nil"/>
            </w:tcBorders>
          </w:tcPr>
          <w:p w14:paraId="52A382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vertAlign w:val="baseline"/>
                <w:lang w:val="en-US" w:eastAsia="zh-CN" w:bidi="ar-SA"/>
              </w:rPr>
              <w:t>2 (3.8)</w:t>
            </w:r>
          </w:p>
        </w:tc>
        <w:tc>
          <w:tcPr>
            <w:tcW w:w="1752" w:type="pct"/>
            <w:tcBorders>
              <w:tl2br w:val="nil"/>
              <w:tr2bl w:val="nil"/>
            </w:tcBorders>
          </w:tcPr>
          <w:p w14:paraId="4C478C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vertAlign w:val="baseline"/>
                <w:lang w:val="en-US" w:eastAsia="zh-CN" w:bidi="ar-SA"/>
              </w:rPr>
              <w:t>0 (0.0)</w:t>
            </w:r>
          </w:p>
        </w:tc>
        <w:tc>
          <w:tcPr>
            <w:tcW w:w="914" w:type="pct"/>
            <w:tcBorders>
              <w:tl2br w:val="nil"/>
              <w:tr2bl w:val="nil"/>
            </w:tcBorders>
          </w:tcPr>
          <w:p w14:paraId="178509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vertAlign w:val="baseline"/>
                <w:lang w:val="en-US" w:eastAsia="zh-CN" w:bidi="ar-SA"/>
              </w:rPr>
              <w:t>0.127</w:t>
            </w:r>
          </w:p>
        </w:tc>
      </w:tr>
      <w:tr w14:paraId="65D4D6A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49" w:type="pct"/>
            <w:tcBorders>
              <w:tl2br w:val="nil"/>
              <w:tr2bl w:val="nil"/>
            </w:tcBorders>
          </w:tcPr>
          <w:p w14:paraId="1B9C7F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vertAlign w:val="baseline"/>
                <w:lang w:val="en-US" w:eastAsia="zh-CN" w:bidi="ar-SA"/>
              </w:rPr>
              <w:t>Olverembatinib</w:t>
            </w:r>
          </w:p>
        </w:tc>
        <w:tc>
          <w:tcPr>
            <w:tcW w:w="1282" w:type="pct"/>
            <w:tcBorders>
              <w:tl2br w:val="nil"/>
              <w:tr2bl w:val="nil"/>
            </w:tcBorders>
            <w:vAlign w:val="top"/>
          </w:tcPr>
          <w:p w14:paraId="3CCB43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vertAlign w:val="baseline"/>
                <w:lang w:val="en-US" w:eastAsia="zh-CN" w:bidi="ar-SA"/>
              </w:rPr>
              <w:t>0 (0.0)</w:t>
            </w:r>
          </w:p>
        </w:tc>
        <w:tc>
          <w:tcPr>
            <w:tcW w:w="1752" w:type="pct"/>
            <w:tcBorders>
              <w:tl2br w:val="nil"/>
              <w:tr2bl w:val="nil"/>
            </w:tcBorders>
            <w:vAlign w:val="top"/>
          </w:tcPr>
          <w:p w14:paraId="61300A6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vertAlign w:val="baseline"/>
                <w:lang w:val="en-US" w:eastAsia="zh-CN" w:bidi="ar-SA"/>
              </w:rPr>
              <w:t>1 (1.1)</w:t>
            </w:r>
          </w:p>
        </w:tc>
        <w:tc>
          <w:tcPr>
            <w:tcW w:w="914" w:type="pct"/>
            <w:tcBorders>
              <w:tl2br w:val="nil"/>
              <w:tr2bl w:val="nil"/>
            </w:tcBorders>
            <w:vAlign w:val="top"/>
          </w:tcPr>
          <w:p w14:paraId="6B5C4F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vertAlign w:val="baseline"/>
                <w:lang w:val="en-US" w:eastAsia="zh-CN" w:bidi="ar-SA"/>
              </w:rPr>
              <w:t>1.000</w:t>
            </w:r>
          </w:p>
        </w:tc>
      </w:tr>
    </w:tbl>
    <w:p w14:paraId="28CFD6E6">
      <w:pPr>
        <w:widowControl w:val="0"/>
        <w:numPr>
          <w:ilvl w:val="0"/>
          <w:numId w:val="0"/>
        </w:numPr>
        <w:jc w:val="left"/>
        <w:rPr>
          <w:rFonts w:hint="default" w:ascii="Times New Roman" w:hAnsi="Times New Roman" w:eastAsia="Times New Roman" w:cs="Times New Roman"/>
          <w:b/>
          <w:bCs/>
          <w:color w:val="000000"/>
          <w:kern w:val="2"/>
          <w:sz w:val="16"/>
          <w:szCs w:val="16"/>
          <w:lang w:val="en-US" w:eastAsia="zh-CN" w:bidi="ar-SA"/>
        </w:rPr>
      </w:pPr>
    </w:p>
    <w:p w14:paraId="618BB983">
      <w:pPr>
        <w:widowControl w:val="0"/>
        <w:numPr>
          <w:ilvl w:val="0"/>
          <w:numId w:val="0"/>
        </w:numPr>
        <w:jc w:val="left"/>
        <w:rPr>
          <w:rFonts w:hint="default" w:ascii="Times New Roman" w:hAnsi="Times New Roman" w:eastAsia="Times New Roman" w:cs="Times New Roman"/>
          <w:b/>
          <w:bCs/>
          <w:color w:val="000000"/>
          <w:kern w:val="2"/>
          <w:sz w:val="16"/>
          <w:szCs w:val="16"/>
          <w:lang w:val="en-US" w:eastAsia="zh-CN" w:bidi="ar-SA"/>
        </w:rPr>
      </w:pPr>
      <w:r>
        <w:rPr>
          <w:rFonts w:hint="eastAsia" w:ascii="Times New Roman" w:hAnsi="Times New Roman" w:eastAsia="Times New Roman" w:cs="Times New Roman"/>
          <w:b/>
          <w:bCs/>
          <w:color w:val="000000"/>
          <w:kern w:val="2"/>
          <w:sz w:val="16"/>
          <w:szCs w:val="16"/>
          <w:lang w:val="en-US" w:eastAsia="zh-CN" w:bidi="ar-SA"/>
        </w:rPr>
        <w:t>Table S1a. TKI analysis of patients with T315I mutation and non-T315I mutations</w:t>
      </w:r>
    </w:p>
    <w:p w14:paraId="6D31314B"/>
    <w:p w14:paraId="589F02D8">
      <w:pPr>
        <w:widowControl w:val="0"/>
        <w:numPr>
          <w:ilvl w:val="0"/>
          <w:numId w:val="0"/>
        </w:numPr>
        <w:jc w:val="left"/>
        <w:rPr>
          <w:rFonts w:hint="default" w:ascii="Times New Roman" w:hAnsi="Times New Roman" w:eastAsia="Times New Roman" w:cs="Times New Roman"/>
          <w:b/>
          <w:bCs/>
          <w:color w:val="000000"/>
          <w:kern w:val="2"/>
          <w:sz w:val="16"/>
          <w:szCs w:val="16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/>
          <w:bCs/>
          <w:color w:val="000000"/>
          <w:kern w:val="2"/>
          <w:sz w:val="16"/>
          <w:szCs w:val="16"/>
          <w:lang w:val="en-US" w:eastAsia="zh-CN" w:bidi="ar-SA"/>
        </w:rPr>
        <w:t>Table S</w:t>
      </w:r>
      <w:r>
        <w:rPr>
          <w:rFonts w:hint="eastAsia" w:ascii="Times New Roman" w:hAnsi="Times New Roman" w:eastAsia="Times New Roman" w:cs="Times New Roman"/>
          <w:b/>
          <w:bCs/>
          <w:color w:val="000000"/>
          <w:kern w:val="2"/>
          <w:sz w:val="16"/>
          <w:szCs w:val="16"/>
          <w:lang w:val="en-US" w:eastAsia="zh-CN" w:bidi="ar-SA"/>
        </w:rPr>
        <w:t>1b</w:t>
      </w:r>
      <w:bookmarkStart w:id="0" w:name="_GoBack"/>
      <w:bookmarkEnd w:id="0"/>
      <w:r>
        <w:rPr>
          <w:rFonts w:hint="default" w:ascii="Times New Roman" w:hAnsi="Times New Roman" w:eastAsia="Times New Roman" w:cs="Times New Roman"/>
          <w:b/>
          <w:bCs/>
          <w:color w:val="000000"/>
          <w:kern w:val="2"/>
          <w:sz w:val="16"/>
          <w:szCs w:val="16"/>
          <w:lang w:val="en-US" w:eastAsia="zh-CN" w:bidi="ar-SA"/>
        </w:rPr>
        <w:t>. TKI analysis of patients with T315I mutation and non BCR::ABL KD mutations</w:t>
      </w:r>
    </w:p>
    <w:tbl>
      <w:tblPr>
        <w:tblStyle w:val="4"/>
        <w:tblW w:w="4903" w:type="pct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2"/>
        <w:gridCol w:w="2167"/>
        <w:gridCol w:w="2851"/>
        <w:gridCol w:w="1608"/>
      </w:tblGrid>
      <w:tr w14:paraId="7A8F29B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1036" w:type="pct"/>
            <w:tcBorders>
              <w:bottom w:val="single" w:color="auto" w:sz="4" w:space="0"/>
            </w:tcBorders>
          </w:tcPr>
          <w:p w14:paraId="045E3FF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96" w:type="pct"/>
            <w:tcBorders>
              <w:bottom w:val="single" w:color="auto" w:sz="4" w:space="0"/>
            </w:tcBorders>
          </w:tcPr>
          <w:p w14:paraId="7FE67A1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</w:rPr>
              <w:t>T315I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val="en-US" w:eastAsia="zh-CN"/>
              </w:rPr>
              <w:t xml:space="preserve"> mutation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</w:rPr>
              <w:t xml:space="preserve"> (n=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val="en-US" w:eastAsia="zh-CN"/>
              </w:rPr>
              <w:t>53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1705" w:type="pct"/>
            <w:tcBorders>
              <w:bottom w:val="single" w:color="auto" w:sz="4" w:space="0"/>
            </w:tcBorders>
          </w:tcPr>
          <w:p w14:paraId="0C62B0FA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</w:rPr>
              <w:t xml:space="preserve">Non-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val="en-US" w:eastAsia="zh-CN"/>
              </w:rPr>
              <w:t>mutation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</w:rPr>
              <w:t xml:space="preserve"> (n=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val="en-US" w:eastAsia="zh-CN"/>
              </w:rPr>
              <w:t>2233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961" w:type="pct"/>
            <w:tcBorders>
              <w:bottom w:val="single" w:color="auto" w:sz="4" w:space="0"/>
            </w:tcBorders>
          </w:tcPr>
          <w:p w14:paraId="3D460DC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</w:rPr>
              <w:t>p value</w:t>
            </w:r>
          </w:p>
        </w:tc>
      </w:tr>
      <w:tr w14:paraId="365FED1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1036" w:type="pct"/>
            <w:tcBorders>
              <w:top w:val="single" w:color="auto" w:sz="4" w:space="0"/>
              <w:tl2br w:val="nil"/>
              <w:tr2bl w:val="nil"/>
            </w:tcBorders>
          </w:tcPr>
          <w:p w14:paraId="096994F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vertAlign w:val="baseline"/>
                <w:lang w:val="en-US" w:eastAsia="zh-CN" w:bidi="ar-SA"/>
              </w:rPr>
              <w:t>Imatinib</w:t>
            </w:r>
          </w:p>
        </w:tc>
        <w:tc>
          <w:tcPr>
            <w:tcW w:w="1296" w:type="pct"/>
            <w:tcBorders>
              <w:top w:val="single" w:color="auto" w:sz="4" w:space="0"/>
              <w:tl2br w:val="nil"/>
              <w:tr2bl w:val="nil"/>
            </w:tcBorders>
          </w:tcPr>
          <w:p w14:paraId="62CB62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vertAlign w:val="baseline"/>
                <w:lang w:val="en-US" w:eastAsia="zh-CN" w:bidi="ar-SA"/>
              </w:rPr>
              <w:t>19 (35.8)</w:t>
            </w:r>
          </w:p>
        </w:tc>
        <w:tc>
          <w:tcPr>
            <w:tcW w:w="1705" w:type="pct"/>
            <w:tcBorders>
              <w:top w:val="single" w:color="auto" w:sz="4" w:space="0"/>
              <w:tl2br w:val="nil"/>
              <w:tr2bl w:val="nil"/>
            </w:tcBorders>
          </w:tcPr>
          <w:p w14:paraId="725E23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vertAlign w:val="baseline"/>
                <w:lang w:val="en-US" w:eastAsia="zh-CN" w:bidi="ar-SA"/>
              </w:rPr>
              <w:t>1548 (69.3)</w:t>
            </w:r>
          </w:p>
        </w:tc>
        <w:tc>
          <w:tcPr>
            <w:tcW w:w="961" w:type="pct"/>
            <w:tcBorders>
              <w:top w:val="single" w:color="auto" w:sz="4" w:space="0"/>
              <w:tl2br w:val="nil"/>
              <w:tr2bl w:val="nil"/>
            </w:tcBorders>
          </w:tcPr>
          <w:p w14:paraId="6237EC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vertAlign w:val="baseline"/>
                <w:lang w:val="en-US" w:eastAsia="zh-CN" w:bidi="ar-SA"/>
              </w:rPr>
              <w:t>&lt;0.001</w:t>
            </w:r>
          </w:p>
        </w:tc>
      </w:tr>
      <w:tr w14:paraId="783B7DB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1036" w:type="pct"/>
            <w:tcBorders>
              <w:tl2br w:val="nil"/>
              <w:tr2bl w:val="nil"/>
            </w:tcBorders>
          </w:tcPr>
          <w:p w14:paraId="4087CE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vertAlign w:val="baseline"/>
                <w:lang w:val="en-US" w:eastAsia="zh-CN" w:bidi="ar-SA"/>
              </w:rPr>
              <w:t>Dasatinib</w:t>
            </w:r>
          </w:p>
        </w:tc>
        <w:tc>
          <w:tcPr>
            <w:tcW w:w="1296" w:type="pct"/>
            <w:tcBorders>
              <w:tl2br w:val="nil"/>
              <w:tr2bl w:val="nil"/>
            </w:tcBorders>
          </w:tcPr>
          <w:p w14:paraId="5AA0C4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vertAlign w:val="baseline"/>
                <w:lang w:val="en-US" w:eastAsia="zh-CN" w:bidi="ar-SA"/>
              </w:rPr>
              <w:t xml:space="preserve">23 (43.4) </w:t>
            </w:r>
          </w:p>
        </w:tc>
        <w:tc>
          <w:tcPr>
            <w:tcW w:w="1705" w:type="pct"/>
            <w:tcBorders>
              <w:tl2br w:val="nil"/>
              <w:tr2bl w:val="nil"/>
            </w:tcBorders>
          </w:tcPr>
          <w:p w14:paraId="51DD1A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vertAlign w:val="baseline"/>
                <w:lang w:val="en-US" w:eastAsia="zh-CN" w:bidi="ar-SA"/>
              </w:rPr>
              <w:t>230 (10.3)</w:t>
            </w:r>
          </w:p>
        </w:tc>
        <w:tc>
          <w:tcPr>
            <w:tcW w:w="961" w:type="pct"/>
            <w:tcBorders>
              <w:tl2br w:val="nil"/>
              <w:tr2bl w:val="nil"/>
            </w:tcBorders>
          </w:tcPr>
          <w:p w14:paraId="328BC7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vertAlign w:val="baseline"/>
                <w:lang w:val="en-US" w:eastAsia="zh-CN" w:bidi="ar-SA"/>
              </w:rPr>
              <w:t>&lt;0.001</w:t>
            </w:r>
          </w:p>
        </w:tc>
      </w:tr>
      <w:tr w14:paraId="1FB5381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1036" w:type="pct"/>
            <w:tcBorders>
              <w:tl2br w:val="nil"/>
              <w:tr2bl w:val="nil"/>
            </w:tcBorders>
          </w:tcPr>
          <w:p w14:paraId="1A4EEA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vertAlign w:val="baseline"/>
                <w:lang w:val="en-US" w:eastAsia="zh-CN" w:bidi="ar-SA"/>
              </w:rPr>
              <w:t>Nilotinib</w:t>
            </w:r>
          </w:p>
        </w:tc>
        <w:tc>
          <w:tcPr>
            <w:tcW w:w="1296" w:type="pct"/>
            <w:tcBorders>
              <w:tl2br w:val="nil"/>
              <w:tr2bl w:val="nil"/>
            </w:tcBorders>
          </w:tcPr>
          <w:p w14:paraId="19A7A4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vertAlign w:val="baseline"/>
                <w:lang w:val="en-US" w:eastAsia="zh-CN" w:bidi="ar-SA"/>
              </w:rPr>
              <w:t>6 (11.3)</w:t>
            </w:r>
          </w:p>
        </w:tc>
        <w:tc>
          <w:tcPr>
            <w:tcW w:w="1705" w:type="pct"/>
            <w:tcBorders>
              <w:tl2br w:val="nil"/>
              <w:tr2bl w:val="nil"/>
            </w:tcBorders>
          </w:tcPr>
          <w:p w14:paraId="06DF2A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vertAlign w:val="baseline"/>
                <w:lang w:val="en-US" w:eastAsia="zh-CN" w:bidi="ar-SA"/>
              </w:rPr>
              <w:t>220 (9.9)</w:t>
            </w:r>
          </w:p>
        </w:tc>
        <w:tc>
          <w:tcPr>
            <w:tcW w:w="961" w:type="pct"/>
            <w:tcBorders>
              <w:tl2br w:val="nil"/>
              <w:tr2bl w:val="nil"/>
            </w:tcBorders>
          </w:tcPr>
          <w:p w14:paraId="57BDCC6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vertAlign w:val="baseline"/>
                <w:lang w:val="en-US" w:eastAsia="zh-CN" w:bidi="ar-SA"/>
              </w:rPr>
              <w:t>0.723</w:t>
            </w:r>
          </w:p>
        </w:tc>
      </w:tr>
      <w:tr w14:paraId="70570A2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1036" w:type="pct"/>
            <w:tcBorders>
              <w:tl2br w:val="nil"/>
              <w:tr2bl w:val="nil"/>
            </w:tcBorders>
          </w:tcPr>
          <w:p w14:paraId="520688F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vertAlign w:val="baseline"/>
                <w:lang w:val="en-US" w:eastAsia="zh-CN" w:bidi="ar-SA"/>
              </w:rPr>
              <w:t>Flumatinib</w:t>
            </w:r>
          </w:p>
        </w:tc>
        <w:tc>
          <w:tcPr>
            <w:tcW w:w="1296" w:type="pct"/>
            <w:tcBorders>
              <w:tl2br w:val="nil"/>
              <w:tr2bl w:val="nil"/>
            </w:tcBorders>
          </w:tcPr>
          <w:p w14:paraId="73369E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vertAlign w:val="baseline"/>
                <w:lang w:val="en-US" w:eastAsia="zh-CN" w:bidi="ar-SA"/>
              </w:rPr>
              <w:t>3 (5.7)</w:t>
            </w:r>
          </w:p>
        </w:tc>
        <w:tc>
          <w:tcPr>
            <w:tcW w:w="1705" w:type="pct"/>
            <w:tcBorders>
              <w:tl2br w:val="nil"/>
              <w:tr2bl w:val="nil"/>
            </w:tcBorders>
          </w:tcPr>
          <w:p w14:paraId="7F1CB6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vertAlign w:val="baseline"/>
                <w:lang w:val="en-US" w:eastAsia="zh-CN" w:bidi="ar-SA"/>
              </w:rPr>
              <w:t>221 (9.9)</w:t>
            </w:r>
          </w:p>
        </w:tc>
        <w:tc>
          <w:tcPr>
            <w:tcW w:w="961" w:type="pct"/>
            <w:tcBorders>
              <w:tl2br w:val="nil"/>
              <w:tr2bl w:val="nil"/>
            </w:tcBorders>
          </w:tcPr>
          <w:p w14:paraId="007770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vertAlign w:val="baseline"/>
                <w:lang w:val="en-US" w:eastAsia="zh-CN" w:bidi="ar-SA"/>
              </w:rPr>
              <w:t>0.429</w:t>
            </w:r>
          </w:p>
        </w:tc>
      </w:tr>
      <w:tr w14:paraId="50DD5ED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1036" w:type="pct"/>
            <w:tcBorders>
              <w:tl2br w:val="nil"/>
              <w:tr2bl w:val="nil"/>
            </w:tcBorders>
          </w:tcPr>
          <w:p w14:paraId="37D99C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vertAlign w:val="baseline"/>
                <w:lang w:val="en-US" w:eastAsia="zh-CN" w:bidi="ar-SA"/>
              </w:rPr>
              <w:t>Ponatinib</w:t>
            </w:r>
          </w:p>
        </w:tc>
        <w:tc>
          <w:tcPr>
            <w:tcW w:w="1296" w:type="pct"/>
            <w:tcBorders>
              <w:tl2br w:val="nil"/>
              <w:tr2bl w:val="nil"/>
            </w:tcBorders>
          </w:tcPr>
          <w:p w14:paraId="5FDC73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vertAlign w:val="baseline"/>
                <w:lang w:val="en-US" w:eastAsia="zh-CN" w:bidi="ar-SA"/>
              </w:rPr>
              <w:t>2 (3.8)</w:t>
            </w:r>
          </w:p>
        </w:tc>
        <w:tc>
          <w:tcPr>
            <w:tcW w:w="1705" w:type="pct"/>
            <w:tcBorders>
              <w:tl2br w:val="nil"/>
              <w:tr2bl w:val="nil"/>
            </w:tcBorders>
          </w:tcPr>
          <w:p w14:paraId="79864F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vertAlign w:val="baseline"/>
                <w:lang w:val="en-US" w:eastAsia="zh-CN" w:bidi="ar-SA"/>
              </w:rPr>
              <w:t>14 (0.3)</w:t>
            </w:r>
          </w:p>
        </w:tc>
        <w:tc>
          <w:tcPr>
            <w:tcW w:w="961" w:type="pct"/>
            <w:tcBorders>
              <w:tl2br w:val="nil"/>
              <w:tr2bl w:val="nil"/>
            </w:tcBorders>
          </w:tcPr>
          <w:p w14:paraId="4EBB64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vertAlign w:val="baseline"/>
                <w:lang w:val="en-US" w:eastAsia="zh-CN" w:bidi="ar-SA"/>
              </w:rPr>
              <w:t>0.06</w:t>
            </w:r>
          </w:p>
        </w:tc>
      </w:tr>
      <w:tr w14:paraId="057EF59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1036" w:type="pct"/>
            <w:tcBorders>
              <w:tl2br w:val="nil"/>
              <w:tr2bl w:val="nil"/>
            </w:tcBorders>
          </w:tcPr>
          <w:p w14:paraId="08A8ED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vertAlign w:val="baseline"/>
                <w:lang w:val="en-US" w:eastAsia="zh-CN" w:bidi="ar-SA"/>
              </w:rPr>
              <w:t>Olverembatinib</w:t>
            </w:r>
          </w:p>
        </w:tc>
        <w:tc>
          <w:tcPr>
            <w:tcW w:w="1296" w:type="pct"/>
            <w:tcBorders>
              <w:tl2br w:val="nil"/>
              <w:tr2bl w:val="nil"/>
            </w:tcBorders>
            <w:vAlign w:val="top"/>
          </w:tcPr>
          <w:p w14:paraId="46DFF8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vertAlign w:val="baseline"/>
                <w:lang w:val="en-US" w:eastAsia="zh-CN" w:bidi="ar-SA"/>
              </w:rPr>
              <w:t>0 (0.0)</w:t>
            </w:r>
          </w:p>
        </w:tc>
        <w:tc>
          <w:tcPr>
            <w:tcW w:w="1705" w:type="pct"/>
            <w:tcBorders>
              <w:tl2br w:val="nil"/>
              <w:tr2bl w:val="nil"/>
            </w:tcBorders>
            <w:vAlign w:val="top"/>
          </w:tcPr>
          <w:p w14:paraId="5E663E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vertAlign w:val="baseline"/>
                <w:lang w:val="en-US" w:eastAsia="zh-CN" w:bidi="ar-SA"/>
              </w:rPr>
              <w:t>0 (0.0)</w:t>
            </w:r>
          </w:p>
        </w:tc>
        <w:tc>
          <w:tcPr>
            <w:tcW w:w="961" w:type="pct"/>
            <w:tcBorders>
              <w:tl2br w:val="nil"/>
              <w:tr2bl w:val="nil"/>
            </w:tcBorders>
            <w:vAlign w:val="top"/>
          </w:tcPr>
          <w:p w14:paraId="6D1969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vertAlign w:val="baseline"/>
                <w:lang w:val="en-US" w:eastAsia="zh-CN" w:bidi="ar-SA"/>
              </w:rPr>
              <w:t>/</w:t>
            </w:r>
          </w:p>
        </w:tc>
      </w:tr>
    </w:tbl>
    <w:p w14:paraId="3A5147D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B708CD"/>
    <w:rsid w:val="2A614A86"/>
    <w:rsid w:val="47B70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115</Words>
  <Characters>585</Characters>
  <Lines>0</Lines>
  <Paragraphs>0</Paragraphs>
  <TotalTime>0</TotalTime>
  <ScaleCrop>false</ScaleCrop>
  <LinksUpToDate>false</LinksUpToDate>
  <CharactersWithSpaces>647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2024-12-01T06:35:00Z</dcterms:created>
  <dc:creator>357058495</dc:creator>
  <cp:lastModifiedBy>357058495</cp:lastModifiedBy>
  <dcterms:modified xsi:type="dcterms:W3CDTF">2024-12-17T14:00:22Z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B20B6BAF035C46B6AC76D0B2289BF918_11</vt:lpwstr>
  </property>
</Properties>
</file>