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Table S1. Small molecule targeted therapy evaluated in this study.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35"/>
        <w:gridCol w:w="1875"/>
        <w:gridCol w:w="2355"/>
        <w:gridCol w:w="2505"/>
        <w:gridCol w:w="1290"/>
        <w:tblGridChange w:id="0">
          <w:tblGrid>
            <w:gridCol w:w="1335"/>
            <w:gridCol w:w="1875"/>
            <w:gridCol w:w="2355"/>
            <w:gridCol w:w="2505"/>
            <w:gridCol w:w="12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line="331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Drug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line="331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Dose and regimen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line="33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Class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line="33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Target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line="331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Number of dogs treated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Dasatinib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0.5-0.7 mg/Kg every other day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Tyrosine kinase inhibitor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BRC-ABL, SRC family (SRC, LCK, YES, FYN), KIT, EPHA2, PDGFR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highlight w:val="white"/>
                <w:rtl w:val="0"/>
              </w:rPr>
              <w:t xml:space="preserve">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Imatinib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 mg/Kg/ day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Tyrosine kinase inhibitor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BRC-ABL, KIT, PDGFR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Lapatinib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10-30 mg/Kg/day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Tyrosine kinase inhibitor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EGFR, ERBB2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Olaparib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 mg/Kg/day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Poly (ADP-ribose) polymerase (PARP) enzyme inhibitor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PARP1, PARP2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Palbociclib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 mg/Kg/day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Kinase inhibitor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CDK4, CDK6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Rapamycin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 mg/Kg/day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Macrocyclic immunosuppressive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mTOR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216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Sorafenib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3-5 mg/Kg/day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Tyrosine kinase inhibitor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KIT, FMS-like tyrosine kinase 3, RET, VEGFR-1, VEGFR-2, VEGFR-3, PDGFR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Toceranib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2.5-3.25 mg/Kg/day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Tyrosine kinase inhibitor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VEGFR, PDGFR, Kit, CSF-1, FLT3, RET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Trametinib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0.02-0.03 mg/Kg/day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Kinase inhibitor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MEK1, MEK2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Vorinostat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15-30 mg/Kg every other day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Histone deacetylase inhibitor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HDAC1, HDAC2, HDAC3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73</w:t>
            </w:r>
          </w:p>
        </w:tc>
      </w:tr>
    </w:tbl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Table S2. Chemotherapy evaluated in this study.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75"/>
        <w:gridCol w:w="2775"/>
        <w:gridCol w:w="2370"/>
        <w:gridCol w:w="1575"/>
        <w:gridCol w:w="1065"/>
        <w:tblGridChange w:id="0">
          <w:tblGrid>
            <w:gridCol w:w="1575"/>
            <w:gridCol w:w="2775"/>
            <w:gridCol w:w="2370"/>
            <w:gridCol w:w="1575"/>
            <w:gridCol w:w="10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line="331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Drug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line="331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Chemotherapy Type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line="331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Dose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line="33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Interval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line="331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Number of dogs treated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Doxorubicin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High-dose chemotherapy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25-30 mg/m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 1 mg/Kg (in dogs &lt;15Kg)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3 weeks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291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Carboplatin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High-dose chemotherapy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240-300 mg/m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3 weeks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Mitoxantrone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High-dose chemotherapy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5-6 mg/m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Every 3 weeks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05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Table S3. Median survival and survival rates at 1 and 2 years by treatment group and clinical staging.</w:t>
      </w:r>
    </w:p>
    <w:p w:rsidR="00000000" w:rsidDel="00000000" w:rsidP="00000000" w:rsidRDefault="00000000" w:rsidRPr="00000000" w14:paraId="00000054">
      <w:pPr>
        <w:spacing w:line="331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0"/>
        <w:gridCol w:w="3240"/>
        <w:gridCol w:w="1860"/>
        <w:gridCol w:w="1860"/>
        <w:gridCol w:w="1860"/>
        <w:tblGridChange w:id="0">
          <w:tblGrid>
            <w:gridCol w:w="480"/>
            <w:gridCol w:w="3240"/>
            <w:gridCol w:w="1860"/>
            <w:gridCol w:w="1860"/>
            <w:gridCol w:w="1860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spacing w:line="33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Treatment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pacing w:line="331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Median Survival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line="33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 Year Survival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spacing w:line="33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2 Years Survival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Stage II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Splenectomy alone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52 days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4.3% (1/23)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0% (0/23)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Splenectomy with chemotherapy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118 days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11.1% (5/45)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0% (0/45)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Splenectomy with targeted therapy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130 days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17.1% (6/35)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0% (9/35)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Splenectomy with chemotherapy and targeted therapy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205.5 days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20.8% (20/96)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5.2% (5/96)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Stage III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Splenectomy alone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75.5 days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0% (0/12)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0% (0/12)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Splenectomy with chemotherapy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89 days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0% (0/13)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0% (0/13)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Splenectomy with targeted therapy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181 days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11.1% (1/9)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0% (0/9)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Splenectomy with chemotherapy and targeted therapy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128 days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8% (2/25)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0% (0/25)</w:t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480" w:lineRule="auto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5943600" cy="37973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Figure S1</w:t>
      </w:r>
      <w:r w:rsidDel="00000000" w:rsidR="00000000" w:rsidRPr="00000000">
        <w:rPr>
          <w:b w:val="1"/>
          <w:rtl w:val="0"/>
        </w:rPr>
        <w:t xml:space="preserve">.</w:t>
      </w:r>
      <w:r w:rsidDel="00000000" w:rsidR="00000000" w:rsidRPr="00000000">
        <w:rPr>
          <w:rtl w:val="0"/>
        </w:rPr>
        <w:t xml:space="preserve"> Kaplain-Meier comparison of overall survival (OS) for splenic HSA with </w:t>
      </w:r>
      <w:r w:rsidDel="00000000" w:rsidR="00000000" w:rsidRPr="00000000">
        <w:rPr>
          <w:i w:val="1"/>
          <w:rtl w:val="0"/>
        </w:rPr>
        <w:t xml:space="preserve">PTEN</w:t>
      </w:r>
      <w:r w:rsidDel="00000000" w:rsidR="00000000" w:rsidRPr="00000000">
        <w:rPr>
          <w:rtl w:val="0"/>
        </w:rPr>
        <w:t xml:space="preserve"> (blue line), </w:t>
      </w:r>
      <w:r w:rsidDel="00000000" w:rsidR="00000000" w:rsidRPr="00000000">
        <w:rPr>
          <w:i w:val="1"/>
          <w:rtl w:val="0"/>
        </w:rPr>
        <w:t xml:space="preserve">TP53</w:t>
      </w:r>
      <w:r w:rsidDel="00000000" w:rsidR="00000000" w:rsidRPr="00000000">
        <w:rPr>
          <w:rtl w:val="0"/>
        </w:rPr>
        <w:t xml:space="preserve"> (orange line), </w:t>
      </w:r>
      <w:r w:rsidDel="00000000" w:rsidR="00000000" w:rsidRPr="00000000">
        <w:rPr>
          <w:i w:val="1"/>
          <w:rtl w:val="0"/>
        </w:rPr>
        <w:t xml:space="preserve">PTEN-TP53</w:t>
      </w:r>
      <w:r w:rsidDel="00000000" w:rsidR="00000000" w:rsidRPr="00000000">
        <w:rPr>
          <w:rtl w:val="0"/>
        </w:rPr>
        <w:t xml:space="preserve"> (green line), </w:t>
      </w:r>
      <w:r w:rsidDel="00000000" w:rsidR="00000000" w:rsidRPr="00000000">
        <w:rPr>
          <w:i w:val="1"/>
          <w:rtl w:val="0"/>
        </w:rPr>
        <w:t xml:space="preserve">PIK3CA</w:t>
      </w:r>
      <w:r w:rsidDel="00000000" w:rsidR="00000000" w:rsidRPr="00000000">
        <w:rPr>
          <w:rtl w:val="0"/>
        </w:rPr>
        <w:t xml:space="preserve"> (red line), </w:t>
      </w:r>
      <w:r w:rsidDel="00000000" w:rsidR="00000000" w:rsidRPr="00000000">
        <w:rPr>
          <w:i w:val="1"/>
          <w:rtl w:val="0"/>
        </w:rPr>
        <w:t xml:space="preserve">PIK3CA-TP53</w:t>
      </w:r>
      <w:r w:rsidDel="00000000" w:rsidR="00000000" w:rsidRPr="00000000">
        <w:rPr>
          <w:rtl w:val="0"/>
        </w:rPr>
        <w:t xml:space="preserve"> (purple line) and</w:t>
      </w:r>
      <w:r w:rsidDel="00000000" w:rsidR="00000000" w:rsidRPr="00000000">
        <w:rPr>
          <w:i w:val="1"/>
          <w:rtl w:val="0"/>
        </w:rPr>
        <w:t xml:space="preserve"> NRAS</w:t>
      </w:r>
      <w:r w:rsidDel="00000000" w:rsidR="00000000" w:rsidRPr="00000000">
        <w:rPr>
          <w:rtl w:val="0"/>
        </w:rPr>
        <w:t xml:space="preserve"> (brown line) mutation containing tumors.</w:t>
      </w:r>
    </w:p>
    <w:p w:rsidR="00000000" w:rsidDel="00000000" w:rsidP="00000000" w:rsidRDefault="00000000" w:rsidRPr="00000000" w14:paraId="00000094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240" w:lineRule="auto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4839728" cy="3478820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39728" cy="34788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Figure S2</w:t>
      </w:r>
      <w:r w:rsidDel="00000000" w:rsidR="00000000" w:rsidRPr="00000000">
        <w:rPr>
          <w:b w:val="1"/>
          <w:rtl w:val="0"/>
        </w:rPr>
        <w:t xml:space="preserve">.</w:t>
      </w:r>
      <w:r w:rsidDel="00000000" w:rsidR="00000000" w:rsidRPr="00000000">
        <w:rPr>
          <w:rtl w:val="0"/>
        </w:rPr>
        <w:t xml:space="preserve"> Heatmap indicating the percentage of tumors with overlapping mutations found with the FidoCure</w:t>
      </w:r>
      <w:r w:rsidDel="00000000" w:rsidR="00000000" w:rsidRPr="00000000">
        <w:rPr>
          <w:vertAlign w:val="superscript"/>
          <w:rtl w:val="0"/>
        </w:rPr>
        <w:t xml:space="preserve">®</w:t>
      </w:r>
      <w:r w:rsidDel="00000000" w:rsidR="00000000" w:rsidRPr="00000000">
        <w:rPr>
          <w:rtl w:val="0"/>
        </w:rPr>
        <w:t xml:space="preserve"> cancer gene screen to be in the same sample.</w:t>
      </w:r>
    </w:p>
    <w:p w:rsidR="00000000" w:rsidDel="00000000" w:rsidP="00000000" w:rsidRDefault="00000000" w:rsidRPr="00000000" w14:paraId="000000A4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171450</wp:posOffset>
            </wp:positionH>
            <wp:positionV relativeFrom="paragraph">
              <wp:posOffset>114300</wp:posOffset>
            </wp:positionV>
            <wp:extent cx="5129213" cy="3427939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29213" cy="342793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A7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Figure S3. Distribution of days from diagnosis to targeted treatment. We report a median of 40 days from diagnosis to treatment for canines treated with splenectomy followed by a targeted therapy alone or in combination.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