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0D5E" w:rsidRDefault="00710D5E" w:rsidP="00710D5E">
      <w:pPr>
        <w:widowControl/>
        <w:jc w:val="left"/>
        <w:rPr>
          <w:rFonts w:ascii="Times New Roman" w:hAnsi="Times New Roman" w:cs="Helvetica Neue"/>
          <w:color w:val="1C1917"/>
          <w:kern w:val="0"/>
          <w:sz w:val="27"/>
          <w:szCs w:val="27"/>
          <w:shd w:val="clear" w:color="auto" w:fill="FFFFFF"/>
          <w:lang w:bidi="ar"/>
        </w:rPr>
      </w:pPr>
      <w:r w:rsidRPr="00710D5E">
        <w:rPr>
          <w:rFonts w:ascii="Times New Roman" w:hAnsi="Times New Roman" w:cs="Helvetica Neue" w:hint="eastAsia"/>
          <w:color w:val="1C1917"/>
          <w:kern w:val="0"/>
          <w:sz w:val="27"/>
          <w:szCs w:val="27"/>
          <w:shd w:val="clear" w:color="auto" w:fill="FFFFFF"/>
          <w:lang w:bidi="ar"/>
        </w:rPr>
        <w:t>Supplementary Tables</w:t>
      </w:r>
    </w:p>
    <w:p w:rsidR="00710D5E" w:rsidRDefault="00710D5E" w:rsidP="00710D5E">
      <w:pPr>
        <w:widowControl/>
        <w:jc w:val="left"/>
        <w:rPr>
          <w:rFonts w:ascii="Times New Roman" w:eastAsia="Helvetica Neue" w:hAnsi="Times New Roman" w:cs="Helvetica Neue"/>
          <w:color w:val="1C1917"/>
          <w:kern w:val="0"/>
          <w:sz w:val="27"/>
          <w:szCs w:val="27"/>
          <w:shd w:val="clear" w:color="auto" w:fill="FFFFFF"/>
          <w:lang w:bidi="ar"/>
        </w:rPr>
      </w:pPr>
    </w:p>
    <w:p w:rsidR="00710D5E" w:rsidRDefault="00710D5E" w:rsidP="00710D5E">
      <w:pPr>
        <w:widowControl/>
        <w:jc w:val="left"/>
        <w:rPr>
          <w:rFonts w:ascii="Times New Roman" w:eastAsia="Helvetica Neue" w:hAnsi="Times New Roman" w:cs="Helvetica Neue"/>
          <w:color w:val="1C1917"/>
          <w:kern w:val="0"/>
          <w:sz w:val="27"/>
          <w:szCs w:val="27"/>
          <w:shd w:val="clear" w:color="auto" w:fill="FFFFFF"/>
          <w:lang w:bidi="ar"/>
        </w:rPr>
      </w:pPr>
    </w:p>
    <w:p w:rsidR="00710D5E" w:rsidRPr="00C856FE" w:rsidRDefault="00710D5E" w:rsidP="00710D5E">
      <w:pPr>
        <w:widowControl/>
        <w:jc w:val="left"/>
        <w:rPr>
          <w:rFonts w:ascii="Times New Roman" w:eastAsia="Helvetica Neue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</w:pPr>
      <w:r w:rsidRPr="00C856FE">
        <w:rPr>
          <w:rFonts w:ascii="Times New Roman" w:eastAsia="Helvetica Neue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  <w:t>T</w:t>
      </w:r>
      <w:r w:rsidRPr="00C856FE">
        <w:rPr>
          <w:rFonts w:ascii="Times New Roman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  <w:t>itle</w:t>
      </w:r>
      <w:r w:rsidRPr="00C856FE">
        <w:rPr>
          <w:rFonts w:ascii="Times New Roman" w:eastAsia="宋体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  <w:t>：</w:t>
      </w:r>
      <w:bookmarkStart w:id="0" w:name="_Hlk160362454"/>
      <w:r w:rsidRPr="00C856FE">
        <w:rPr>
          <w:rFonts w:ascii="Times New Roman" w:eastAsia="Helvetica Neue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  <w:t xml:space="preserve">Association Between </w:t>
      </w:r>
      <w:r w:rsidR="00AE4AB5" w:rsidRPr="00AE4AB5">
        <w:rPr>
          <w:rFonts w:ascii="Times New Roman" w:eastAsia="Helvetica Neue" w:hAnsi="Times New Roman" w:cs="Times New Roman" w:hint="eastAsia"/>
          <w:color w:val="1C1917"/>
          <w:kern w:val="0"/>
          <w:sz w:val="27"/>
          <w:szCs w:val="27"/>
          <w:shd w:val="clear" w:color="auto" w:fill="FFFFFF"/>
          <w:lang w:bidi="ar"/>
        </w:rPr>
        <w:t>Cardiovascular Health</w:t>
      </w:r>
      <w:r w:rsidRPr="00C856FE">
        <w:rPr>
          <w:rFonts w:ascii="Times New Roman" w:eastAsia="Helvetica Neue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  <w:t xml:space="preserve"> and Overactive Bladder</w:t>
      </w:r>
      <w:bookmarkEnd w:id="0"/>
    </w:p>
    <w:p w:rsidR="00710D5E" w:rsidRPr="00642BA9" w:rsidRDefault="00710D5E" w:rsidP="00710D5E">
      <w:pPr>
        <w:widowControl/>
        <w:jc w:val="left"/>
        <w:rPr>
          <w:rFonts w:ascii="Times New Roman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</w:pPr>
    </w:p>
    <w:p w:rsidR="00710D5E" w:rsidRPr="00C856FE" w:rsidRDefault="00710D5E" w:rsidP="00710D5E">
      <w:pPr>
        <w:widowControl/>
        <w:jc w:val="left"/>
        <w:rPr>
          <w:rFonts w:ascii="Times New Roman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</w:pPr>
    </w:p>
    <w:p w:rsidR="00710D5E" w:rsidRPr="00C856FE" w:rsidRDefault="00710D5E" w:rsidP="00710D5E">
      <w:pPr>
        <w:widowControl/>
        <w:jc w:val="left"/>
        <w:rPr>
          <w:rFonts w:ascii="Times New Roman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</w:pPr>
    </w:p>
    <w:p w:rsidR="00710D5E" w:rsidRPr="00C856FE" w:rsidRDefault="00710D5E" w:rsidP="00710D5E">
      <w:pPr>
        <w:widowControl/>
        <w:jc w:val="left"/>
        <w:rPr>
          <w:rFonts w:ascii="Times New Roman" w:hAnsi="Times New Roman" w:cs="Times New Roman"/>
          <w:color w:val="1C1917"/>
          <w:kern w:val="0"/>
          <w:sz w:val="27"/>
          <w:szCs w:val="27"/>
          <w:shd w:val="clear" w:color="auto" w:fill="FFFFFF"/>
          <w:lang w:bidi="ar"/>
        </w:rPr>
      </w:pPr>
      <w:r w:rsidRPr="00C856FE">
        <w:rPr>
          <w:rFonts w:ascii="Times New Roman" w:hAnsi="Times New Roman" w:cs="Times New Roman"/>
          <w:sz w:val="24"/>
        </w:rPr>
        <w:t>Authors</w:t>
      </w:r>
      <w:r>
        <w:rPr>
          <w:rFonts w:ascii="Times New Roman" w:hAnsi="Times New Roman" w:cs="Times New Roman" w:hint="eastAsia"/>
          <w:sz w:val="24"/>
        </w:rPr>
        <w:t>：</w:t>
      </w:r>
    </w:p>
    <w:p w:rsidR="00710D5E" w:rsidRPr="007774CC" w:rsidRDefault="00710D5E" w:rsidP="00710D5E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lang w:val="de-DE"/>
        </w:rPr>
      </w:pPr>
      <w:bookmarkStart w:id="1" w:name="_Hlk161492170"/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Zehao Li</w:t>
      </w:r>
      <w:bookmarkEnd w:id="1"/>
      <w:r w:rsidRPr="007774CC">
        <w:rPr>
          <w:rFonts w:ascii="Times New Roman" w:eastAsia="等线" w:hAnsi="Times New Roman" w:cs="Times New Roman"/>
          <w:kern w:val="0"/>
          <w:sz w:val="24"/>
          <w:vertAlign w:val="superscript"/>
          <w:lang w:val="de-DE"/>
        </w:rPr>
        <w:t>1</w:t>
      </w:r>
      <w:r>
        <w:rPr>
          <w:rFonts w:ascii="Times New Roman" w:eastAsia="等线" w:hAnsi="Times New Roman" w:cs="Times New Roman" w:hint="eastAsia"/>
          <w:kern w:val="0"/>
          <w:sz w:val="24"/>
          <w:vertAlign w:val="superscript"/>
          <w:lang w:val="de-DE"/>
        </w:rPr>
        <w:t>+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,</w:t>
      </w:r>
      <w:bookmarkStart w:id="2" w:name="_Hlk161492193"/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Xiangliang Liu</w:t>
      </w:r>
      <w:bookmarkEnd w:id="2"/>
      <w:r w:rsidRPr="007774CC">
        <w:rPr>
          <w:rFonts w:ascii="Times New Roman" w:eastAsia="等线" w:hAnsi="Times New Roman" w:cs="Times New Roman"/>
          <w:kern w:val="0"/>
          <w:sz w:val="24"/>
          <w:vertAlign w:val="superscript"/>
          <w:lang w:val="de-DE"/>
        </w:rPr>
        <w:t>1</w:t>
      </w:r>
      <w:r>
        <w:rPr>
          <w:rFonts w:ascii="Times New Roman" w:eastAsia="等线" w:hAnsi="Times New Roman" w:cs="Times New Roman" w:hint="eastAsia"/>
          <w:kern w:val="0"/>
          <w:sz w:val="24"/>
          <w:vertAlign w:val="superscript"/>
          <w:lang w:val="de-DE"/>
        </w:rPr>
        <w:t>+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,Yuguang Li</w:t>
      </w:r>
      <w:r w:rsidRPr="007774CC">
        <w:rPr>
          <w:rFonts w:ascii="Times New Roman" w:eastAsia="等线" w:hAnsi="Times New Roman" w:cs="Times New Roman"/>
          <w:kern w:val="0"/>
          <w:sz w:val="24"/>
          <w:vertAlign w:val="superscript"/>
          <w:lang w:val="de-DE"/>
        </w:rPr>
        <w:t>1</w:t>
      </w:r>
      <w:r>
        <w:rPr>
          <w:rFonts w:ascii="Times New Roman" w:eastAsia="等线" w:hAnsi="Times New Roman" w:cs="Times New Roman" w:hint="eastAsia"/>
          <w:kern w:val="0"/>
          <w:sz w:val="24"/>
          <w:vertAlign w:val="superscript"/>
          <w:lang w:val="de-DE"/>
        </w:rPr>
        <w:t>+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,Xinqiao Chen</w:t>
      </w:r>
      <w:r w:rsidRPr="007774CC">
        <w:rPr>
          <w:rFonts w:ascii="Times New Roman" w:eastAsia="等线" w:hAnsi="Times New Roman" w:cs="Times New Roman"/>
          <w:kern w:val="0"/>
          <w:sz w:val="24"/>
          <w:vertAlign w:val="superscript"/>
          <w:lang w:val="de-DE"/>
        </w:rPr>
        <w:t>1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, Ziming Liu</w:t>
      </w:r>
      <w:r w:rsidRPr="007774CC">
        <w:rPr>
          <w:rFonts w:ascii="Times New Roman" w:eastAsia="等线" w:hAnsi="Times New Roman" w:cs="Times New Roman"/>
          <w:kern w:val="0"/>
          <w:sz w:val="24"/>
          <w:vertAlign w:val="superscript"/>
          <w:lang w:val="de-DE"/>
        </w:rPr>
        <w:t>1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, Xiaoxue Gao</w:t>
      </w:r>
      <w:r w:rsidRPr="007774CC">
        <w:rPr>
          <w:rFonts w:ascii="Times New Roman" w:eastAsia="等线" w:hAnsi="Times New Roman" w:cs="Times New Roman"/>
          <w:kern w:val="0"/>
          <w:sz w:val="24"/>
          <w:vertAlign w:val="superscript"/>
          <w:lang w:val="de-DE"/>
        </w:rPr>
        <w:t>1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,</w:t>
      </w:r>
      <w:r w:rsidRPr="007774CC">
        <w:rPr>
          <w:rFonts w:ascii="Times New Roman" w:eastAsia="等线" w:hAnsi="Times New Roman" w:cs="Times New Roman"/>
          <w:kern w:val="0"/>
          <w:sz w:val="22"/>
          <w:szCs w:val="22"/>
          <w:lang w:val="de-DE" w:eastAsia="en-US"/>
        </w:rPr>
        <w:t xml:space="preserve"> 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Jiuwei Cui</w:t>
      </w:r>
      <w:r w:rsidRPr="007774CC">
        <w:rPr>
          <w:rFonts w:ascii="Times New Roman" w:eastAsia="等线" w:hAnsi="Times New Roman" w:cs="Times New Roman"/>
          <w:kern w:val="0"/>
          <w:sz w:val="24"/>
          <w:vertAlign w:val="superscript"/>
          <w:lang w:val="de-DE"/>
        </w:rPr>
        <w:t>1</w:t>
      </w:r>
      <w:r>
        <w:rPr>
          <w:rFonts w:ascii="Times New Roman" w:eastAsia="等线" w:hAnsi="Times New Roman" w:cs="Times New Roman" w:hint="eastAsia"/>
          <w:kern w:val="0"/>
          <w:sz w:val="24"/>
          <w:vertAlign w:val="superscript"/>
          <w:lang w:val="de-DE"/>
        </w:rPr>
        <w:t>*</w:t>
      </w:r>
    </w:p>
    <w:p w:rsidR="00710D5E" w:rsidRPr="007774CC" w:rsidRDefault="00710D5E" w:rsidP="00710D5E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lang w:val="de-DE" w:eastAsia="en-US"/>
        </w:rPr>
      </w:pPr>
      <w:r w:rsidRPr="007774CC">
        <w:rPr>
          <w:rFonts w:ascii="Times New Roman" w:eastAsia="等线" w:hAnsi="Times New Roman" w:cs="Times New Roman"/>
          <w:kern w:val="0"/>
          <w:sz w:val="24"/>
          <w:lang w:val="de-DE" w:eastAsia="en-US"/>
        </w:rPr>
        <w:t xml:space="preserve">(Zehao Li,Xiangliang Liu and Yuguang Li contributed equally to this </w:t>
      </w:r>
      <w:r w:rsidRPr="007774CC">
        <w:rPr>
          <w:rFonts w:ascii="Times New Roman" w:eastAsia="等线" w:hAnsi="Times New Roman" w:cs="Times New Roman" w:hint="eastAsia"/>
          <w:kern w:val="0"/>
          <w:sz w:val="24"/>
          <w:lang w:val="de-DE"/>
        </w:rPr>
        <w:t>article</w:t>
      </w:r>
      <w:r w:rsidRPr="007774CC">
        <w:rPr>
          <w:rFonts w:ascii="Times New Roman" w:eastAsia="等线" w:hAnsi="Times New Roman" w:cs="Times New Roman"/>
          <w:kern w:val="0"/>
          <w:sz w:val="24"/>
          <w:lang w:val="de-DE" w:eastAsia="en-US"/>
        </w:rPr>
        <w:t xml:space="preserve">.) </w:t>
      </w:r>
    </w:p>
    <w:p w:rsidR="00710D5E" w:rsidRPr="007774CC" w:rsidRDefault="00710D5E" w:rsidP="00710D5E">
      <w:pPr>
        <w:widowControl/>
        <w:spacing w:after="160" w:line="259" w:lineRule="auto"/>
        <w:jc w:val="left"/>
        <w:rPr>
          <w:rFonts w:ascii="Calibri" w:eastAsia="等线" w:hAnsi="Calibri" w:cs="Times New Roman"/>
          <w:b/>
          <w:bCs/>
          <w:color w:val="FF0000"/>
          <w:kern w:val="0"/>
          <w:sz w:val="24"/>
          <w:lang w:val="de-DE" w:eastAsia="en-US"/>
        </w:rPr>
      </w:pPr>
    </w:p>
    <w:p w:rsidR="00710D5E" w:rsidRDefault="00710D5E" w:rsidP="00710D5E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lang w:val="de-DE" w:eastAsia="en-US"/>
        </w:rPr>
      </w:pPr>
      <w:r w:rsidRPr="007774CC">
        <w:rPr>
          <w:rFonts w:ascii="Times New Roman" w:eastAsia="等线" w:hAnsi="Times New Roman" w:cs="Times New Roman"/>
          <w:kern w:val="0"/>
          <w:sz w:val="24"/>
          <w:lang w:val="de-DE" w:eastAsia="en-US"/>
        </w:rPr>
        <w:t>Affiliations:</w:t>
      </w:r>
    </w:p>
    <w:p w:rsidR="00710D5E" w:rsidRPr="007774CC" w:rsidRDefault="00710D5E" w:rsidP="00710D5E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lang w:val="de-DE" w:eastAsia="en-US"/>
        </w:rPr>
      </w:pPr>
      <w:r w:rsidRPr="007774CC">
        <w:rPr>
          <w:rFonts w:ascii="Times New Roman" w:eastAsia="等线" w:hAnsi="Times New Roman" w:cs="Times New Roman"/>
          <w:kern w:val="0"/>
          <w:sz w:val="22"/>
          <w:szCs w:val="22"/>
          <w:lang w:val="de-DE" w:eastAsia="en-US"/>
        </w:rPr>
        <w:t>1.</w:t>
      </w:r>
      <w:r w:rsidRPr="007774CC">
        <w:rPr>
          <w:rFonts w:ascii="Times New Roman" w:eastAsia="等线" w:hAnsi="Times New Roman" w:cs="Times New Roman"/>
          <w:kern w:val="0"/>
          <w:sz w:val="24"/>
          <w:lang w:val="de-DE" w:eastAsia="en-US"/>
        </w:rPr>
        <w:t>Cancer Center, The First Hospital of Jilin University, Changchun, China.</w:t>
      </w:r>
    </w:p>
    <w:p w:rsidR="00710D5E" w:rsidRDefault="00710D5E" w:rsidP="00710D5E">
      <w:pPr>
        <w:widowControl/>
        <w:spacing w:after="160" w:line="259" w:lineRule="auto"/>
        <w:jc w:val="left"/>
        <w:rPr>
          <w:rFonts w:ascii="Calibri" w:eastAsia="等线" w:hAnsi="Calibri" w:cs="Times New Roman"/>
          <w:b/>
          <w:bCs/>
          <w:kern w:val="0"/>
          <w:sz w:val="24"/>
          <w:lang w:val="de-DE"/>
        </w:rPr>
      </w:pPr>
    </w:p>
    <w:p w:rsidR="00710D5E" w:rsidRPr="005B513B" w:rsidRDefault="00710D5E" w:rsidP="00710D5E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lang w:val="de-DE"/>
        </w:rPr>
      </w:pPr>
      <w:r w:rsidRPr="005B513B">
        <w:rPr>
          <w:rFonts w:ascii="Times New Roman" w:eastAsia="等线" w:hAnsi="Times New Roman" w:cs="Times New Roman" w:hint="eastAsia"/>
          <w:kern w:val="0"/>
          <w:sz w:val="24"/>
          <w:lang w:val="de-DE"/>
        </w:rPr>
        <w:t>C</w:t>
      </w: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ontact information</w:t>
      </w:r>
      <w:r>
        <w:rPr>
          <w:rFonts w:ascii="Times New Roman" w:eastAsia="等线" w:hAnsi="Times New Roman" w:cs="Times New Roman" w:hint="eastAsia"/>
          <w:kern w:val="0"/>
          <w:sz w:val="24"/>
          <w:lang w:val="de-DE"/>
        </w:rPr>
        <w:t>：</w:t>
      </w:r>
    </w:p>
    <w:p w:rsidR="00710D5E" w:rsidRPr="005B513B" w:rsidRDefault="00710D5E" w:rsidP="00710D5E">
      <w:pPr>
        <w:widowControl/>
        <w:spacing w:after="160"/>
        <w:contextualSpacing/>
        <w:jc w:val="left"/>
        <w:rPr>
          <w:rFonts w:ascii="Times New Roman" w:eastAsia="等线" w:hAnsi="Times New Roman" w:cs="Times New Roman"/>
          <w:b/>
          <w:bCs/>
          <w:kern w:val="0"/>
          <w:sz w:val="24"/>
          <w:lang w:val="de-DE"/>
        </w:rPr>
      </w:pP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Zehao Li</w:t>
      </w: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：</w:t>
      </w:r>
      <w:hyperlink r:id="rId5" w:history="1">
        <w:r w:rsidRPr="00763488">
          <w:rPr>
            <w:rStyle w:val="ae"/>
            <w:rFonts w:ascii="Times New Roman" w:eastAsia="等线" w:hAnsi="Times New Roman" w:cs="Times New Roman" w:hint="eastAsia"/>
            <w:kern w:val="0"/>
            <w:sz w:val="24"/>
            <w:lang w:val="de-DE"/>
          </w:rPr>
          <w:t>1806085200@</w:t>
        </w:r>
        <w:r w:rsidRPr="00763488">
          <w:rPr>
            <w:rStyle w:val="ae"/>
            <w:rFonts w:ascii="Times New Roman" w:eastAsia="等线" w:hAnsi="Times New Roman" w:cs="Times New Roman"/>
            <w:kern w:val="0"/>
            <w:sz w:val="24"/>
            <w:lang w:val="de-DE"/>
          </w:rPr>
          <w:t>qq</w:t>
        </w:r>
        <w:r w:rsidRPr="00763488">
          <w:rPr>
            <w:rStyle w:val="ae"/>
            <w:rFonts w:ascii="Times New Roman" w:eastAsia="等线" w:hAnsi="Times New Roman" w:cs="Times New Roman" w:hint="eastAsia"/>
            <w:kern w:val="0"/>
            <w:sz w:val="24"/>
            <w:lang w:val="de-DE"/>
          </w:rPr>
          <w:t>.</w:t>
        </w:r>
        <w:r w:rsidRPr="00763488">
          <w:rPr>
            <w:rStyle w:val="ae"/>
            <w:rFonts w:ascii="Times New Roman" w:eastAsia="等线" w:hAnsi="Times New Roman" w:cs="Times New Roman"/>
            <w:kern w:val="0"/>
            <w:sz w:val="24"/>
            <w:lang w:val="de-DE"/>
          </w:rPr>
          <w:t>com</w:t>
        </w:r>
      </w:hyperlink>
    </w:p>
    <w:p w:rsidR="00710D5E" w:rsidRPr="005B513B" w:rsidRDefault="00710D5E" w:rsidP="00710D5E">
      <w:pPr>
        <w:widowControl/>
        <w:spacing w:after="160"/>
        <w:contextualSpacing/>
        <w:jc w:val="left"/>
        <w:rPr>
          <w:rFonts w:ascii="Times New Roman" w:eastAsia="等线" w:hAnsi="Times New Roman" w:cs="Times New Roman"/>
          <w:kern w:val="0"/>
          <w:sz w:val="24"/>
          <w:lang w:val="de-DE"/>
        </w:rPr>
      </w:pP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Xiangliang Liu</w:t>
      </w: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：</w:t>
      </w:r>
      <w:r w:rsidRPr="00121AF5">
        <w:rPr>
          <w:rFonts w:ascii="Times New Roman" w:eastAsia="等线" w:hAnsi="Times New Roman" w:cs="Times New Roman"/>
          <w:kern w:val="0"/>
          <w:sz w:val="24"/>
          <w:lang w:val="de-DE"/>
        </w:rPr>
        <w:t>297139732@qq.com</w:t>
      </w:r>
    </w:p>
    <w:p w:rsidR="00710D5E" w:rsidRPr="005B513B" w:rsidRDefault="00710D5E" w:rsidP="00710D5E">
      <w:pPr>
        <w:widowControl/>
        <w:spacing w:after="160"/>
        <w:contextualSpacing/>
        <w:jc w:val="left"/>
        <w:rPr>
          <w:rFonts w:ascii="Times New Roman" w:eastAsia="等线" w:hAnsi="Times New Roman" w:cs="Times New Roman"/>
          <w:kern w:val="0"/>
          <w:sz w:val="24"/>
          <w:lang w:val="de-DE"/>
        </w:rPr>
      </w:pP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Yuguang Li</w:t>
      </w: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：</w:t>
      </w:r>
      <w:r w:rsidRPr="00121AF5">
        <w:rPr>
          <w:rFonts w:ascii="Times New Roman" w:eastAsia="等线" w:hAnsi="Times New Roman" w:cs="Times New Roman"/>
          <w:kern w:val="0"/>
          <w:sz w:val="24"/>
          <w:lang w:val="de-DE"/>
        </w:rPr>
        <w:t>531379219@qq.com</w:t>
      </w:r>
    </w:p>
    <w:p w:rsidR="00710D5E" w:rsidRPr="005B513B" w:rsidRDefault="00710D5E" w:rsidP="00710D5E">
      <w:pPr>
        <w:widowControl/>
        <w:spacing w:after="160"/>
        <w:contextualSpacing/>
        <w:jc w:val="left"/>
        <w:rPr>
          <w:rFonts w:ascii="Times New Roman" w:eastAsia="等线" w:hAnsi="Times New Roman" w:cs="Times New Roman"/>
          <w:kern w:val="0"/>
          <w:sz w:val="24"/>
          <w:lang w:val="de-DE"/>
        </w:rPr>
      </w:pP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Xinqiao Chen</w:t>
      </w: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：</w:t>
      </w:r>
      <w:r w:rsidRPr="00121AF5">
        <w:rPr>
          <w:rFonts w:ascii="Times New Roman" w:eastAsia="等线" w:hAnsi="Times New Roman" w:cs="Times New Roman"/>
          <w:kern w:val="0"/>
          <w:sz w:val="24"/>
          <w:lang w:val="de-DE"/>
        </w:rPr>
        <w:t>2698554351@qq.com</w:t>
      </w:r>
    </w:p>
    <w:p w:rsidR="00710D5E" w:rsidRPr="005B513B" w:rsidRDefault="00710D5E" w:rsidP="00710D5E">
      <w:pPr>
        <w:widowControl/>
        <w:spacing w:after="160"/>
        <w:contextualSpacing/>
        <w:jc w:val="left"/>
        <w:rPr>
          <w:rFonts w:ascii="Times New Roman" w:eastAsia="等线" w:hAnsi="Times New Roman" w:cs="Times New Roman"/>
          <w:kern w:val="0"/>
          <w:sz w:val="24"/>
          <w:lang w:val="de-DE"/>
        </w:rPr>
      </w:pP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Ziming Liu</w:t>
      </w: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：</w:t>
      </w:r>
      <w:r>
        <w:rPr>
          <w:rFonts w:ascii="Times New Roman" w:eastAsia="等线" w:hAnsi="Times New Roman" w:cs="Times New Roman" w:hint="eastAsia"/>
          <w:kern w:val="0"/>
          <w:sz w:val="24"/>
          <w:lang w:val="de-DE"/>
        </w:rPr>
        <w:t>1434608554@qq.com</w:t>
      </w:r>
    </w:p>
    <w:p w:rsidR="00710D5E" w:rsidRPr="005B513B" w:rsidRDefault="00710D5E" w:rsidP="00710D5E">
      <w:pPr>
        <w:widowControl/>
        <w:spacing w:after="160"/>
        <w:contextualSpacing/>
        <w:jc w:val="left"/>
        <w:rPr>
          <w:rFonts w:ascii="Times New Roman" w:eastAsia="等线" w:hAnsi="Times New Roman" w:cs="Times New Roman"/>
          <w:kern w:val="0"/>
          <w:sz w:val="24"/>
          <w:lang w:val="de-DE"/>
        </w:rPr>
      </w:pP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Xiaoxue Gao</w:t>
      </w:r>
      <w:r w:rsidRPr="005B513B">
        <w:rPr>
          <w:rFonts w:ascii="Times New Roman" w:eastAsia="等线" w:hAnsi="Times New Roman" w:cs="Times New Roman"/>
          <w:kern w:val="0"/>
          <w:sz w:val="24"/>
          <w:lang w:val="de-DE"/>
        </w:rPr>
        <w:t>：</w:t>
      </w:r>
      <w:r>
        <w:rPr>
          <w:rFonts w:ascii="Times New Roman" w:eastAsia="等线" w:hAnsi="Times New Roman" w:cs="Times New Roman" w:hint="eastAsia"/>
          <w:kern w:val="0"/>
          <w:sz w:val="24"/>
          <w:lang w:val="de-DE"/>
        </w:rPr>
        <w:t>646716747@qq.com</w:t>
      </w:r>
    </w:p>
    <w:p w:rsidR="00710D5E" w:rsidRPr="005B513B" w:rsidRDefault="00710D5E" w:rsidP="00710D5E">
      <w:pPr>
        <w:widowControl/>
        <w:spacing w:after="160" w:line="259" w:lineRule="auto"/>
        <w:jc w:val="left"/>
        <w:rPr>
          <w:rFonts w:ascii="Calibri" w:eastAsia="等线" w:hAnsi="Calibri" w:cs="Times New Roman"/>
          <w:b/>
          <w:bCs/>
          <w:kern w:val="0"/>
          <w:sz w:val="24"/>
          <w:lang w:val="de-DE"/>
        </w:rPr>
      </w:pPr>
    </w:p>
    <w:p w:rsidR="00710D5E" w:rsidRDefault="00710D5E" w:rsidP="00710D5E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lang w:val="de-DE" w:eastAsia="en-US"/>
        </w:rPr>
      </w:pPr>
      <w:r w:rsidRPr="007774CC">
        <w:rPr>
          <w:rFonts w:ascii="Times New Roman" w:eastAsia="等线" w:hAnsi="Times New Roman" w:cs="Times New Roman"/>
          <w:kern w:val="0"/>
          <w:sz w:val="24"/>
          <w:lang w:val="de-DE" w:eastAsia="en-US"/>
        </w:rPr>
        <w:t xml:space="preserve">Correspondence to: </w:t>
      </w:r>
    </w:p>
    <w:p w:rsidR="00710D5E" w:rsidRPr="00480BDD" w:rsidRDefault="00710D5E" w:rsidP="00710D5E">
      <w:pPr>
        <w:widowControl/>
        <w:spacing w:after="160" w:line="259" w:lineRule="auto"/>
        <w:jc w:val="left"/>
        <w:rPr>
          <w:rFonts w:ascii="Times New Roman" w:eastAsia="等线" w:hAnsi="Times New Roman" w:cs="Times New Roman"/>
          <w:kern w:val="0"/>
          <w:sz w:val="24"/>
          <w:lang w:val="de-DE"/>
        </w:rPr>
      </w:pPr>
      <w:r w:rsidRPr="007774CC">
        <w:rPr>
          <w:rFonts w:ascii="Times New Roman" w:eastAsia="等线" w:hAnsi="Times New Roman" w:cs="Times New Roman"/>
          <w:kern w:val="0"/>
          <w:sz w:val="24"/>
          <w:lang w:val="de-DE" w:eastAsia="en-US"/>
        </w:rPr>
        <w:t>J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>iuwei</w:t>
      </w:r>
      <w:r w:rsidRPr="007774CC">
        <w:rPr>
          <w:rFonts w:ascii="Times New Roman" w:eastAsia="等线" w:hAnsi="Times New Roman" w:cs="Times New Roman"/>
          <w:kern w:val="0"/>
          <w:sz w:val="24"/>
          <w:lang w:val="de-DE" w:eastAsia="en-US"/>
        </w:rPr>
        <w:t xml:space="preserve"> C</w:t>
      </w:r>
      <w:r w:rsidRPr="007774CC">
        <w:rPr>
          <w:rFonts w:ascii="Times New Roman" w:eastAsia="等线" w:hAnsi="Times New Roman" w:cs="Times New Roman"/>
          <w:kern w:val="0"/>
          <w:sz w:val="24"/>
          <w:lang w:val="de-DE"/>
        </w:rPr>
        <w:t xml:space="preserve">ui      </w:t>
      </w:r>
      <w:bookmarkStart w:id="3" w:name="_Hlk160362336"/>
      <w:r>
        <w:fldChar w:fldCharType="begin"/>
      </w:r>
      <w:r>
        <w:instrText>HYPERLINK "mailto:cuijw@jlu.edu.cn"</w:instrText>
      </w:r>
      <w:r>
        <w:fldChar w:fldCharType="separate"/>
      </w:r>
      <w:r w:rsidRPr="007774CC">
        <w:rPr>
          <w:rStyle w:val="ae"/>
          <w:rFonts w:ascii="Times New Roman" w:eastAsia="等线" w:hAnsi="Times New Roman" w:cs="Times New Roman" w:hint="eastAsia"/>
          <w:kern w:val="0"/>
          <w:sz w:val="24"/>
          <w:lang w:val="de-DE"/>
        </w:rPr>
        <w:t>cuijw</w:t>
      </w:r>
      <w:r w:rsidRPr="007774CC">
        <w:rPr>
          <w:rStyle w:val="ae"/>
          <w:rFonts w:ascii="Times New Roman" w:eastAsia="等线" w:hAnsi="Times New Roman" w:cs="Times New Roman"/>
          <w:kern w:val="0"/>
          <w:sz w:val="24"/>
          <w:lang w:val="de-DE"/>
        </w:rPr>
        <w:t>@</w:t>
      </w:r>
      <w:r w:rsidRPr="007774CC">
        <w:rPr>
          <w:rStyle w:val="ae"/>
          <w:rFonts w:ascii="Times New Roman" w:eastAsia="等线" w:hAnsi="Times New Roman" w:cs="Times New Roman" w:hint="eastAsia"/>
          <w:kern w:val="0"/>
          <w:sz w:val="24"/>
          <w:lang w:val="de-DE"/>
        </w:rPr>
        <w:t>jlu</w:t>
      </w:r>
      <w:r w:rsidRPr="007774CC">
        <w:rPr>
          <w:rStyle w:val="ae"/>
          <w:rFonts w:ascii="Times New Roman" w:eastAsia="等线" w:hAnsi="Times New Roman" w:cs="Times New Roman"/>
          <w:kern w:val="0"/>
          <w:sz w:val="24"/>
          <w:lang w:val="de-DE"/>
        </w:rPr>
        <w:t>.</w:t>
      </w:r>
      <w:r w:rsidRPr="007774CC">
        <w:rPr>
          <w:rStyle w:val="ae"/>
          <w:rFonts w:ascii="Times New Roman" w:eastAsia="等线" w:hAnsi="Times New Roman" w:cs="Times New Roman" w:hint="eastAsia"/>
          <w:kern w:val="0"/>
          <w:sz w:val="24"/>
          <w:lang w:val="de-DE"/>
        </w:rPr>
        <w:t>edu</w:t>
      </w:r>
      <w:r w:rsidRPr="007774CC">
        <w:rPr>
          <w:rStyle w:val="ae"/>
          <w:rFonts w:ascii="Times New Roman" w:eastAsia="等线" w:hAnsi="Times New Roman" w:cs="Times New Roman"/>
          <w:kern w:val="0"/>
          <w:sz w:val="24"/>
          <w:lang w:val="de-DE"/>
        </w:rPr>
        <w:t>.</w:t>
      </w:r>
      <w:r w:rsidRPr="007774CC">
        <w:rPr>
          <w:rStyle w:val="ae"/>
          <w:rFonts w:ascii="Times New Roman" w:eastAsia="等线" w:hAnsi="Times New Roman" w:cs="Times New Roman" w:hint="eastAsia"/>
          <w:kern w:val="0"/>
          <w:sz w:val="24"/>
          <w:lang w:val="de-DE"/>
        </w:rPr>
        <w:t>cn</w:t>
      </w:r>
      <w:r>
        <w:rPr>
          <w:rStyle w:val="ae"/>
          <w:rFonts w:ascii="Times New Roman" w:eastAsia="等线" w:hAnsi="Times New Roman" w:cs="Times New Roman"/>
          <w:kern w:val="0"/>
          <w:sz w:val="24"/>
          <w:lang w:val="de-DE"/>
        </w:rPr>
        <w:fldChar w:fldCharType="end"/>
      </w:r>
      <w:bookmarkEnd w:id="3"/>
      <w:r>
        <w:rPr>
          <w:rFonts w:ascii="Times New Roman" w:eastAsia="等线" w:hAnsi="Times New Roman" w:cs="Times New Roman" w:hint="eastAsia"/>
          <w:kern w:val="0"/>
          <w:sz w:val="24"/>
          <w:lang w:val="de-DE"/>
        </w:rPr>
        <w:t xml:space="preserve"> </w:t>
      </w:r>
      <w:r>
        <w:rPr>
          <w:rFonts w:ascii="Times New Roman" w:eastAsia="等线" w:hAnsi="Times New Roman" w:cs="Times New Roman"/>
          <w:kern w:val="0"/>
          <w:sz w:val="24"/>
          <w:lang w:val="de-DE"/>
        </w:rPr>
        <w:t xml:space="preserve">     </w:t>
      </w:r>
      <w:r w:rsidRPr="000E1CFF">
        <w:rPr>
          <w:rFonts w:ascii="Times New Roman" w:hAnsi="Times New Roman" w:cs="Times New Roman"/>
          <w:color w:val="1C1917"/>
          <w:kern w:val="0"/>
          <w:sz w:val="24"/>
          <w:shd w:val="clear" w:color="auto" w:fill="FFFFFF"/>
          <w:lang w:val="de-DE" w:bidi="ar"/>
        </w:rPr>
        <w:t>ORCID</w:t>
      </w:r>
      <w:r>
        <w:rPr>
          <w:rFonts w:ascii="Times New Roman" w:hAnsi="Times New Roman" w:cs="Times New Roman" w:hint="eastAsia"/>
          <w:color w:val="1C1917"/>
          <w:kern w:val="0"/>
          <w:sz w:val="24"/>
          <w:shd w:val="clear" w:color="auto" w:fill="FFFFFF"/>
          <w:lang w:val="de-DE" w:bidi="ar"/>
        </w:rPr>
        <w:t>：</w:t>
      </w:r>
      <w:r w:rsidRPr="000E1CFF">
        <w:rPr>
          <w:rFonts w:ascii="Times New Roman" w:hAnsi="Times New Roman" w:cs="Times New Roman"/>
          <w:color w:val="1C1917"/>
          <w:kern w:val="0"/>
          <w:sz w:val="24"/>
          <w:shd w:val="clear" w:color="auto" w:fill="FFFFFF"/>
          <w:lang w:val="de-DE" w:bidi="ar"/>
        </w:rPr>
        <w:t>0000-0001-6496-7550</w:t>
      </w:r>
    </w:p>
    <w:p w:rsidR="00D733F4" w:rsidRDefault="00D733F4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E0037" w:rsidRDefault="007E0037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10D5E" w:rsidRDefault="00710D5E">
      <w:pPr>
        <w:rPr>
          <w:rFonts w:hint="eastAsia"/>
          <w:lang w:val="de-DE"/>
        </w:rPr>
      </w:pPr>
    </w:p>
    <w:p w:rsidR="00710D5E" w:rsidRPr="00710D5E" w:rsidRDefault="00710D5E" w:rsidP="00710D5E">
      <w:pPr>
        <w:spacing w:line="276" w:lineRule="auto"/>
        <w:rPr>
          <w:rFonts w:ascii="Times New Roman" w:eastAsiaTheme="minorHAnsi" w:hAnsi="Times New Roman" w:cs="Times New Roman"/>
          <w:b/>
        </w:rPr>
      </w:pPr>
      <w:r w:rsidRPr="00710D5E">
        <w:rPr>
          <w:rFonts w:ascii="Times New Roman" w:hAnsi="Times New Roman" w:cs="Times New Roman"/>
          <w:b/>
          <w:bCs/>
        </w:rPr>
        <w:lastRenderedPageBreak/>
        <w:t>Supplementary Table</w:t>
      </w:r>
      <w:r w:rsidRPr="00710D5E">
        <w:rPr>
          <w:rFonts w:ascii="Times New Roman" w:hAnsi="Times New Roman" w:cs="Times New Roman"/>
          <w:b/>
        </w:rPr>
        <w:t xml:space="preserve"> 1. Definition and scoring approach for the American Heart Association’s Life’s Essential 8 score. </w:t>
      </w:r>
    </w:p>
    <w:tbl>
      <w:tblPr>
        <w:tblStyle w:val="af0"/>
        <w:tblW w:w="10065" w:type="dxa"/>
        <w:tblInd w:w="-998" w:type="dxa"/>
        <w:tblLook w:val="04A0" w:firstRow="1" w:lastRow="0" w:firstColumn="1" w:lastColumn="0" w:noHBand="0" w:noVBand="1"/>
      </w:tblPr>
      <w:tblGrid>
        <w:gridCol w:w="1419"/>
        <w:gridCol w:w="1275"/>
        <w:gridCol w:w="2216"/>
        <w:gridCol w:w="5155"/>
      </w:tblGrid>
      <w:tr w:rsidR="00710D5E" w:rsidRPr="00710D5E" w:rsidTr="001B7529">
        <w:tc>
          <w:tcPr>
            <w:tcW w:w="1419" w:type="dxa"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eastAsiaTheme="minorHAnsi" w:hAnsi="Times New Roman"/>
              </w:rPr>
              <w:t>Domain</w:t>
            </w:r>
          </w:p>
        </w:tc>
        <w:tc>
          <w:tcPr>
            <w:tcW w:w="1275" w:type="dxa"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eastAsiaTheme="minorHAnsi" w:hAnsi="Times New Roman"/>
              </w:rPr>
              <w:t>CVH Metric</w:t>
            </w:r>
          </w:p>
        </w:tc>
        <w:tc>
          <w:tcPr>
            <w:tcW w:w="2216" w:type="dxa"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eastAsiaTheme="minorHAnsi" w:hAnsi="Times New Roman"/>
              </w:rPr>
              <w:t>Measurement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pStyle w:val="a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Quantification and Scoring of CVH Metric </w:t>
            </w:r>
          </w:p>
        </w:tc>
      </w:tr>
      <w:tr w:rsidR="00710D5E" w:rsidRPr="00710D5E" w:rsidTr="001B7529">
        <w:tc>
          <w:tcPr>
            <w:tcW w:w="1419" w:type="dxa"/>
            <w:vMerge w:val="restart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Health Behaviors </w:t>
            </w:r>
          </w:p>
        </w:tc>
        <w:tc>
          <w:tcPr>
            <w:tcW w:w="1275" w:type="dxa"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eastAsiaTheme="minorHAnsi" w:hAnsi="Times New Roman"/>
              </w:rPr>
              <w:t>Diet</w:t>
            </w:r>
          </w:p>
        </w:tc>
        <w:tc>
          <w:tcPr>
            <w:tcW w:w="2216" w:type="dxa"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eastAsia="Times New Roman" w:hAnsi="Times New Roman"/>
                <w:color w:val="212529"/>
              </w:rPr>
              <w:t>Healthy Eating Index-2015 diet score percentile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pStyle w:val="TableParagraph"/>
              <w:spacing w:before="4"/>
              <w:ind w:left="106"/>
              <w:rPr>
                <w:sz w:val="24"/>
                <w:szCs w:val="24"/>
              </w:rPr>
            </w:pPr>
            <w:r w:rsidRPr="00710D5E">
              <w:rPr>
                <w:w w:val="90"/>
                <w:sz w:val="24"/>
                <w:szCs w:val="24"/>
              </w:rPr>
              <w:t>Quantiles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of</w:t>
            </w:r>
            <w:r w:rsidRPr="00710D5E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DASH-style</w:t>
            </w:r>
            <w:r w:rsidRPr="00710D5E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diet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w w:val="90"/>
                <w:sz w:val="24"/>
                <w:szCs w:val="24"/>
              </w:rPr>
              <w:t>adherence</w:t>
            </w:r>
          </w:p>
          <w:p w:rsidR="00710D5E" w:rsidRPr="00710D5E" w:rsidRDefault="00710D5E" w:rsidP="001B7529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710D5E">
              <w:rPr>
                <w:b/>
                <w:bCs/>
                <w:sz w:val="24"/>
                <w:szCs w:val="24"/>
              </w:rPr>
              <w:t>Scoring</w:t>
            </w:r>
            <w:r w:rsidRPr="00710D5E">
              <w:rPr>
                <w:b/>
                <w:spacing w:val="-2"/>
                <w:w w:val="95"/>
                <w:sz w:val="24"/>
                <w:szCs w:val="24"/>
              </w:rPr>
              <w:t xml:space="preserve"> (Population):</w:t>
            </w:r>
          </w:p>
          <w:p w:rsidR="00710D5E" w:rsidRPr="00710D5E" w:rsidRDefault="00710D5E" w:rsidP="001B7529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z w:val="24"/>
                <w:szCs w:val="24"/>
                <w:u w:val="single"/>
              </w:rPr>
              <w:t>Points</w:t>
            </w:r>
            <w:r w:rsidRPr="00710D5E">
              <w:rPr>
                <w:spacing w:val="70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sz w:val="24"/>
                <w:szCs w:val="24"/>
                <w:u w:val="single"/>
              </w:rPr>
              <w:t>Quantile</w:t>
            </w:r>
          </w:p>
          <w:p w:rsidR="00710D5E" w:rsidRPr="00710D5E" w:rsidRDefault="00710D5E" w:rsidP="001B7529">
            <w:pPr>
              <w:pStyle w:val="TableParagraph"/>
              <w:tabs>
                <w:tab w:val="left" w:pos="819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100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≥95</w:t>
            </w:r>
            <w:r w:rsidRPr="00710D5E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710D5E">
              <w:rPr>
                <w:spacing w:val="7"/>
                <w:sz w:val="24"/>
                <w:szCs w:val="24"/>
              </w:rPr>
              <w:t xml:space="preserve"> </w:t>
            </w:r>
            <w:r w:rsidRPr="00710D5E">
              <w:rPr>
                <w:color w:val="212529"/>
                <w:sz w:val="24"/>
                <w:szCs w:val="24"/>
              </w:rPr>
              <w:t>percentile</w:t>
            </w:r>
            <w:r w:rsidRPr="00710D5E">
              <w:rPr>
                <w:w w:val="90"/>
                <w:sz w:val="24"/>
                <w:szCs w:val="24"/>
              </w:rPr>
              <w:t xml:space="preserve"> (top/ideal</w:t>
            </w:r>
            <w:r w:rsidRPr="00710D5E">
              <w:rPr>
                <w:spacing w:val="12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diet)</w:t>
            </w:r>
          </w:p>
          <w:p w:rsidR="00710D5E" w:rsidRPr="00710D5E" w:rsidRDefault="00710D5E" w:rsidP="001B7529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80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75</w:t>
            </w:r>
            <w:r w:rsidRPr="00710D5E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710D5E">
              <w:rPr>
                <w:spacing w:val="-19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4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94</w:t>
            </w:r>
            <w:r w:rsidRPr="00710D5E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710D5E">
              <w:rPr>
                <w:spacing w:val="-1"/>
                <w:sz w:val="24"/>
                <w:szCs w:val="24"/>
              </w:rPr>
              <w:t xml:space="preserve"> </w:t>
            </w:r>
            <w:r w:rsidRPr="00710D5E">
              <w:rPr>
                <w:color w:val="212529"/>
                <w:sz w:val="24"/>
                <w:szCs w:val="24"/>
              </w:rPr>
              <w:t>percentile</w:t>
            </w:r>
          </w:p>
          <w:p w:rsidR="00710D5E" w:rsidRPr="00710D5E" w:rsidRDefault="00710D5E" w:rsidP="001B7529">
            <w:pPr>
              <w:pStyle w:val="TableParagraph"/>
              <w:tabs>
                <w:tab w:val="left" w:pos="855"/>
              </w:tabs>
              <w:spacing w:before="12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50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50</w:t>
            </w:r>
            <w:r w:rsidRPr="00710D5E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74</w:t>
            </w:r>
            <w:r w:rsidRPr="00710D5E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color w:val="212529"/>
                <w:sz w:val="24"/>
                <w:szCs w:val="24"/>
              </w:rPr>
              <w:t>percentile</w:t>
            </w:r>
          </w:p>
          <w:p w:rsidR="00710D5E" w:rsidRPr="00710D5E" w:rsidRDefault="00710D5E" w:rsidP="001B7529">
            <w:pPr>
              <w:pStyle w:val="TableParagraph"/>
              <w:tabs>
                <w:tab w:val="left" w:pos="855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25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25</w:t>
            </w:r>
            <w:r w:rsidRPr="00710D5E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49</w:t>
            </w:r>
            <w:r w:rsidRPr="00710D5E">
              <w:rPr>
                <w:w w:val="90"/>
                <w:sz w:val="24"/>
                <w:szCs w:val="24"/>
                <w:vertAlign w:val="superscript"/>
              </w:rPr>
              <w:t>th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color w:val="212529"/>
                <w:sz w:val="24"/>
                <w:szCs w:val="24"/>
              </w:rPr>
              <w:t>percentile</w:t>
            </w:r>
          </w:p>
          <w:p w:rsidR="00710D5E" w:rsidRPr="00710D5E" w:rsidRDefault="00710D5E" w:rsidP="001B7529">
            <w:pPr>
              <w:spacing w:line="276" w:lineRule="auto"/>
              <w:ind w:firstLineChars="50" w:firstLine="110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hAnsi="Times New Roman"/>
                <w:spacing w:val="-10"/>
              </w:rPr>
              <w:t>0</w:t>
            </w:r>
            <w:r w:rsidRPr="00710D5E">
              <w:rPr>
                <w:rFonts w:ascii="Times New Roman" w:hAnsi="Times New Roman"/>
              </w:rPr>
              <w:tab/>
              <w:t xml:space="preserve">    </w:t>
            </w:r>
            <w:r w:rsidRPr="00710D5E">
              <w:rPr>
                <w:rFonts w:ascii="Times New Roman" w:hAnsi="Times New Roman"/>
                <w:w w:val="90"/>
              </w:rPr>
              <w:t>1</w:t>
            </w:r>
            <w:r w:rsidRPr="00710D5E">
              <w:rPr>
                <w:rFonts w:ascii="Times New Roman" w:hAnsi="Times New Roman"/>
                <w:w w:val="90"/>
                <w:vertAlign w:val="superscript"/>
              </w:rPr>
              <w:t>st</w:t>
            </w:r>
            <w:r w:rsidRPr="00710D5E">
              <w:rPr>
                <w:rFonts w:ascii="Times New Roman" w:hAnsi="Times New Roman"/>
                <w:spacing w:val="3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–</w:t>
            </w:r>
            <w:r w:rsidRPr="00710D5E">
              <w:rPr>
                <w:rFonts w:ascii="Times New Roman" w:hAnsi="Times New Roman"/>
                <w:spacing w:val="4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24</w:t>
            </w:r>
            <w:r w:rsidRPr="00710D5E">
              <w:rPr>
                <w:rFonts w:ascii="Times New Roman" w:hAnsi="Times New Roman"/>
                <w:w w:val="90"/>
                <w:vertAlign w:val="superscript"/>
              </w:rPr>
              <w:t>th</w:t>
            </w:r>
            <w:r w:rsidRPr="00710D5E">
              <w:rPr>
                <w:rFonts w:ascii="Times New Roman" w:hAnsi="Times New Roman"/>
                <w:spacing w:val="4"/>
              </w:rPr>
              <w:t xml:space="preserve"> </w:t>
            </w:r>
            <w:r w:rsidRPr="00710D5E">
              <w:rPr>
                <w:rFonts w:ascii="Times New Roman" w:eastAsia="Times New Roman" w:hAnsi="Times New Roman"/>
                <w:color w:val="212529"/>
              </w:rPr>
              <w:t>percentile</w:t>
            </w:r>
            <w:r w:rsidRPr="00710D5E">
              <w:rPr>
                <w:rFonts w:ascii="Times New Roman" w:hAnsi="Times New Roman"/>
                <w:w w:val="90"/>
              </w:rPr>
              <w:t xml:space="preserve"> (bottom/least</w:t>
            </w:r>
            <w:r w:rsidRPr="00710D5E">
              <w:rPr>
                <w:rFonts w:ascii="Times New Roman" w:hAnsi="Times New Roman"/>
                <w:spacing w:val="5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ideal</w:t>
            </w:r>
            <w:r w:rsidRPr="00710D5E">
              <w:rPr>
                <w:rFonts w:ascii="Times New Roman" w:hAnsi="Times New Roman"/>
                <w:spacing w:val="4"/>
              </w:rPr>
              <w:t xml:space="preserve"> </w:t>
            </w:r>
            <w:r w:rsidRPr="00710D5E">
              <w:rPr>
                <w:rFonts w:ascii="Times New Roman" w:hAnsi="Times New Roman"/>
                <w:spacing w:val="-2"/>
                <w:w w:val="90"/>
              </w:rPr>
              <w:t>quartile)</w:t>
            </w:r>
          </w:p>
        </w:tc>
      </w:tr>
      <w:tr w:rsidR="00710D5E" w:rsidRPr="00710D5E" w:rsidTr="001B7529">
        <w:tc>
          <w:tcPr>
            <w:tcW w:w="1419" w:type="dxa"/>
            <w:vMerge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Physical activity </w:t>
            </w:r>
          </w:p>
        </w:tc>
        <w:tc>
          <w:tcPr>
            <w:tcW w:w="2216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Self-reported minutes of moderate or vigorous physical activity per week 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pStyle w:val="TableParagraph"/>
              <w:spacing w:before="4" w:line="254" w:lineRule="auto"/>
              <w:ind w:left="106"/>
              <w:rPr>
                <w:sz w:val="24"/>
                <w:szCs w:val="24"/>
              </w:rPr>
            </w:pPr>
            <w:r w:rsidRPr="00710D5E">
              <w:rPr>
                <w:b/>
                <w:w w:val="95"/>
                <w:sz w:val="24"/>
                <w:szCs w:val="24"/>
              </w:rPr>
              <w:t>Metric:</w:t>
            </w:r>
            <w:r w:rsidRPr="00710D5E">
              <w:rPr>
                <w:b/>
                <w:spacing w:val="-12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Minutes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of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moderate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(or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greater)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 xml:space="preserve">intensity </w:t>
            </w:r>
            <w:r w:rsidRPr="00710D5E">
              <w:rPr>
                <w:sz w:val="24"/>
                <w:szCs w:val="24"/>
              </w:rPr>
              <w:t>activity per week</w:t>
            </w:r>
          </w:p>
          <w:p w:rsidR="00710D5E" w:rsidRPr="00710D5E" w:rsidRDefault="00710D5E" w:rsidP="001B7529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710D5E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:rsidR="00710D5E" w:rsidRPr="00710D5E" w:rsidRDefault="00710D5E" w:rsidP="001B7529">
            <w:pPr>
              <w:pStyle w:val="TableParagraph"/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w w:val="95"/>
                <w:sz w:val="24"/>
                <w:szCs w:val="24"/>
                <w:u w:val="single"/>
              </w:rPr>
              <w:t>Points</w:t>
            </w:r>
            <w:r w:rsidRPr="00710D5E">
              <w:rPr>
                <w:spacing w:val="53"/>
                <w:sz w:val="24"/>
                <w:szCs w:val="24"/>
                <w:u w:val="single"/>
              </w:rPr>
              <w:t xml:space="preserve"> </w:t>
            </w:r>
            <w:r w:rsidRPr="00710D5E">
              <w:rPr>
                <w:spacing w:val="-2"/>
                <w:w w:val="95"/>
                <w:sz w:val="24"/>
                <w:szCs w:val="24"/>
                <w:u w:val="single"/>
              </w:rPr>
              <w:t>Minutes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74"/>
              </w:tabs>
              <w:spacing w:before="12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100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spacing w:val="-4"/>
                <w:sz w:val="24"/>
                <w:szCs w:val="24"/>
              </w:rPr>
              <w:t>≥150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90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120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149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80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90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119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60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60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89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2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40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30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59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20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1</w:t>
            </w:r>
            <w:r w:rsidRPr="00710D5E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29</w:t>
            </w:r>
          </w:p>
          <w:p w:rsidR="00710D5E" w:rsidRPr="00710D5E" w:rsidRDefault="00710D5E" w:rsidP="001B7529">
            <w:pPr>
              <w:spacing w:line="276" w:lineRule="auto"/>
              <w:ind w:firstLineChars="50" w:firstLine="110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hAnsi="Times New Roman"/>
                <w:spacing w:val="-10"/>
              </w:rPr>
              <w:t xml:space="preserve">0   </w:t>
            </w:r>
            <w:r w:rsidRPr="00710D5E">
              <w:rPr>
                <w:rFonts w:ascii="Times New Roman" w:hAnsi="Times New Roman"/>
              </w:rPr>
              <w:tab/>
            </w:r>
            <w:r w:rsidRPr="00710D5E">
              <w:rPr>
                <w:rFonts w:ascii="Times New Roman" w:hAnsi="Times New Roman"/>
                <w:spacing w:val="-10"/>
              </w:rPr>
              <w:t>0</w:t>
            </w:r>
          </w:p>
        </w:tc>
      </w:tr>
      <w:tr w:rsidR="00710D5E" w:rsidRPr="00710D5E" w:rsidTr="001B7529">
        <w:tc>
          <w:tcPr>
            <w:tcW w:w="1419" w:type="dxa"/>
            <w:vMerge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Nicotine exposure </w:t>
            </w:r>
          </w:p>
        </w:tc>
        <w:tc>
          <w:tcPr>
            <w:tcW w:w="2216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Self-reported use of cigarettes or inhaled nicotine- delivery system 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pStyle w:val="TableParagraph"/>
              <w:spacing w:before="7"/>
              <w:rPr>
                <w:w w:val="95"/>
                <w:sz w:val="24"/>
                <w:szCs w:val="24"/>
              </w:rPr>
            </w:pPr>
            <w:r w:rsidRPr="00710D5E">
              <w:rPr>
                <w:b/>
                <w:w w:val="90"/>
                <w:sz w:val="24"/>
                <w:szCs w:val="24"/>
              </w:rPr>
              <w:t xml:space="preserve">Metric: </w:t>
            </w:r>
            <w:r w:rsidRPr="00710D5E">
              <w:rPr>
                <w:w w:val="90"/>
                <w:sz w:val="24"/>
                <w:szCs w:val="24"/>
              </w:rPr>
              <w:t xml:space="preserve">Combustible tobacco use and/or inhaled </w:t>
            </w:r>
            <w:r w:rsidRPr="00710D5E">
              <w:rPr>
                <w:w w:val="95"/>
                <w:sz w:val="24"/>
                <w:szCs w:val="24"/>
              </w:rPr>
              <w:t>NDS</w:t>
            </w:r>
            <w:r w:rsidRPr="00710D5E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use;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or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secondhand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smoke</w:t>
            </w:r>
            <w:r w:rsidRPr="00710D5E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w w:val="95"/>
                <w:sz w:val="24"/>
                <w:szCs w:val="24"/>
              </w:rPr>
              <w:t>exposure</w:t>
            </w:r>
          </w:p>
          <w:p w:rsidR="00710D5E" w:rsidRPr="00710D5E" w:rsidRDefault="00710D5E" w:rsidP="001B7529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710D5E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:rsidR="00710D5E" w:rsidRPr="00710D5E" w:rsidRDefault="00710D5E" w:rsidP="001B7529">
            <w:pPr>
              <w:pStyle w:val="TableParagraph"/>
              <w:spacing w:before="13"/>
              <w:ind w:left="106"/>
              <w:rPr>
                <w:sz w:val="24"/>
                <w:szCs w:val="24"/>
              </w:rPr>
            </w:pPr>
            <w:r w:rsidRPr="00710D5E">
              <w:rPr>
                <w:w w:val="95"/>
                <w:sz w:val="24"/>
                <w:szCs w:val="24"/>
                <w:u w:val="single"/>
              </w:rPr>
              <w:t>Points</w:t>
            </w:r>
            <w:r w:rsidRPr="00710D5E">
              <w:rPr>
                <w:spacing w:val="53"/>
                <w:sz w:val="24"/>
                <w:szCs w:val="24"/>
                <w:u w:val="single"/>
              </w:rPr>
              <w:t xml:space="preserve"> </w:t>
            </w:r>
            <w:r w:rsidRPr="00710D5E">
              <w:rPr>
                <w:spacing w:val="-2"/>
                <w:sz w:val="24"/>
                <w:szCs w:val="24"/>
                <w:u w:val="single"/>
              </w:rPr>
              <w:t>Status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28"/>
              </w:tabs>
              <w:spacing w:before="14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100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Never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sz w:val="24"/>
                <w:szCs w:val="24"/>
              </w:rPr>
              <w:t>smoker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75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Former</w:t>
            </w:r>
            <w:r w:rsidRPr="00710D5E">
              <w:rPr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smoker,</w:t>
            </w:r>
            <w:r w:rsidRPr="00710D5E">
              <w:rPr>
                <w:spacing w:val="1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quit</w:t>
            </w:r>
            <w:r w:rsidRPr="00710D5E">
              <w:rPr>
                <w:spacing w:val="1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≥5</w:t>
            </w:r>
            <w:r w:rsidRPr="00710D5E">
              <w:rPr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yrs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50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Former</w:t>
            </w:r>
            <w:r w:rsidRPr="00710D5E">
              <w:rPr>
                <w:spacing w:val="-4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smoker,</w:t>
            </w:r>
            <w:r w:rsidRPr="00710D5E">
              <w:rPr>
                <w:spacing w:val="-4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quit</w:t>
            </w:r>
            <w:r w:rsidRPr="00710D5E">
              <w:rPr>
                <w:spacing w:val="-3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1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-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&lt;5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yrs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13" w:line="254" w:lineRule="auto"/>
              <w:ind w:left="832" w:right="320" w:hanging="725"/>
              <w:rPr>
                <w:sz w:val="24"/>
                <w:szCs w:val="24"/>
              </w:rPr>
            </w:pPr>
            <w:r w:rsidRPr="00710D5E">
              <w:rPr>
                <w:spacing w:val="-6"/>
                <w:sz w:val="24"/>
                <w:szCs w:val="24"/>
              </w:rPr>
              <w:t>25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 xml:space="preserve">Former smoker, quit &lt;1 year, or currently </w:t>
            </w:r>
            <w:r w:rsidRPr="00710D5E">
              <w:rPr>
                <w:sz w:val="24"/>
                <w:szCs w:val="24"/>
              </w:rPr>
              <w:t>using</w:t>
            </w:r>
            <w:r w:rsidRPr="00710D5E">
              <w:rPr>
                <w:spacing w:val="-14"/>
                <w:sz w:val="24"/>
                <w:szCs w:val="24"/>
              </w:rPr>
              <w:t xml:space="preserve"> </w:t>
            </w:r>
            <w:r w:rsidRPr="00710D5E">
              <w:rPr>
                <w:sz w:val="24"/>
                <w:szCs w:val="24"/>
              </w:rPr>
              <w:t>inhaled</w:t>
            </w:r>
            <w:r w:rsidRPr="00710D5E">
              <w:rPr>
                <w:spacing w:val="-14"/>
                <w:sz w:val="24"/>
                <w:szCs w:val="24"/>
              </w:rPr>
              <w:t xml:space="preserve"> </w:t>
            </w:r>
            <w:r w:rsidRPr="00710D5E">
              <w:rPr>
                <w:sz w:val="24"/>
                <w:szCs w:val="24"/>
              </w:rPr>
              <w:t>NDS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07"/>
              </w:tabs>
              <w:spacing w:before="2"/>
              <w:ind w:left="106"/>
              <w:rPr>
                <w:sz w:val="24"/>
                <w:szCs w:val="24"/>
              </w:rPr>
            </w:pPr>
            <w:r w:rsidRPr="00710D5E">
              <w:rPr>
                <w:spacing w:val="-10"/>
                <w:sz w:val="24"/>
                <w:szCs w:val="24"/>
              </w:rPr>
              <w:t>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Current</w:t>
            </w:r>
            <w:r w:rsidRPr="00710D5E">
              <w:rPr>
                <w:spacing w:val="6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sz w:val="24"/>
                <w:szCs w:val="24"/>
              </w:rPr>
              <w:t>smoker</w:t>
            </w:r>
          </w:p>
          <w:p w:rsidR="00710D5E" w:rsidRPr="00710D5E" w:rsidRDefault="00710D5E" w:rsidP="001B7529">
            <w:pPr>
              <w:pStyle w:val="TableParagraph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hAnsi="Times New Roman"/>
                <w:w w:val="90"/>
              </w:rPr>
              <w:t xml:space="preserve">Subtract 20 points (unless score is 0) for living with </w:t>
            </w:r>
            <w:r w:rsidRPr="00710D5E">
              <w:rPr>
                <w:rFonts w:ascii="Times New Roman" w:hAnsi="Times New Roman"/>
              </w:rPr>
              <w:t>active</w:t>
            </w:r>
            <w:r w:rsidRPr="00710D5E">
              <w:rPr>
                <w:rFonts w:ascii="Times New Roman" w:hAnsi="Times New Roman"/>
                <w:spacing w:val="-11"/>
              </w:rPr>
              <w:t xml:space="preserve"> </w:t>
            </w:r>
            <w:r w:rsidRPr="00710D5E">
              <w:rPr>
                <w:rFonts w:ascii="Times New Roman" w:hAnsi="Times New Roman"/>
              </w:rPr>
              <w:t>indoor</w:t>
            </w:r>
            <w:r w:rsidRPr="00710D5E">
              <w:rPr>
                <w:rFonts w:ascii="Times New Roman" w:hAnsi="Times New Roman"/>
                <w:spacing w:val="-10"/>
              </w:rPr>
              <w:t xml:space="preserve"> </w:t>
            </w:r>
            <w:r w:rsidRPr="00710D5E">
              <w:rPr>
                <w:rFonts w:ascii="Times New Roman" w:hAnsi="Times New Roman"/>
              </w:rPr>
              <w:t>smoker</w:t>
            </w:r>
            <w:r w:rsidRPr="00710D5E">
              <w:rPr>
                <w:rFonts w:ascii="Times New Roman" w:hAnsi="Times New Roman"/>
                <w:spacing w:val="-10"/>
              </w:rPr>
              <w:t xml:space="preserve"> </w:t>
            </w:r>
            <w:r w:rsidRPr="00710D5E">
              <w:rPr>
                <w:rFonts w:ascii="Times New Roman" w:hAnsi="Times New Roman"/>
              </w:rPr>
              <w:t>in</w:t>
            </w:r>
            <w:r w:rsidRPr="00710D5E">
              <w:rPr>
                <w:rFonts w:ascii="Times New Roman" w:hAnsi="Times New Roman"/>
                <w:spacing w:val="-10"/>
              </w:rPr>
              <w:t xml:space="preserve"> </w:t>
            </w:r>
            <w:r w:rsidRPr="00710D5E">
              <w:rPr>
                <w:rFonts w:ascii="Times New Roman" w:hAnsi="Times New Roman"/>
              </w:rPr>
              <w:t>home</w:t>
            </w:r>
          </w:p>
        </w:tc>
      </w:tr>
      <w:tr w:rsidR="00710D5E" w:rsidRPr="00710D5E" w:rsidTr="001B7529">
        <w:tc>
          <w:tcPr>
            <w:tcW w:w="1419" w:type="dxa"/>
            <w:vMerge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Sleep health </w:t>
            </w:r>
          </w:p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16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Self-reported average hours of sleep per night 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pStyle w:val="TableParagraph"/>
              <w:spacing w:before="4"/>
              <w:ind w:left="106"/>
              <w:rPr>
                <w:sz w:val="24"/>
                <w:szCs w:val="24"/>
              </w:rPr>
            </w:pPr>
            <w:r w:rsidRPr="00710D5E">
              <w:rPr>
                <w:b/>
                <w:w w:val="90"/>
                <w:sz w:val="24"/>
                <w:szCs w:val="24"/>
              </w:rPr>
              <w:t>Metric:</w:t>
            </w:r>
            <w:r w:rsidRPr="00710D5E">
              <w:rPr>
                <w:b/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Average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hours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of</w:t>
            </w:r>
            <w:r w:rsidRPr="00710D5E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sleep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per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night</w:t>
            </w:r>
          </w:p>
          <w:p w:rsidR="00710D5E" w:rsidRPr="00710D5E" w:rsidRDefault="00710D5E" w:rsidP="001B7529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710D5E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sz w:val="24"/>
                <w:szCs w:val="24"/>
              </w:rPr>
            </w:pPr>
            <w:r w:rsidRPr="00710D5E">
              <w:rPr>
                <w:sz w:val="24"/>
                <w:szCs w:val="24"/>
                <w:u w:val="single"/>
              </w:rPr>
              <w:t>Points</w:t>
            </w:r>
            <w:r w:rsidRPr="00710D5E">
              <w:rPr>
                <w:spacing w:val="33"/>
                <w:sz w:val="24"/>
                <w:szCs w:val="24"/>
                <w:u w:val="single"/>
              </w:rPr>
              <w:t xml:space="preserve"> </w:t>
            </w:r>
            <w:r w:rsidRPr="00710D5E">
              <w:rPr>
                <w:sz w:val="24"/>
                <w:szCs w:val="24"/>
                <w:u w:val="single"/>
              </w:rPr>
              <w:t>Level</w:t>
            </w:r>
            <w:r w:rsidRPr="00710D5E">
              <w:rPr>
                <w:sz w:val="24"/>
                <w:szCs w:val="24"/>
              </w:rPr>
              <w:t xml:space="preserve"> 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74"/>
              </w:tabs>
              <w:spacing w:before="12" w:line="254" w:lineRule="auto"/>
              <w:ind w:left="106" w:right="313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100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7</w:t>
            </w:r>
            <w:r w:rsidRPr="00710D5E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&lt;9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2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90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9</w:t>
            </w:r>
            <w:r w:rsidRPr="00710D5E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5"/>
                <w:w w:val="90"/>
                <w:sz w:val="24"/>
                <w:szCs w:val="24"/>
              </w:rPr>
              <w:t xml:space="preserve"> &lt;10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70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6</w:t>
            </w:r>
            <w:r w:rsidRPr="00710D5E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5"/>
                <w:w w:val="90"/>
                <w:sz w:val="24"/>
                <w:szCs w:val="24"/>
              </w:rPr>
              <w:t xml:space="preserve"> &lt;7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40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5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&lt;6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or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≥10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pacing w:val="-5"/>
                <w:w w:val="90"/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20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4</w:t>
            </w:r>
            <w:r w:rsidRPr="00710D5E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5"/>
                <w:w w:val="90"/>
                <w:sz w:val="24"/>
                <w:szCs w:val="24"/>
              </w:rPr>
              <w:t xml:space="preserve"> &lt;5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4"/>
              <w:ind w:left="106"/>
              <w:rPr>
                <w:sz w:val="24"/>
                <w:szCs w:val="24"/>
              </w:rPr>
            </w:pPr>
            <w:r w:rsidRPr="00710D5E">
              <w:rPr>
                <w:spacing w:val="-10"/>
                <w:sz w:val="24"/>
                <w:szCs w:val="24"/>
              </w:rPr>
              <w:t>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spacing w:val="-5"/>
                <w:sz w:val="24"/>
                <w:szCs w:val="24"/>
              </w:rPr>
              <w:t>&lt;4</w:t>
            </w:r>
          </w:p>
        </w:tc>
      </w:tr>
      <w:tr w:rsidR="00710D5E" w:rsidRPr="00710D5E" w:rsidTr="001B7529">
        <w:tc>
          <w:tcPr>
            <w:tcW w:w="1419" w:type="dxa"/>
            <w:vMerge w:val="restart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Health Factors </w:t>
            </w:r>
          </w:p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Body mass index </w:t>
            </w:r>
          </w:p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16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>Body weight (kg) divided by height squared (m</w:t>
            </w:r>
            <w:r w:rsidRPr="00710D5E">
              <w:rPr>
                <w:rFonts w:ascii="Times New Roman" w:hAnsi="Times New Roman" w:cs="Times New Roman"/>
                <w:position w:val="6"/>
                <w:vertAlign w:val="superscript"/>
              </w:rPr>
              <w:t>2</w:t>
            </w:r>
            <w:r w:rsidRPr="00710D5E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pStyle w:val="TableParagraph"/>
              <w:spacing w:before="4"/>
              <w:ind w:left="106"/>
              <w:rPr>
                <w:sz w:val="24"/>
                <w:szCs w:val="24"/>
              </w:rPr>
            </w:pPr>
            <w:r w:rsidRPr="00710D5E">
              <w:rPr>
                <w:b/>
                <w:w w:val="90"/>
                <w:sz w:val="24"/>
                <w:szCs w:val="24"/>
              </w:rPr>
              <w:t>Metric:</w:t>
            </w:r>
            <w:r w:rsidRPr="00710D5E">
              <w:rPr>
                <w:b/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Body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mass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index</w:t>
            </w:r>
            <w:r w:rsidRPr="00710D5E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w w:val="90"/>
                <w:sz w:val="24"/>
                <w:szCs w:val="24"/>
              </w:rPr>
              <w:t>(kg/m</w:t>
            </w:r>
            <w:r w:rsidRPr="00710D5E">
              <w:rPr>
                <w:spacing w:val="-2"/>
                <w:w w:val="90"/>
                <w:sz w:val="24"/>
                <w:szCs w:val="24"/>
                <w:vertAlign w:val="superscript"/>
              </w:rPr>
              <w:t>2</w:t>
            </w:r>
            <w:r w:rsidRPr="00710D5E">
              <w:rPr>
                <w:spacing w:val="-2"/>
                <w:w w:val="90"/>
                <w:sz w:val="24"/>
                <w:szCs w:val="24"/>
              </w:rPr>
              <w:t>)</w:t>
            </w:r>
          </w:p>
          <w:p w:rsidR="00710D5E" w:rsidRPr="00710D5E" w:rsidRDefault="00710D5E" w:rsidP="001B7529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pStyle w:val="TableParagraph"/>
              <w:tabs>
                <w:tab w:val="left" w:pos="774"/>
              </w:tabs>
              <w:spacing w:before="1" w:line="254" w:lineRule="auto"/>
              <w:ind w:left="106" w:right="3231"/>
              <w:rPr>
                <w:sz w:val="24"/>
                <w:szCs w:val="24"/>
              </w:rPr>
            </w:pPr>
            <w:r w:rsidRPr="00710D5E">
              <w:rPr>
                <w:b/>
                <w:spacing w:val="-2"/>
                <w:w w:val="95"/>
                <w:sz w:val="24"/>
                <w:szCs w:val="24"/>
              </w:rPr>
              <w:t xml:space="preserve">Scoring: </w:t>
            </w:r>
            <w:r w:rsidRPr="00710D5E">
              <w:rPr>
                <w:spacing w:val="-2"/>
                <w:w w:val="95"/>
                <w:sz w:val="24"/>
                <w:szCs w:val="24"/>
                <w:u w:val="single"/>
              </w:rPr>
              <w:t>Points</w:t>
            </w:r>
            <w:r w:rsidRPr="00710D5E">
              <w:rPr>
                <w:spacing w:val="33"/>
                <w:sz w:val="24"/>
                <w:szCs w:val="24"/>
                <w:u w:val="single"/>
              </w:rPr>
              <w:t xml:space="preserve"> </w:t>
            </w:r>
            <w:r w:rsidRPr="00710D5E">
              <w:rPr>
                <w:spacing w:val="-2"/>
                <w:w w:val="95"/>
                <w:sz w:val="24"/>
                <w:szCs w:val="24"/>
                <w:u w:val="single"/>
              </w:rPr>
              <w:t>Level</w:t>
            </w:r>
            <w:r w:rsidRPr="00710D5E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5"/>
                <w:sz w:val="24"/>
                <w:szCs w:val="24"/>
              </w:rPr>
              <w:t>100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spacing w:val="-4"/>
                <w:w w:val="95"/>
                <w:sz w:val="24"/>
                <w:szCs w:val="24"/>
              </w:rPr>
              <w:t>&lt;25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70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25.0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29.9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3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30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30.0</w:t>
            </w:r>
            <w:r w:rsidRPr="00710D5E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34.9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spacing w:val="-4"/>
                <w:w w:val="90"/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15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35.0</w:t>
            </w:r>
            <w:r w:rsidRPr="00710D5E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39.9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64"/>
              </w:tabs>
              <w:spacing w:before="15"/>
              <w:ind w:left="106"/>
              <w:rPr>
                <w:rFonts w:eastAsiaTheme="minorHAnsi"/>
                <w:sz w:val="24"/>
                <w:szCs w:val="24"/>
              </w:rPr>
            </w:pPr>
            <w:r w:rsidRPr="00710D5E">
              <w:rPr>
                <w:spacing w:val="-10"/>
                <w:sz w:val="24"/>
                <w:szCs w:val="24"/>
              </w:rPr>
              <w:t>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spacing w:val="-2"/>
                <w:sz w:val="24"/>
                <w:szCs w:val="24"/>
              </w:rPr>
              <w:t>≥40.0</w:t>
            </w:r>
          </w:p>
        </w:tc>
      </w:tr>
      <w:tr w:rsidR="00710D5E" w:rsidRPr="00710D5E" w:rsidTr="001B7529">
        <w:tc>
          <w:tcPr>
            <w:tcW w:w="1419" w:type="dxa"/>
            <w:vMerge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Blood lipids </w:t>
            </w:r>
          </w:p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2216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Plasma total and HDL-cholesterol with calculation of non-HDL-cholesterol 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710D5E">
              <w:rPr>
                <w:b/>
                <w:w w:val="90"/>
                <w:sz w:val="24"/>
                <w:szCs w:val="24"/>
              </w:rPr>
              <w:t>Metric:</w:t>
            </w:r>
            <w:r w:rsidRPr="00710D5E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Non-HDL-cholesterol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w w:val="90"/>
                <w:sz w:val="24"/>
                <w:szCs w:val="24"/>
              </w:rPr>
              <w:t>(mg/dL)</w:t>
            </w:r>
          </w:p>
          <w:p w:rsidR="00710D5E" w:rsidRPr="00710D5E" w:rsidRDefault="00710D5E" w:rsidP="001B7529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710D5E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pacing w:val="-2"/>
                <w:w w:val="95"/>
                <w:sz w:val="24"/>
                <w:szCs w:val="24"/>
              </w:rPr>
            </w:pPr>
            <w:r w:rsidRPr="00710D5E">
              <w:rPr>
                <w:spacing w:val="-2"/>
                <w:w w:val="95"/>
                <w:sz w:val="24"/>
                <w:szCs w:val="24"/>
                <w:u w:val="single"/>
              </w:rPr>
              <w:t>Points</w:t>
            </w:r>
            <w:r w:rsidRPr="00710D5E">
              <w:rPr>
                <w:spacing w:val="33"/>
                <w:sz w:val="24"/>
                <w:szCs w:val="24"/>
                <w:u w:val="single"/>
              </w:rPr>
              <w:t xml:space="preserve"> </w:t>
            </w:r>
            <w:r w:rsidRPr="00710D5E">
              <w:rPr>
                <w:spacing w:val="-2"/>
                <w:w w:val="95"/>
                <w:sz w:val="24"/>
                <w:szCs w:val="24"/>
                <w:u w:val="single"/>
              </w:rPr>
              <w:t>Level</w:t>
            </w:r>
            <w:r w:rsidRPr="00710D5E">
              <w:rPr>
                <w:spacing w:val="-2"/>
                <w:w w:val="95"/>
                <w:sz w:val="24"/>
                <w:szCs w:val="24"/>
              </w:rPr>
              <w:t xml:space="preserve"> 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29"/>
              </w:tabs>
              <w:spacing w:before="15" w:line="252" w:lineRule="auto"/>
              <w:ind w:left="107" w:right="3230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100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spacing w:val="-4"/>
                <w:w w:val="95"/>
                <w:sz w:val="24"/>
                <w:szCs w:val="24"/>
              </w:rPr>
              <w:t>&lt;130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4"/>
              <w:ind w:left="107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60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130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159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40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160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189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12"/>
              <w:ind w:left="107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20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190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219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07"/>
              </w:tabs>
              <w:spacing w:before="15"/>
              <w:ind w:left="107"/>
              <w:rPr>
                <w:sz w:val="24"/>
                <w:szCs w:val="24"/>
              </w:rPr>
            </w:pPr>
            <w:r w:rsidRPr="00710D5E">
              <w:rPr>
                <w:spacing w:val="-10"/>
                <w:sz w:val="24"/>
                <w:szCs w:val="24"/>
              </w:rPr>
              <w:t>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spacing w:val="-4"/>
                <w:sz w:val="24"/>
                <w:szCs w:val="24"/>
              </w:rPr>
              <w:t>≥220</w:t>
            </w:r>
          </w:p>
          <w:p w:rsidR="00710D5E" w:rsidRPr="00710D5E" w:rsidRDefault="00710D5E" w:rsidP="001B7529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tabs>
                <w:tab w:val="left" w:pos="1302"/>
              </w:tabs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hAnsi="Times New Roman"/>
                <w:w w:val="90"/>
              </w:rPr>
              <w:t>If</w:t>
            </w:r>
            <w:r w:rsidRPr="00710D5E">
              <w:rPr>
                <w:rFonts w:ascii="Times New Roman" w:hAnsi="Times New Roman"/>
                <w:spacing w:val="6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drug-treated</w:t>
            </w:r>
            <w:r w:rsidRPr="00710D5E">
              <w:rPr>
                <w:rFonts w:ascii="Times New Roman" w:hAnsi="Times New Roman"/>
                <w:spacing w:val="8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level,</w:t>
            </w:r>
            <w:r w:rsidRPr="00710D5E">
              <w:rPr>
                <w:rFonts w:ascii="Times New Roman" w:hAnsi="Times New Roman"/>
                <w:spacing w:val="8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subtract</w:t>
            </w:r>
            <w:r w:rsidRPr="00710D5E">
              <w:rPr>
                <w:rFonts w:ascii="Times New Roman" w:hAnsi="Times New Roman"/>
                <w:spacing w:val="8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20</w:t>
            </w:r>
            <w:r w:rsidRPr="00710D5E">
              <w:rPr>
                <w:rFonts w:ascii="Times New Roman" w:hAnsi="Times New Roman"/>
                <w:spacing w:val="6"/>
              </w:rPr>
              <w:t xml:space="preserve"> </w:t>
            </w:r>
            <w:r w:rsidRPr="00710D5E">
              <w:rPr>
                <w:rFonts w:ascii="Times New Roman" w:hAnsi="Times New Roman"/>
                <w:spacing w:val="-2"/>
                <w:w w:val="90"/>
              </w:rPr>
              <w:t>points</w:t>
            </w:r>
          </w:p>
        </w:tc>
      </w:tr>
      <w:tr w:rsidR="00710D5E" w:rsidRPr="00710D5E" w:rsidTr="001B7529">
        <w:tc>
          <w:tcPr>
            <w:tcW w:w="1419" w:type="dxa"/>
            <w:vMerge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Blood glucose </w:t>
            </w:r>
          </w:p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</w:p>
        </w:tc>
        <w:tc>
          <w:tcPr>
            <w:tcW w:w="2216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Fasting blood glucose or casual hemoglobin A1c 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pStyle w:val="TableParagraph"/>
              <w:spacing w:before="4" w:line="254" w:lineRule="auto"/>
              <w:ind w:left="107"/>
              <w:rPr>
                <w:sz w:val="24"/>
                <w:szCs w:val="24"/>
              </w:rPr>
            </w:pPr>
            <w:r w:rsidRPr="00710D5E">
              <w:rPr>
                <w:b/>
                <w:w w:val="90"/>
                <w:sz w:val="24"/>
                <w:szCs w:val="24"/>
              </w:rPr>
              <w:t xml:space="preserve">Metric: </w:t>
            </w:r>
            <w:r w:rsidRPr="00710D5E">
              <w:rPr>
                <w:w w:val="90"/>
                <w:sz w:val="24"/>
                <w:szCs w:val="24"/>
              </w:rPr>
              <w:t>Fasting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blood glucose</w:t>
            </w:r>
            <w:r w:rsidRPr="00710D5E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(mg/dL)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 xml:space="preserve">or </w:t>
            </w:r>
            <w:r w:rsidRPr="00710D5E">
              <w:rPr>
                <w:sz w:val="24"/>
                <w:szCs w:val="24"/>
              </w:rPr>
              <w:t>Hemoglobin</w:t>
            </w:r>
            <w:r w:rsidRPr="00710D5E">
              <w:rPr>
                <w:spacing w:val="-14"/>
                <w:sz w:val="24"/>
                <w:szCs w:val="24"/>
              </w:rPr>
              <w:t xml:space="preserve"> </w:t>
            </w:r>
            <w:r w:rsidRPr="00710D5E">
              <w:rPr>
                <w:sz w:val="24"/>
                <w:szCs w:val="24"/>
              </w:rPr>
              <w:t>A1c</w:t>
            </w:r>
            <w:r w:rsidRPr="00710D5E">
              <w:rPr>
                <w:spacing w:val="-14"/>
                <w:sz w:val="24"/>
                <w:szCs w:val="24"/>
              </w:rPr>
              <w:t xml:space="preserve"> </w:t>
            </w:r>
            <w:r w:rsidRPr="00710D5E">
              <w:rPr>
                <w:sz w:val="24"/>
                <w:szCs w:val="24"/>
              </w:rPr>
              <w:t>(%)</w:t>
            </w:r>
          </w:p>
          <w:p w:rsidR="00710D5E" w:rsidRPr="00710D5E" w:rsidRDefault="00710D5E" w:rsidP="001B7529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pStyle w:val="TableParagraph"/>
              <w:spacing w:before="1"/>
              <w:ind w:left="107"/>
              <w:rPr>
                <w:b/>
                <w:sz w:val="24"/>
                <w:szCs w:val="24"/>
              </w:rPr>
            </w:pPr>
            <w:r w:rsidRPr="00710D5E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:rsidR="00710D5E" w:rsidRPr="00710D5E" w:rsidRDefault="00710D5E" w:rsidP="001B7529">
            <w:pPr>
              <w:pStyle w:val="TableParagraph"/>
              <w:spacing w:before="12"/>
              <w:ind w:left="107"/>
              <w:rPr>
                <w:sz w:val="24"/>
                <w:szCs w:val="24"/>
              </w:rPr>
            </w:pPr>
            <w:r w:rsidRPr="00710D5E">
              <w:rPr>
                <w:w w:val="95"/>
                <w:sz w:val="24"/>
                <w:szCs w:val="24"/>
                <w:u w:val="single"/>
              </w:rPr>
              <w:t>Points</w:t>
            </w:r>
            <w:r w:rsidRPr="00710D5E">
              <w:rPr>
                <w:spacing w:val="53"/>
                <w:sz w:val="24"/>
                <w:szCs w:val="24"/>
                <w:u w:val="single"/>
              </w:rPr>
              <w:t xml:space="preserve"> </w:t>
            </w:r>
            <w:r w:rsidRPr="00710D5E">
              <w:rPr>
                <w:spacing w:val="-2"/>
                <w:sz w:val="24"/>
                <w:szCs w:val="24"/>
                <w:u w:val="single"/>
              </w:rPr>
              <w:t>Level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29"/>
              </w:tabs>
              <w:spacing w:before="15" w:line="254" w:lineRule="auto"/>
              <w:ind w:left="789" w:right="424" w:hanging="682"/>
              <w:rPr>
                <w:sz w:val="24"/>
                <w:szCs w:val="24"/>
              </w:rPr>
            </w:pPr>
            <w:r w:rsidRPr="00710D5E">
              <w:rPr>
                <w:spacing w:val="-4"/>
                <w:sz w:val="24"/>
                <w:szCs w:val="24"/>
              </w:rPr>
              <w:t>100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No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history</w:t>
            </w:r>
            <w:r w:rsidRPr="00710D5E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of</w:t>
            </w:r>
            <w:r w:rsidRPr="00710D5E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diabetes</w:t>
            </w:r>
            <w:r w:rsidRPr="00710D5E">
              <w:rPr>
                <w:spacing w:val="-7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and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FBG</w:t>
            </w:r>
            <w:r w:rsidRPr="00710D5E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&lt;100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 xml:space="preserve">(or </w:t>
            </w:r>
            <w:r w:rsidRPr="00710D5E">
              <w:rPr>
                <w:sz w:val="24"/>
                <w:szCs w:val="24"/>
              </w:rPr>
              <w:t>HbA1c &lt; 5.7)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line="254" w:lineRule="auto"/>
              <w:ind w:left="832" w:right="282" w:hanging="725"/>
              <w:rPr>
                <w:sz w:val="24"/>
                <w:szCs w:val="24"/>
              </w:rPr>
            </w:pPr>
            <w:r w:rsidRPr="00710D5E">
              <w:rPr>
                <w:spacing w:val="-6"/>
                <w:sz w:val="24"/>
                <w:szCs w:val="24"/>
              </w:rPr>
              <w:t>60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No</w:t>
            </w:r>
            <w:r w:rsidRPr="00710D5E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diabetes</w:t>
            </w:r>
            <w:r w:rsidRPr="00710D5E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and</w:t>
            </w:r>
            <w:r w:rsidRPr="00710D5E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FBG</w:t>
            </w:r>
            <w:r w:rsidRPr="00710D5E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100</w:t>
            </w:r>
            <w:r w:rsidRPr="00710D5E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125</w:t>
            </w:r>
            <w:r w:rsidRPr="00710D5E">
              <w:rPr>
                <w:spacing w:val="-9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(or</w:t>
            </w:r>
            <w:r w:rsidRPr="00710D5E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 xml:space="preserve">HbA1c </w:t>
            </w:r>
            <w:r w:rsidRPr="00710D5E">
              <w:rPr>
                <w:sz w:val="24"/>
                <w:szCs w:val="24"/>
              </w:rPr>
              <w:t>5.7-6.4)</w:t>
            </w:r>
            <w:r w:rsidRPr="00710D5E">
              <w:rPr>
                <w:spacing w:val="-14"/>
                <w:sz w:val="24"/>
                <w:szCs w:val="24"/>
              </w:rPr>
              <w:t xml:space="preserve"> </w:t>
            </w:r>
            <w:r w:rsidRPr="00710D5E">
              <w:rPr>
                <w:sz w:val="24"/>
                <w:szCs w:val="24"/>
              </w:rPr>
              <w:t>(Pre-diabetes)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2"/>
              <w:ind w:left="107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40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Diabetes</w:t>
            </w:r>
            <w:r w:rsidRPr="00710D5E">
              <w:rPr>
                <w:spacing w:val="-4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with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HbA1c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&lt;7.0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14"/>
              <w:ind w:left="107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30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Diabetes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with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HbA1c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7.0</w:t>
            </w:r>
            <w:r w:rsidRPr="00710D5E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7.9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13"/>
              <w:ind w:left="107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20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Diabetes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with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HbA1c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8.0</w:t>
            </w:r>
            <w:r w:rsidRPr="00710D5E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3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8.9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pacing w:val="-5"/>
                <w:w w:val="90"/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lastRenderedPageBreak/>
              <w:t>10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Diabetes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with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Hb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A1c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9.0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–</w:t>
            </w:r>
            <w:r w:rsidRPr="00710D5E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5"/>
                <w:w w:val="90"/>
                <w:sz w:val="24"/>
                <w:szCs w:val="24"/>
              </w:rPr>
              <w:t>9.9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9"/>
              </w:tabs>
              <w:spacing w:before="15"/>
              <w:ind w:left="107"/>
              <w:rPr>
                <w:sz w:val="24"/>
                <w:szCs w:val="24"/>
              </w:rPr>
            </w:pPr>
            <w:r w:rsidRPr="00710D5E">
              <w:rPr>
                <w:spacing w:val="-10"/>
                <w:sz w:val="24"/>
                <w:szCs w:val="24"/>
              </w:rPr>
              <w:t>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Diabetes</w:t>
            </w:r>
            <w:r w:rsidRPr="00710D5E">
              <w:rPr>
                <w:spacing w:val="-5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with</w:t>
            </w:r>
            <w:r w:rsidRPr="00710D5E">
              <w:rPr>
                <w:spacing w:val="-4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HbA1c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≥10.0</w:t>
            </w:r>
          </w:p>
        </w:tc>
      </w:tr>
      <w:tr w:rsidR="00710D5E" w:rsidRPr="00710D5E" w:rsidTr="001B7529">
        <w:tc>
          <w:tcPr>
            <w:tcW w:w="1419" w:type="dxa"/>
            <w:vMerge/>
          </w:tcPr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1275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Blood pressure </w:t>
            </w:r>
          </w:p>
        </w:tc>
        <w:tc>
          <w:tcPr>
            <w:tcW w:w="2216" w:type="dxa"/>
          </w:tcPr>
          <w:p w:rsidR="00710D5E" w:rsidRPr="00710D5E" w:rsidRDefault="00710D5E" w:rsidP="001B7529">
            <w:pPr>
              <w:pStyle w:val="af"/>
              <w:shd w:val="clear" w:color="auto" w:fill="FFFFFF"/>
              <w:rPr>
                <w:rFonts w:ascii="Times New Roman" w:hAnsi="Times New Roman" w:cs="Times New Roman"/>
              </w:rPr>
            </w:pPr>
            <w:r w:rsidRPr="00710D5E">
              <w:rPr>
                <w:rFonts w:ascii="Times New Roman" w:hAnsi="Times New Roman" w:cs="Times New Roman"/>
              </w:rPr>
              <w:t xml:space="preserve">Appropriately measured systolic and diastolic blood pressure </w:t>
            </w:r>
          </w:p>
        </w:tc>
        <w:tc>
          <w:tcPr>
            <w:tcW w:w="5155" w:type="dxa"/>
          </w:tcPr>
          <w:p w:rsidR="00710D5E" w:rsidRPr="00710D5E" w:rsidRDefault="00710D5E" w:rsidP="001B7529">
            <w:pPr>
              <w:spacing w:line="276" w:lineRule="auto"/>
              <w:rPr>
                <w:rFonts w:ascii="Times New Roman" w:hAnsi="Times New Roman"/>
                <w:spacing w:val="-4"/>
              </w:rPr>
            </w:pPr>
            <w:r w:rsidRPr="00710D5E">
              <w:rPr>
                <w:rFonts w:ascii="Times New Roman" w:hAnsi="Times New Roman"/>
                <w:b/>
                <w:w w:val="90"/>
              </w:rPr>
              <w:t xml:space="preserve">Metric: </w:t>
            </w:r>
            <w:r w:rsidRPr="00710D5E">
              <w:rPr>
                <w:rFonts w:ascii="Times New Roman" w:hAnsi="Times New Roman"/>
                <w:w w:val="90"/>
              </w:rPr>
              <w:t xml:space="preserve">Systolic and diastolic blood pressure (mm </w:t>
            </w:r>
            <w:r w:rsidRPr="00710D5E">
              <w:rPr>
                <w:rFonts w:ascii="Times New Roman" w:hAnsi="Times New Roman"/>
                <w:spacing w:val="-4"/>
              </w:rPr>
              <w:t>Hg)</w:t>
            </w:r>
          </w:p>
          <w:p w:rsidR="00710D5E" w:rsidRPr="00710D5E" w:rsidRDefault="00710D5E" w:rsidP="001B7529">
            <w:pPr>
              <w:spacing w:line="276" w:lineRule="auto"/>
              <w:rPr>
                <w:rFonts w:ascii="Times New Roman" w:hAnsi="Times New Roman"/>
                <w:spacing w:val="-4"/>
              </w:rPr>
            </w:pPr>
          </w:p>
          <w:p w:rsidR="00710D5E" w:rsidRPr="00710D5E" w:rsidRDefault="00710D5E" w:rsidP="001B7529">
            <w:pPr>
              <w:pStyle w:val="TableParagraph"/>
              <w:ind w:left="106"/>
              <w:rPr>
                <w:b/>
                <w:sz w:val="24"/>
                <w:szCs w:val="24"/>
              </w:rPr>
            </w:pPr>
            <w:r w:rsidRPr="00710D5E">
              <w:rPr>
                <w:b/>
                <w:spacing w:val="-2"/>
                <w:w w:val="90"/>
                <w:sz w:val="24"/>
                <w:szCs w:val="24"/>
              </w:rPr>
              <w:t>Scoring:</w:t>
            </w:r>
          </w:p>
          <w:p w:rsidR="00710D5E" w:rsidRPr="00710D5E" w:rsidRDefault="00710D5E" w:rsidP="001B7529">
            <w:pPr>
              <w:pStyle w:val="TableParagraph"/>
              <w:spacing w:before="13"/>
              <w:ind w:left="106"/>
              <w:rPr>
                <w:sz w:val="24"/>
                <w:szCs w:val="24"/>
              </w:rPr>
            </w:pPr>
            <w:r w:rsidRPr="00710D5E">
              <w:rPr>
                <w:w w:val="95"/>
                <w:sz w:val="24"/>
                <w:szCs w:val="24"/>
                <w:u w:val="single"/>
              </w:rPr>
              <w:t>Points</w:t>
            </w:r>
            <w:r w:rsidRPr="00710D5E">
              <w:rPr>
                <w:spacing w:val="53"/>
                <w:sz w:val="24"/>
                <w:szCs w:val="24"/>
                <w:u w:val="single"/>
              </w:rPr>
              <w:t xml:space="preserve"> </w:t>
            </w:r>
            <w:r w:rsidRPr="00710D5E">
              <w:rPr>
                <w:spacing w:val="-2"/>
                <w:sz w:val="24"/>
                <w:szCs w:val="24"/>
                <w:u w:val="single"/>
              </w:rPr>
              <w:t>Level</w:t>
            </w:r>
          </w:p>
          <w:p w:rsidR="00710D5E" w:rsidRPr="00710D5E" w:rsidRDefault="00710D5E" w:rsidP="001B7529">
            <w:pPr>
              <w:pStyle w:val="TableParagraph"/>
              <w:tabs>
                <w:tab w:val="left" w:pos="682"/>
              </w:tabs>
              <w:spacing w:before="14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100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&lt;120/&lt;80</w:t>
            </w:r>
            <w:r w:rsidRPr="00710D5E">
              <w:rPr>
                <w:spacing w:val="-2"/>
                <w:sz w:val="24"/>
                <w:szCs w:val="24"/>
              </w:rPr>
              <w:t xml:space="preserve"> (Optimal)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75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120-129/&lt;80</w:t>
            </w:r>
            <w:r w:rsidRPr="00710D5E">
              <w:rPr>
                <w:spacing w:val="1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w w:val="90"/>
                <w:sz w:val="24"/>
                <w:szCs w:val="24"/>
              </w:rPr>
              <w:t>(Elevated)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8"/>
              </w:tabs>
              <w:spacing w:before="15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w w:val="95"/>
                <w:sz w:val="24"/>
                <w:szCs w:val="24"/>
              </w:rPr>
              <w:t>50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spacing w:val="-2"/>
                <w:w w:val="90"/>
                <w:sz w:val="24"/>
                <w:szCs w:val="24"/>
              </w:rPr>
              <w:t>130-139</w:t>
            </w:r>
            <w:r w:rsidRPr="00710D5E">
              <w:rPr>
                <w:spacing w:val="-8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w w:val="90"/>
                <w:sz w:val="24"/>
                <w:szCs w:val="24"/>
              </w:rPr>
              <w:t>or</w:t>
            </w:r>
            <w:r w:rsidRPr="00710D5E">
              <w:rPr>
                <w:spacing w:val="-6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w w:val="90"/>
                <w:sz w:val="24"/>
                <w:szCs w:val="24"/>
              </w:rPr>
              <w:t>80-89</w:t>
            </w:r>
            <w:r w:rsidRPr="00710D5E">
              <w:rPr>
                <w:spacing w:val="-7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w w:val="90"/>
                <w:sz w:val="24"/>
                <w:szCs w:val="24"/>
              </w:rPr>
              <w:t>(Stage</w:t>
            </w:r>
            <w:r w:rsidRPr="00710D5E">
              <w:rPr>
                <w:spacing w:val="-7"/>
                <w:sz w:val="24"/>
                <w:szCs w:val="24"/>
              </w:rPr>
              <w:t xml:space="preserve"> </w:t>
            </w:r>
            <w:r w:rsidRPr="00710D5E">
              <w:rPr>
                <w:spacing w:val="-2"/>
                <w:w w:val="90"/>
                <w:sz w:val="24"/>
                <w:szCs w:val="24"/>
              </w:rPr>
              <w:t>I</w:t>
            </w:r>
            <w:r w:rsidRPr="00710D5E">
              <w:rPr>
                <w:spacing w:val="-6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HTN)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18"/>
              </w:tabs>
              <w:spacing w:before="13"/>
              <w:ind w:left="106"/>
              <w:rPr>
                <w:sz w:val="24"/>
                <w:szCs w:val="24"/>
              </w:rPr>
            </w:pPr>
            <w:r w:rsidRPr="00710D5E">
              <w:rPr>
                <w:spacing w:val="-5"/>
                <w:sz w:val="24"/>
                <w:szCs w:val="24"/>
              </w:rPr>
              <w:t>25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140-159</w:t>
            </w:r>
            <w:r w:rsidRPr="00710D5E">
              <w:rPr>
                <w:spacing w:val="-2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or</w:t>
            </w:r>
            <w:r w:rsidRPr="00710D5E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90-</w:t>
            </w:r>
            <w:r w:rsidRPr="00710D5E">
              <w:rPr>
                <w:spacing w:val="-5"/>
                <w:w w:val="90"/>
                <w:sz w:val="24"/>
                <w:szCs w:val="24"/>
              </w:rPr>
              <w:t>99</w:t>
            </w:r>
          </w:p>
          <w:p w:rsidR="00710D5E" w:rsidRPr="00710D5E" w:rsidRDefault="00710D5E" w:rsidP="001B7529">
            <w:pPr>
              <w:pStyle w:val="TableParagraph"/>
              <w:tabs>
                <w:tab w:val="left" w:pos="707"/>
              </w:tabs>
              <w:spacing w:before="14"/>
              <w:ind w:left="106"/>
              <w:rPr>
                <w:sz w:val="24"/>
                <w:szCs w:val="24"/>
              </w:rPr>
            </w:pPr>
            <w:r w:rsidRPr="00710D5E">
              <w:rPr>
                <w:spacing w:val="-10"/>
                <w:sz w:val="24"/>
                <w:szCs w:val="24"/>
              </w:rPr>
              <w:t>0</w:t>
            </w:r>
            <w:r w:rsidRPr="00710D5E">
              <w:rPr>
                <w:sz w:val="24"/>
                <w:szCs w:val="24"/>
              </w:rPr>
              <w:tab/>
            </w:r>
            <w:r w:rsidRPr="00710D5E">
              <w:rPr>
                <w:w w:val="90"/>
                <w:sz w:val="24"/>
                <w:szCs w:val="24"/>
              </w:rPr>
              <w:t>≥160</w:t>
            </w:r>
            <w:r w:rsidRPr="00710D5E">
              <w:rPr>
                <w:spacing w:val="-6"/>
                <w:sz w:val="24"/>
                <w:szCs w:val="24"/>
              </w:rPr>
              <w:t xml:space="preserve"> </w:t>
            </w:r>
            <w:r w:rsidRPr="00710D5E">
              <w:rPr>
                <w:w w:val="90"/>
                <w:sz w:val="24"/>
                <w:szCs w:val="24"/>
              </w:rPr>
              <w:t>or</w:t>
            </w:r>
            <w:r w:rsidRPr="00710D5E">
              <w:rPr>
                <w:spacing w:val="-4"/>
                <w:sz w:val="24"/>
                <w:szCs w:val="24"/>
              </w:rPr>
              <w:t xml:space="preserve"> </w:t>
            </w:r>
            <w:r w:rsidRPr="00710D5E">
              <w:rPr>
                <w:spacing w:val="-4"/>
                <w:w w:val="90"/>
                <w:sz w:val="24"/>
                <w:szCs w:val="24"/>
              </w:rPr>
              <w:t>≥100</w:t>
            </w:r>
          </w:p>
          <w:p w:rsidR="00710D5E" w:rsidRPr="00710D5E" w:rsidRDefault="00710D5E" w:rsidP="001B7529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710D5E" w:rsidRPr="00710D5E" w:rsidRDefault="00710D5E" w:rsidP="001B7529">
            <w:pPr>
              <w:spacing w:line="276" w:lineRule="auto"/>
              <w:rPr>
                <w:rFonts w:ascii="Times New Roman" w:eastAsiaTheme="minorHAnsi" w:hAnsi="Times New Roman"/>
              </w:rPr>
            </w:pPr>
            <w:r w:rsidRPr="00710D5E">
              <w:rPr>
                <w:rFonts w:ascii="Times New Roman" w:hAnsi="Times New Roman"/>
                <w:w w:val="90"/>
              </w:rPr>
              <w:t>Subtract</w:t>
            </w:r>
            <w:r w:rsidRPr="00710D5E">
              <w:rPr>
                <w:rFonts w:ascii="Times New Roman" w:hAnsi="Times New Roman"/>
                <w:spacing w:val="6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20</w:t>
            </w:r>
            <w:r w:rsidRPr="00710D5E">
              <w:rPr>
                <w:rFonts w:ascii="Times New Roman" w:hAnsi="Times New Roman"/>
                <w:spacing w:val="4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points</w:t>
            </w:r>
            <w:r w:rsidRPr="00710D5E">
              <w:rPr>
                <w:rFonts w:ascii="Times New Roman" w:hAnsi="Times New Roman"/>
                <w:spacing w:val="8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if</w:t>
            </w:r>
            <w:r w:rsidRPr="00710D5E">
              <w:rPr>
                <w:rFonts w:ascii="Times New Roman" w:hAnsi="Times New Roman"/>
                <w:spacing w:val="5"/>
              </w:rPr>
              <w:t xml:space="preserve"> </w:t>
            </w:r>
            <w:r w:rsidRPr="00710D5E">
              <w:rPr>
                <w:rFonts w:ascii="Times New Roman" w:hAnsi="Times New Roman"/>
                <w:w w:val="90"/>
              </w:rPr>
              <w:t>treated</w:t>
            </w:r>
            <w:r w:rsidRPr="00710D5E">
              <w:rPr>
                <w:rFonts w:ascii="Times New Roman" w:hAnsi="Times New Roman"/>
                <w:spacing w:val="7"/>
              </w:rPr>
              <w:t xml:space="preserve"> </w:t>
            </w:r>
            <w:r w:rsidRPr="00710D5E">
              <w:rPr>
                <w:rFonts w:ascii="Times New Roman" w:hAnsi="Times New Roman"/>
                <w:spacing w:val="-4"/>
                <w:w w:val="90"/>
              </w:rPr>
              <w:t>level</w:t>
            </w:r>
          </w:p>
        </w:tc>
      </w:tr>
    </w:tbl>
    <w:p w:rsidR="00710D5E" w:rsidRPr="00710D5E" w:rsidRDefault="00710D5E" w:rsidP="00710D5E">
      <w:pPr>
        <w:rPr>
          <w:rFonts w:ascii="Times New Roman" w:hAnsi="Times New Roman" w:cs="Times New Roman"/>
          <w:b/>
          <w:bCs/>
        </w:rPr>
      </w:pPr>
    </w:p>
    <w:p w:rsidR="00710D5E" w:rsidRPr="00710D5E" w:rsidRDefault="00710D5E" w:rsidP="00710D5E">
      <w:pPr>
        <w:shd w:val="clear" w:color="auto" w:fill="FFFFFF"/>
        <w:spacing w:before="100" w:beforeAutospacing="1"/>
        <w:ind w:right="90"/>
        <w:rPr>
          <w:rFonts w:ascii="Times New Roman" w:eastAsia="Times New Roman" w:hAnsi="Times New Roman" w:cs="Times New Roman"/>
          <w:b/>
          <w:bCs/>
          <w:color w:val="1B1B1B"/>
        </w:rPr>
      </w:pPr>
      <w:r w:rsidRPr="00710D5E">
        <w:rPr>
          <w:rFonts w:ascii="Times New Roman" w:eastAsia="Times New Roman" w:hAnsi="Times New Roman" w:cs="Times New Roman"/>
          <w:b/>
          <w:bCs/>
          <w:color w:val="1B1B1B"/>
        </w:rPr>
        <w:t>Reference</w:t>
      </w:r>
    </w:p>
    <w:p w:rsidR="00710D5E" w:rsidRPr="00710D5E" w:rsidRDefault="00710D5E" w:rsidP="00710D5E">
      <w:pPr>
        <w:pStyle w:val="a9"/>
        <w:numPr>
          <w:ilvl w:val="0"/>
          <w:numId w:val="1"/>
        </w:numPr>
        <w:contextualSpacing w:val="0"/>
        <w:rPr>
          <w:rFonts w:ascii="Times New Roman" w:hAnsi="Times New Roman" w:cs="Times New Roman"/>
        </w:rPr>
      </w:pPr>
      <w:r w:rsidRPr="00710D5E">
        <w:rPr>
          <w:rFonts w:ascii="Times New Roman" w:hAnsi="Times New Roman" w:cs="Times New Roman"/>
        </w:rPr>
        <w:t xml:space="preserve">Lloyd-Jones DM, Allen NB, Anderson CAM, et al. Life's Essential 8: Updating and Enhancing the American Heart Association's Construct of Cardiovascular Health: A Presidential Advisory From the American Heart Association. </w:t>
      </w:r>
      <w:r w:rsidRPr="00710D5E">
        <w:rPr>
          <w:rFonts w:ascii="Times New Roman" w:hAnsi="Times New Roman" w:cs="Times New Roman"/>
          <w:i/>
          <w:iCs/>
        </w:rPr>
        <w:t>Circulation</w:t>
      </w:r>
      <w:r w:rsidRPr="00710D5E">
        <w:rPr>
          <w:rFonts w:ascii="Times New Roman" w:hAnsi="Times New Roman" w:cs="Times New Roman"/>
        </w:rPr>
        <w:t>. Aug 2 2022;146(5):e18-e43.</w:t>
      </w:r>
    </w:p>
    <w:p w:rsidR="00710D5E" w:rsidRDefault="00710D5E" w:rsidP="00710D5E">
      <w:pPr>
        <w:pStyle w:val="a9"/>
        <w:numPr>
          <w:ilvl w:val="0"/>
          <w:numId w:val="1"/>
        </w:numPr>
        <w:contextualSpacing w:val="0"/>
        <w:rPr>
          <w:rFonts w:ascii="Times New Roman" w:hAnsi="Times New Roman" w:cs="Times New Roman"/>
          <w:noProof/>
        </w:rPr>
      </w:pPr>
      <w:r w:rsidRPr="00710D5E">
        <w:rPr>
          <w:rFonts w:ascii="Times New Roman" w:hAnsi="Times New Roman" w:cs="Times New Roman"/>
          <w:noProof/>
        </w:rPr>
        <w:t xml:space="preserve">Lloyd-Jones DM, Ning H, Labarthe D, et al. Status of Cardiovascular Health in US Adults and Children Using the American Heart Association's New "Life's Essential 8" Metrics: Prevalence Estimates From the National Health and Nutrition Examination Survey (NHANES), 2013 Through 2018. </w:t>
      </w:r>
      <w:r w:rsidRPr="00710D5E">
        <w:rPr>
          <w:rFonts w:ascii="Times New Roman" w:hAnsi="Times New Roman" w:cs="Times New Roman"/>
          <w:i/>
          <w:noProof/>
        </w:rPr>
        <w:t>Circulation</w:t>
      </w:r>
      <w:r w:rsidRPr="00710D5E">
        <w:rPr>
          <w:rFonts w:ascii="Times New Roman" w:hAnsi="Times New Roman" w:cs="Times New Roman"/>
          <w:noProof/>
        </w:rPr>
        <w:t>. Sep 13 2022;146(11):822-835.</w:t>
      </w:r>
    </w:p>
    <w:p w:rsidR="00FB02D0" w:rsidRPr="00710D5E" w:rsidRDefault="00FB02D0" w:rsidP="00710D5E">
      <w:pPr>
        <w:pStyle w:val="a9"/>
        <w:numPr>
          <w:ilvl w:val="0"/>
          <w:numId w:val="1"/>
        </w:numPr>
        <w:contextualSpacing w:val="0"/>
        <w:rPr>
          <w:rFonts w:ascii="Times New Roman" w:hAnsi="Times New Roman" w:cs="Times New Roman"/>
          <w:noProof/>
        </w:rPr>
      </w:pPr>
      <w:r w:rsidRPr="00FB02D0">
        <w:rPr>
          <w:rFonts w:ascii="Times New Roman" w:hAnsi="Times New Roman" w:cs="Times New Roman" w:hint="eastAsia"/>
          <w:noProof/>
        </w:rPr>
        <w:t>Wang L, Yi J, Guo X, et al. Associations between life's essential 8 and non-alcoholic fatty liver disease among US adults. J Transl Med. 2022 Dec 23;20(1):616.</w:t>
      </w:r>
    </w:p>
    <w:p w:rsidR="00710D5E" w:rsidRPr="00710D5E" w:rsidRDefault="00710D5E" w:rsidP="00710D5E">
      <w:pPr>
        <w:rPr>
          <w:rFonts w:ascii="Times New Roman" w:hAnsi="Times New Roman" w:cs="Times New Roman"/>
          <w:noProof/>
        </w:rPr>
        <w:sectPr w:rsidR="00710D5E" w:rsidRPr="00710D5E" w:rsidSect="00710D5E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</w:p>
    <w:p w:rsidR="00710D5E" w:rsidRPr="00710D5E" w:rsidRDefault="00710D5E" w:rsidP="00710D5E">
      <w:pPr>
        <w:shd w:val="clear" w:color="auto" w:fill="FFFFFF"/>
        <w:spacing w:line="480" w:lineRule="auto"/>
        <w:outlineLvl w:val="1"/>
        <w:rPr>
          <w:rFonts w:ascii="Times New Roman" w:eastAsia="Times New Roman" w:hAnsi="Times New Roman" w:cs="Times New Roman"/>
          <w:b/>
          <w:bCs/>
          <w:color w:val="212529"/>
        </w:rPr>
      </w:pPr>
      <w:r w:rsidRPr="00710D5E">
        <w:rPr>
          <w:rFonts w:ascii="Times New Roman" w:hAnsi="Times New Roman" w:cs="Times New Roman"/>
          <w:b/>
          <w:bCs/>
        </w:rPr>
        <w:lastRenderedPageBreak/>
        <w:t>Supplementary Table</w:t>
      </w:r>
      <w:r w:rsidRPr="00710D5E">
        <w:rPr>
          <w:rFonts w:ascii="Times New Roman" w:eastAsia="Times New Roman" w:hAnsi="Times New Roman" w:cs="Times New Roman"/>
          <w:b/>
          <w:bCs/>
          <w:color w:val="212529"/>
        </w:rPr>
        <w:t xml:space="preserve"> 2. Healthy Eating Index-2015 Components &amp; Scoring Standards</w:t>
      </w:r>
      <w:r w:rsidRPr="00710D5E">
        <w:rPr>
          <w:rFonts w:ascii="Times New Roman" w:eastAsia="Times New Roman" w:hAnsi="Times New Roman" w:cs="Times New Roman"/>
          <w:b/>
          <w:bCs/>
          <w:color w:val="212529"/>
          <w:vertAlign w:val="superscript"/>
        </w:rPr>
        <w:t>1</w:t>
      </w:r>
    </w:p>
    <w:p w:rsidR="00710D5E" w:rsidRPr="00710D5E" w:rsidRDefault="00710D5E" w:rsidP="00710D5E">
      <w:pPr>
        <w:shd w:val="clear" w:color="auto" w:fill="FFFFFF"/>
        <w:ind w:hanging="810"/>
        <w:outlineLvl w:val="1"/>
        <w:rPr>
          <w:rFonts w:ascii="Times New Roman" w:eastAsia="Times New Roman" w:hAnsi="Times New Roman" w:cs="Times New Roman"/>
          <w:b/>
          <w:bCs/>
          <w:color w:val="212529"/>
        </w:rPr>
      </w:pPr>
    </w:p>
    <w:tbl>
      <w:tblPr>
        <w:tblStyle w:val="11"/>
        <w:tblW w:w="9668" w:type="dxa"/>
        <w:jc w:val="center"/>
        <w:tblLook w:val="04A0" w:firstRow="1" w:lastRow="0" w:firstColumn="1" w:lastColumn="0" w:noHBand="0" w:noVBand="1"/>
      </w:tblPr>
      <w:tblGrid>
        <w:gridCol w:w="2014"/>
        <w:gridCol w:w="1283"/>
        <w:gridCol w:w="3253"/>
        <w:gridCol w:w="3118"/>
      </w:tblGrid>
      <w:tr w:rsidR="00710D5E" w:rsidRPr="00710D5E" w:rsidTr="001B75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jc w:val="center"/>
              <w:rPr>
                <w:rFonts w:ascii="Times New Roman" w:eastAsia="Times New Roman" w:hAnsi="Times New Roman"/>
                <w:b w:val="0"/>
                <w:bCs w:val="0"/>
                <w:color w:val="333333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333333"/>
                <w:sz w:val="24"/>
              </w:rPr>
              <w:t>Component</w:t>
            </w:r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333333"/>
                <w:sz w:val="24"/>
              </w:rPr>
              <w:t>Maximum points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333333"/>
                <w:sz w:val="24"/>
              </w:rPr>
              <w:t>Standard for maximum score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b w:val="0"/>
                <w:bCs w:val="0"/>
                <w:color w:val="333333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333333"/>
                <w:sz w:val="24"/>
              </w:rPr>
              <w:t>Standard for minimum score of zero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4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i/>
                <w:iCs/>
                <w:color w:val="212529"/>
                <w:sz w:val="24"/>
              </w:rPr>
              <w:t>Adequacy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Total Fruits</w:t>
            </w:r>
            <w:hyperlink r:id="rId6" w:anchor="f2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2</w:t>
              </w:r>
            </w:hyperlink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5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≥0.8 cup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No Fruit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Whole Fruits</w:t>
            </w:r>
            <w:hyperlink r:id="rId7" w:anchor="f3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3</w:t>
              </w:r>
            </w:hyperlink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5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≥0.4 cup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No Whole Fruit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Total Vegetables</w:t>
            </w:r>
            <w:hyperlink r:id="rId8" w:anchor="f4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4</w:t>
              </w:r>
            </w:hyperlink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5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≥1.1 cup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No Vegetables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Greens and Beans</w:t>
            </w:r>
            <w:hyperlink r:id="rId9" w:anchor="f4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4</w:t>
              </w:r>
            </w:hyperlink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5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≥0.2 cup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No Dark Green Vegetables or Legumes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Whole Grains</w:t>
            </w:r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10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≥1.5 oz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No Whole Grains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Dairy</w:t>
            </w:r>
            <w:hyperlink r:id="rId10" w:anchor="f5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5</w:t>
              </w:r>
            </w:hyperlink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10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≥1.3 cup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No Dairy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Total Protein Foods</w:t>
            </w:r>
            <w:hyperlink r:id="rId11" w:anchor="f6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6</w:t>
              </w:r>
            </w:hyperlink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5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≥2.5 oz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No Protein Foods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Seafood and Plant Proteins</w:t>
            </w:r>
            <w:hyperlink r:id="rId12" w:anchor="f6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6</w:t>
              </w:r>
            </w:hyperlink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  <w:vertAlign w:val="superscript"/>
              </w:rPr>
              <w:t>,</w:t>
            </w:r>
            <w:hyperlink r:id="rId13" w:anchor="f7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7</w:t>
              </w:r>
            </w:hyperlink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5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≥0.8 oz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No Seafood or Plant Proteins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sz w:val="24"/>
              </w:rPr>
              <w:t>Fatty Acids</w:t>
            </w:r>
            <w:hyperlink r:id="rId14" w:anchor="f8" w:history="1">
              <w:r w:rsidRPr="00710D5E">
                <w:rPr>
                  <w:rFonts w:ascii="Times New Roman" w:eastAsia="Times New Roman" w:hAnsi="Times New Roman"/>
                  <w:b w:val="0"/>
                  <w:bCs w:val="0"/>
                  <w:sz w:val="24"/>
                  <w:vertAlign w:val="superscript"/>
                </w:rPr>
                <w:t>8</w:t>
              </w:r>
            </w:hyperlink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10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(PUFAs + MUFAs)/SFAs ≥2.5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(PUFAs + MUFAs)/SFAs ≤1.2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68" w:type="dxa"/>
            <w:gridSpan w:val="4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i/>
                <w:iCs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i/>
                <w:iCs/>
                <w:color w:val="212529"/>
                <w:sz w:val="24"/>
              </w:rPr>
              <w:t>Moderation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color w:val="212529"/>
                <w:sz w:val="24"/>
              </w:rPr>
              <w:t>Refined Grains</w:t>
            </w:r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10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≤1.8 oz equiv.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≥4.3 oz equiv. per 1,000 kcal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color w:val="212529"/>
                <w:sz w:val="24"/>
              </w:rPr>
              <w:t>Sodium</w:t>
            </w:r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10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≤1.1 gram per 1,000 kcal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≥2.0 grams per 1,000 kcal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color w:val="212529"/>
                <w:sz w:val="24"/>
              </w:rPr>
              <w:t>Added Sugars</w:t>
            </w:r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10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≤6.5% of energy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≥26% of energy</w:t>
            </w:r>
          </w:p>
        </w:tc>
      </w:tr>
      <w:tr w:rsidR="00710D5E" w:rsidRPr="00710D5E" w:rsidTr="001B752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4" w:type="dxa"/>
            <w:hideMark/>
          </w:tcPr>
          <w:p w:rsidR="00710D5E" w:rsidRPr="00710D5E" w:rsidRDefault="00710D5E" w:rsidP="001B7529">
            <w:pPr>
              <w:rPr>
                <w:rFonts w:ascii="Times New Roman" w:eastAsia="Times New Roman" w:hAnsi="Times New Roman"/>
                <w:b w:val="0"/>
                <w:bCs w:val="0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b w:val="0"/>
                <w:bCs w:val="0"/>
                <w:color w:val="212529"/>
                <w:sz w:val="24"/>
              </w:rPr>
              <w:t>Saturated Fats</w:t>
            </w:r>
          </w:p>
        </w:tc>
        <w:tc>
          <w:tcPr>
            <w:tcW w:w="1283" w:type="dxa"/>
            <w:hideMark/>
          </w:tcPr>
          <w:p w:rsidR="00710D5E" w:rsidRPr="00710D5E" w:rsidRDefault="00710D5E" w:rsidP="001B752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10</w:t>
            </w:r>
          </w:p>
        </w:tc>
        <w:tc>
          <w:tcPr>
            <w:tcW w:w="3253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≤8% of energy</w:t>
            </w:r>
          </w:p>
        </w:tc>
        <w:tc>
          <w:tcPr>
            <w:tcW w:w="3118" w:type="dxa"/>
            <w:hideMark/>
          </w:tcPr>
          <w:p w:rsidR="00710D5E" w:rsidRPr="00710D5E" w:rsidRDefault="00710D5E" w:rsidP="001B75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/>
                <w:color w:val="212529"/>
                <w:sz w:val="24"/>
              </w:rPr>
            </w:pPr>
            <w:r w:rsidRPr="00710D5E">
              <w:rPr>
                <w:rFonts w:ascii="Times New Roman" w:eastAsia="Times New Roman" w:hAnsi="Times New Roman"/>
                <w:color w:val="212529"/>
                <w:sz w:val="24"/>
              </w:rPr>
              <w:t>≥16% of energy</w:t>
            </w:r>
          </w:p>
        </w:tc>
      </w:tr>
    </w:tbl>
    <w:p w:rsidR="00710D5E" w:rsidRPr="00710D5E" w:rsidRDefault="00710D5E" w:rsidP="00710D5E">
      <w:pPr>
        <w:shd w:val="clear" w:color="auto" w:fill="FFFFFF"/>
        <w:ind w:right="-540"/>
        <w:rPr>
          <w:rFonts w:ascii="Times New Roman" w:eastAsia="Times New Roman" w:hAnsi="Times New Roman" w:cs="Times New Roman"/>
          <w:b/>
          <w:bCs/>
          <w:color w:val="212529"/>
        </w:rPr>
      </w:pPr>
    </w:p>
    <w:p w:rsidR="00710D5E" w:rsidRPr="00710D5E" w:rsidRDefault="00710D5E" w:rsidP="00710D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</w:rPr>
      </w:pPr>
      <w:r w:rsidRPr="00710D5E">
        <w:rPr>
          <w:rFonts w:ascii="Times New Roman" w:eastAsia="Times New Roman" w:hAnsi="Times New Roman" w:cs="Times New Roman"/>
          <w:b/>
          <w:bCs/>
          <w:color w:val="212529"/>
        </w:rPr>
        <w:t>(1)</w:t>
      </w:r>
      <w:r w:rsidRPr="00710D5E">
        <w:rPr>
          <w:rFonts w:ascii="Times New Roman" w:eastAsia="Times New Roman" w:hAnsi="Times New Roman" w:cs="Times New Roman"/>
          <w:color w:val="212529"/>
        </w:rPr>
        <w:t> Intakes between the minimum and maximum standards are scored proportionately.</w:t>
      </w:r>
    </w:p>
    <w:p w:rsidR="00710D5E" w:rsidRPr="00710D5E" w:rsidRDefault="00710D5E" w:rsidP="00710D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</w:rPr>
      </w:pPr>
      <w:r w:rsidRPr="00710D5E">
        <w:rPr>
          <w:rFonts w:ascii="Times New Roman" w:eastAsia="Times New Roman" w:hAnsi="Times New Roman" w:cs="Times New Roman"/>
          <w:b/>
          <w:bCs/>
          <w:color w:val="212529"/>
        </w:rPr>
        <w:t>(2)</w:t>
      </w:r>
      <w:r w:rsidRPr="00710D5E">
        <w:rPr>
          <w:rFonts w:ascii="Times New Roman" w:eastAsia="Times New Roman" w:hAnsi="Times New Roman" w:cs="Times New Roman"/>
          <w:color w:val="212529"/>
        </w:rPr>
        <w:t> Includes 100% fruit juice.</w:t>
      </w:r>
    </w:p>
    <w:p w:rsidR="00710D5E" w:rsidRPr="00710D5E" w:rsidRDefault="00710D5E" w:rsidP="00710D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</w:rPr>
      </w:pPr>
      <w:r w:rsidRPr="00710D5E">
        <w:rPr>
          <w:rFonts w:ascii="Times New Roman" w:eastAsia="Times New Roman" w:hAnsi="Times New Roman" w:cs="Times New Roman"/>
          <w:b/>
          <w:bCs/>
          <w:color w:val="212529"/>
        </w:rPr>
        <w:t>(3)</w:t>
      </w:r>
      <w:r w:rsidRPr="00710D5E">
        <w:rPr>
          <w:rFonts w:ascii="Times New Roman" w:eastAsia="Times New Roman" w:hAnsi="Times New Roman" w:cs="Times New Roman"/>
          <w:color w:val="212529"/>
        </w:rPr>
        <w:t> Includes all forms except juice.</w:t>
      </w:r>
    </w:p>
    <w:p w:rsidR="00710D5E" w:rsidRPr="00710D5E" w:rsidRDefault="00710D5E" w:rsidP="00710D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</w:rPr>
      </w:pPr>
      <w:r w:rsidRPr="00710D5E">
        <w:rPr>
          <w:rFonts w:ascii="Times New Roman" w:eastAsia="Times New Roman" w:hAnsi="Times New Roman" w:cs="Times New Roman"/>
          <w:b/>
          <w:bCs/>
          <w:color w:val="212529"/>
        </w:rPr>
        <w:t>(4)</w:t>
      </w:r>
      <w:r w:rsidRPr="00710D5E">
        <w:rPr>
          <w:rFonts w:ascii="Times New Roman" w:eastAsia="Times New Roman" w:hAnsi="Times New Roman" w:cs="Times New Roman"/>
          <w:color w:val="212529"/>
        </w:rPr>
        <w:t> Includes legumes (beans and peas).</w:t>
      </w:r>
    </w:p>
    <w:p w:rsidR="00710D5E" w:rsidRPr="00710D5E" w:rsidRDefault="00710D5E" w:rsidP="00710D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</w:rPr>
      </w:pPr>
      <w:r w:rsidRPr="00710D5E">
        <w:rPr>
          <w:rFonts w:ascii="Times New Roman" w:eastAsia="Times New Roman" w:hAnsi="Times New Roman" w:cs="Times New Roman"/>
          <w:b/>
          <w:bCs/>
          <w:color w:val="212529"/>
        </w:rPr>
        <w:t>(5)</w:t>
      </w:r>
      <w:r w:rsidRPr="00710D5E">
        <w:rPr>
          <w:rFonts w:ascii="Times New Roman" w:eastAsia="Times New Roman" w:hAnsi="Times New Roman" w:cs="Times New Roman"/>
          <w:color w:val="212529"/>
        </w:rPr>
        <w:t> Includes all milk products, such as fluid milk, yogurt, and cheese, and fortified soy beverages.</w:t>
      </w:r>
    </w:p>
    <w:p w:rsidR="00710D5E" w:rsidRPr="00710D5E" w:rsidRDefault="00710D5E" w:rsidP="00710D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</w:rPr>
      </w:pPr>
      <w:r w:rsidRPr="00710D5E">
        <w:rPr>
          <w:rFonts w:ascii="Times New Roman" w:eastAsia="Times New Roman" w:hAnsi="Times New Roman" w:cs="Times New Roman"/>
          <w:b/>
          <w:bCs/>
          <w:color w:val="212529"/>
        </w:rPr>
        <w:t>(6)</w:t>
      </w:r>
      <w:r w:rsidRPr="00710D5E">
        <w:rPr>
          <w:rFonts w:ascii="Times New Roman" w:eastAsia="Times New Roman" w:hAnsi="Times New Roman" w:cs="Times New Roman"/>
          <w:color w:val="212529"/>
        </w:rPr>
        <w:t> Includes legumes (beans and peas).</w:t>
      </w:r>
    </w:p>
    <w:p w:rsidR="00710D5E" w:rsidRPr="00710D5E" w:rsidRDefault="00710D5E" w:rsidP="00710D5E">
      <w:pPr>
        <w:shd w:val="clear" w:color="auto" w:fill="FFFFFF"/>
        <w:ind w:right="-540"/>
        <w:rPr>
          <w:rFonts w:ascii="Times New Roman" w:eastAsia="Times New Roman" w:hAnsi="Times New Roman" w:cs="Times New Roman"/>
          <w:color w:val="212529"/>
        </w:rPr>
      </w:pPr>
      <w:r w:rsidRPr="00710D5E">
        <w:rPr>
          <w:rFonts w:ascii="Times New Roman" w:eastAsia="Times New Roman" w:hAnsi="Times New Roman" w:cs="Times New Roman"/>
          <w:b/>
          <w:bCs/>
          <w:color w:val="212529"/>
        </w:rPr>
        <w:t>(7)</w:t>
      </w:r>
      <w:r w:rsidRPr="00710D5E">
        <w:rPr>
          <w:rFonts w:ascii="Times New Roman" w:eastAsia="Times New Roman" w:hAnsi="Times New Roman" w:cs="Times New Roman"/>
          <w:color w:val="212529"/>
        </w:rPr>
        <w:t> Includes seafood, nuts, seeds, soy products (other than beverages), and legumes (beans and peas).</w:t>
      </w:r>
    </w:p>
    <w:p w:rsidR="00710D5E" w:rsidRPr="00710D5E" w:rsidRDefault="00710D5E" w:rsidP="00710D5E">
      <w:pPr>
        <w:shd w:val="clear" w:color="auto" w:fill="FFFFFF"/>
        <w:rPr>
          <w:rFonts w:ascii="Times New Roman" w:eastAsia="Times New Roman" w:hAnsi="Times New Roman" w:cs="Times New Roman"/>
          <w:color w:val="212529"/>
        </w:rPr>
      </w:pPr>
      <w:r w:rsidRPr="00710D5E">
        <w:rPr>
          <w:rFonts w:ascii="Times New Roman" w:eastAsia="Times New Roman" w:hAnsi="Times New Roman" w:cs="Times New Roman"/>
          <w:b/>
          <w:bCs/>
          <w:color w:val="212529"/>
        </w:rPr>
        <w:t>(8)</w:t>
      </w:r>
      <w:r w:rsidRPr="00710D5E">
        <w:rPr>
          <w:rFonts w:ascii="Times New Roman" w:eastAsia="Times New Roman" w:hAnsi="Times New Roman" w:cs="Times New Roman"/>
          <w:color w:val="212529"/>
        </w:rPr>
        <w:t> Ratio of poly- and monounsaturated fatty acids (PUFAs and MUFAs) to saturated fatty acids (SFAs).</w:t>
      </w:r>
    </w:p>
    <w:p w:rsidR="00710D5E" w:rsidRPr="00710D5E" w:rsidRDefault="00710D5E" w:rsidP="00710D5E">
      <w:pPr>
        <w:shd w:val="clear" w:color="auto" w:fill="FFFFFF"/>
        <w:spacing w:before="100" w:beforeAutospacing="1" w:after="100" w:afterAutospacing="1"/>
        <w:ind w:right="90"/>
        <w:rPr>
          <w:rFonts w:ascii="Times New Roman" w:eastAsia="Times New Roman" w:hAnsi="Times New Roman" w:cs="Times New Roman"/>
          <w:color w:val="1B1B1B"/>
        </w:rPr>
      </w:pPr>
      <w:r w:rsidRPr="00710D5E">
        <w:rPr>
          <w:rFonts w:ascii="Times New Roman" w:eastAsia="Times New Roman" w:hAnsi="Times New Roman" w:cs="Times New Roman"/>
          <w:i/>
          <w:iCs/>
          <w:color w:val="1B1B1B"/>
        </w:rPr>
        <w:t>Adequacy components</w:t>
      </w:r>
      <w:r w:rsidRPr="00710D5E">
        <w:rPr>
          <w:rFonts w:ascii="Times New Roman" w:eastAsia="Times New Roman" w:hAnsi="Times New Roman" w:cs="Times New Roman"/>
          <w:color w:val="1B1B1B"/>
        </w:rPr>
        <w:t> represent the food groups, subgroups, and dietary elements that are encouraged. For these components, higher scores reflect higher intakes, because higher intakes are desirable.</w:t>
      </w:r>
    </w:p>
    <w:p w:rsidR="00710D5E" w:rsidRPr="00710D5E" w:rsidRDefault="00710D5E" w:rsidP="00710D5E">
      <w:pPr>
        <w:shd w:val="clear" w:color="auto" w:fill="FFFFFF"/>
        <w:spacing w:before="100" w:beforeAutospacing="1"/>
        <w:ind w:right="90"/>
        <w:rPr>
          <w:rFonts w:ascii="Times New Roman" w:eastAsia="Times New Roman" w:hAnsi="Times New Roman" w:cs="Times New Roman"/>
          <w:color w:val="1B1B1B"/>
        </w:rPr>
      </w:pPr>
      <w:r w:rsidRPr="00710D5E">
        <w:rPr>
          <w:rFonts w:ascii="Times New Roman" w:eastAsia="Times New Roman" w:hAnsi="Times New Roman" w:cs="Times New Roman"/>
          <w:i/>
          <w:iCs/>
          <w:color w:val="1B1B1B"/>
        </w:rPr>
        <w:t>Moderation components</w:t>
      </w:r>
      <w:r w:rsidRPr="00710D5E">
        <w:rPr>
          <w:rFonts w:ascii="Times New Roman" w:eastAsia="Times New Roman" w:hAnsi="Times New Roman" w:cs="Times New Roman"/>
          <w:color w:val="1B1B1B"/>
        </w:rPr>
        <w:t xml:space="preserve"> represent the food groups and dietary elements for which there are recommended limits to consumption. For moderation components, higher scores reflect lower intakes, because lower intakes are more desirable.</w:t>
      </w:r>
    </w:p>
    <w:p w:rsidR="00413157" w:rsidRDefault="00413157" w:rsidP="00710D5E">
      <w:pPr>
        <w:shd w:val="clear" w:color="auto" w:fill="FFFFFF"/>
        <w:spacing w:before="100" w:beforeAutospacing="1"/>
        <w:ind w:right="90"/>
        <w:rPr>
          <w:rFonts w:ascii="Times New Roman" w:hAnsi="Times New Roman" w:cs="Times New Roman"/>
          <w:b/>
          <w:bCs/>
          <w:color w:val="1B1B1B"/>
        </w:rPr>
      </w:pPr>
    </w:p>
    <w:p w:rsidR="00710D5E" w:rsidRPr="00710D5E" w:rsidRDefault="00710D5E" w:rsidP="00710D5E">
      <w:pPr>
        <w:shd w:val="clear" w:color="auto" w:fill="FFFFFF"/>
        <w:spacing w:before="100" w:beforeAutospacing="1"/>
        <w:ind w:right="90"/>
        <w:rPr>
          <w:rFonts w:ascii="Times New Roman" w:eastAsia="Times New Roman" w:hAnsi="Times New Roman" w:cs="Times New Roman"/>
          <w:b/>
          <w:bCs/>
          <w:color w:val="1B1B1B"/>
        </w:rPr>
      </w:pPr>
      <w:r w:rsidRPr="00710D5E">
        <w:rPr>
          <w:rFonts w:ascii="Times New Roman" w:eastAsia="Times New Roman" w:hAnsi="Times New Roman" w:cs="Times New Roman"/>
          <w:b/>
          <w:bCs/>
          <w:color w:val="1B1B1B"/>
        </w:rPr>
        <w:lastRenderedPageBreak/>
        <w:t>Reference</w:t>
      </w:r>
    </w:p>
    <w:p w:rsidR="00710D5E" w:rsidRPr="00FB02D0" w:rsidRDefault="00710D5E" w:rsidP="00FB02D0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 w:rsidRPr="00FB02D0">
        <w:rPr>
          <w:rFonts w:ascii="Times New Roman" w:hAnsi="Times New Roman" w:cs="Times New Roman"/>
        </w:rPr>
        <w:t xml:space="preserve">Krebs-Smith SM, Pannucci TE, Subar AF, et al. Update of the Healthy Eating Index: HEI-2015. J Acad Nutr Diet. Sep 2018;118(9):1591-1602. </w:t>
      </w:r>
    </w:p>
    <w:p w:rsidR="00FB02D0" w:rsidRPr="00FB02D0" w:rsidRDefault="00FB02D0" w:rsidP="00FB02D0">
      <w:pPr>
        <w:pStyle w:val="a9"/>
        <w:numPr>
          <w:ilvl w:val="0"/>
          <w:numId w:val="2"/>
        </w:numPr>
        <w:rPr>
          <w:rFonts w:ascii="Times New Roman" w:hAnsi="Times New Roman" w:cs="Times New Roman"/>
        </w:rPr>
      </w:pPr>
      <w:r w:rsidRPr="00FB02D0">
        <w:rPr>
          <w:rFonts w:ascii="Times New Roman" w:hAnsi="Times New Roman" w:cs="Times New Roman" w:hint="eastAsia"/>
        </w:rPr>
        <w:t>National Cancer Institute. HEI Scoring Algorithm. Accessed August, 2022. https://epi.grants.cancer.gov/hei/hei-scoring-method.html</w:t>
      </w:r>
    </w:p>
    <w:p w:rsidR="00710D5E" w:rsidRPr="00710D5E" w:rsidRDefault="00FB02D0" w:rsidP="00FB02D0">
      <w:pPr>
        <w:ind w:left="420" w:hangingChars="200" w:hanging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3</w:t>
      </w:r>
      <w:r w:rsidR="00710D5E" w:rsidRPr="00710D5E">
        <w:rPr>
          <w:rFonts w:ascii="Times New Roman" w:hAnsi="Times New Roman" w:cs="Times New Roman"/>
        </w:rPr>
        <w:t>.</w:t>
      </w:r>
      <w:r w:rsidR="00710D5E" w:rsidRPr="00710D5E">
        <w:rPr>
          <w:rFonts w:ascii="Times New Roman" w:hAnsi="Times New Roman" w:cs="Times New Roman"/>
        </w:rPr>
        <w:tab/>
      </w:r>
      <w:r w:rsidRPr="00FB02D0">
        <w:rPr>
          <w:rFonts w:ascii="Times New Roman" w:hAnsi="Times New Roman" w:cs="Times New Roman" w:hint="eastAsia"/>
        </w:rPr>
        <w:t>Wang L, Yi J, Guo X, et al. Associations between life's essential 8 and non-alcoholic fatty liver disease among US adults. J Transl Med. 2022 Dec 23;20(1):616.</w:t>
      </w:r>
    </w:p>
    <w:sectPr w:rsidR="00710D5E" w:rsidRPr="00710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default"/>
    <w:sig w:usb0="E50002FF" w:usb1="500079DB" w:usb2="0000001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83EF0"/>
    <w:multiLevelType w:val="hybridMultilevel"/>
    <w:tmpl w:val="F158797C"/>
    <w:lvl w:ilvl="0" w:tplc="1E30936A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788F5D9B"/>
    <w:multiLevelType w:val="hybridMultilevel"/>
    <w:tmpl w:val="C396E454"/>
    <w:lvl w:ilvl="0" w:tplc="1D7462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52060824">
    <w:abstractNumId w:val="1"/>
  </w:num>
  <w:num w:numId="2" w16cid:durableId="149383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D5E"/>
    <w:rsid w:val="00123A09"/>
    <w:rsid w:val="00133B41"/>
    <w:rsid w:val="00413157"/>
    <w:rsid w:val="00414EA4"/>
    <w:rsid w:val="006B2DD1"/>
    <w:rsid w:val="00710D5E"/>
    <w:rsid w:val="007E0037"/>
    <w:rsid w:val="00A06256"/>
    <w:rsid w:val="00A5616B"/>
    <w:rsid w:val="00AE4AB5"/>
    <w:rsid w:val="00BF105D"/>
    <w:rsid w:val="00C52CC7"/>
    <w:rsid w:val="00C95824"/>
    <w:rsid w:val="00CD2BED"/>
    <w:rsid w:val="00D57BA0"/>
    <w:rsid w:val="00D733F4"/>
    <w:rsid w:val="00F75510"/>
    <w:rsid w:val="00FB02D0"/>
    <w:rsid w:val="00FB1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CE18A-B64C-4BEC-A673-77768DF10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D5E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10D5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0D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0D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0D5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0D5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0D5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10D5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0D5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10D5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D5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10D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10D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10D5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10D5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10D5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10D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10D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10D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10D5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10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10D5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10D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10D5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10D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10D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10D5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10D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10D5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10D5E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rsid w:val="00710D5E"/>
    <w:rPr>
      <w:color w:val="467886" w:themeColor="hyperlink"/>
      <w:u w:val="single"/>
    </w:rPr>
  </w:style>
  <w:style w:type="paragraph" w:styleId="af">
    <w:name w:val="Normal (Web)"/>
    <w:basedOn w:val="a"/>
    <w:uiPriority w:val="99"/>
    <w:unhideWhenUsed/>
    <w:rsid w:val="00710D5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11">
    <w:name w:val="Grid Table 1 Light"/>
    <w:basedOn w:val="a1"/>
    <w:uiPriority w:val="46"/>
    <w:rsid w:val="00710D5E"/>
    <w:rPr>
      <w:rFonts w:ascii="Calibri" w:hAnsi="Calibri" w:cs="Times New Roman"/>
      <w:kern w:val="0"/>
      <w:sz w:val="20"/>
      <w:szCs w:val="20"/>
      <w:lang w:eastAsia="en-US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f0">
    <w:name w:val="Table Grid"/>
    <w:basedOn w:val="a1"/>
    <w:uiPriority w:val="39"/>
    <w:rsid w:val="00710D5E"/>
    <w:rPr>
      <w:rFonts w:ascii="Times" w:eastAsia="宋体" w:hAnsi="Times" w:cs="Times New Roman"/>
      <w:color w:val="000000" w:themeColor="text1"/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10D5E"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character" w:styleId="af1">
    <w:name w:val="Unresolved Mention"/>
    <w:basedOn w:val="a0"/>
    <w:uiPriority w:val="99"/>
    <w:semiHidden/>
    <w:unhideWhenUsed/>
    <w:rsid w:val="00A062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.grants.cancer.gov/hei/developing.html" TargetMode="External"/><Relationship Id="rId13" Type="http://schemas.openxmlformats.org/officeDocument/2006/relationships/hyperlink" Target="https://epi.grants.cancer.gov/hei/developing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pi.grants.cancer.gov/hei/developing.html" TargetMode="External"/><Relationship Id="rId12" Type="http://schemas.openxmlformats.org/officeDocument/2006/relationships/hyperlink" Target="https://epi.grants.cancer.gov/hei/developing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pi.grants.cancer.gov/hei/developing.html" TargetMode="External"/><Relationship Id="rId11" Type="http://schemas.openxmlformats.org/officeDocument/2006/relationships/hyperlink" Target="https://epi.grants.cancer.gov/hei/developing.html" TargetMode="External"/><Relationship Id="rId5" Type="http://schemas.openxmlformats.org/officeDocument/2006/relationships/hyperlink" Target="mailto:1806085200@qq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pi.grants.cancer.gov/hei/developing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i.grants.cancer.gov/hei/developing.html" TargetMode="External"/><Relationship Id="rId14" Type="http://schemas.openxmlformats.org/officeDocument/2006/relationships/hyperlink" Target="https://epi.grants.cancer.gov/hei/developing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zehao lee</dc:creator>
  <cp:keywords/>
  <dc:description/>
  <cp:lastModifiedBy>zehao lee</cp:lastModifiedBy>
  <cp:revision>20</cp:revision>
  <dcterms:created xsi:type="dcterms:W3CDTF">2025-01-22T16:04:00Z</dcterms:created>
  <dcterms:modified xsi:type="dcterms:W3CDTF">2025-01-25T16:52:00Z</dcterms:modified>
</cp:coreProperties>
</file>