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803DD4">
      <w:pPr>
        <w:pStyle w:val="4"/>
        <w:ind w:left="-819" w:leftChars="-390" w:firstLine="0" w:firstLineChars="0"/>
        <w:jc w:val="both"/>
        <w:rPr>
          <w:rFonts w:hint="eastAsia" w:ascii="Times New Roman" w:hAnsi="Times New Roman"/>
          <w:color w:val="000000" w:themeColor="text1"/>
          <w:sz w:val="24"/>
          <w14:textFill>
            <w14:solidFill>
              <w14:schemeClr w14:val="tx1"/>
            </w14:solidFill>
          </w14:textFill>
        </w:rPr>
      </w:pPr>
      <w:r>
        <w:rPr>
          <w:rFonts w:ascii="Times New Roman" w:hAnsi="Times New Roman"/>
          <w:b/>
          <w:bCs/>
          <w:color w:val="000000" w:themeColor="text1"/>
          <w:sz w:val="24"/>
          <w14:textFill>
            <w14:solidFill>
              <w14:schemeClr w14:val="tx1"/>
            </w14:solidFill>
          </w14:textFill>
        </w:rPr>
        <w:t xml:space="preserve">Table </w:t>
      </w:r>
      <w:r>
        <w:rPr>
          <w:rFonts w:hint="eastAsia" w:ascii="Times New Roman" w:hAnsi="Times New Roman"/>
          <w:b/>
          <w:bCs/>
          <w:color w:val="000000" w:themeColor="text1"/>
          <w:sz w:val="24"/>
          <w:lang w:val="en-US" w:eastAsia="zh-CN"/>
          <w14:textFill>
            <w14:solidFill>
              <w14:schemeClr w14:val="tx1"/>
            </w14:solidFill>
          </w14:textFill>
        </w:rPr>
        <w:t>S2</w:t>
      </w:r>
      <w:r>
        <w:rPr>
          <w:rFonts w:ascii="Times New Roman" w:hAnsi="Times New Roman"/>
          <w:b/>
          <w:bCs/>
          <w:color w:val="000000" w:themeColor="text1"/>
          <w:sz w:val="24"/>
          <w14:textFill>
            <w14:solidFill>
              <w14:schemeClr w14:val="tx1"/>
            </w14:solidFill>
          </w14:textFill>
        </w:rPr>
        <w:t>.</w:t>
      </w:r>
      <w:r>
        <w:rPr>
          <w:rFonts w:ascii="Times New Roman" w:hAnsi="Times New Roman"/>
          <w:color w:val="000000" w:themeColor="text1"/>
          <w:sz w:val="24"/>
          <w14:textFill>
            <w14:solidFill>
              <w14:schemeClr w14:val="tx1"/>
            </w14:solidFill>
          </w14:textFill>
        </w:rPr>
        <w:t xml:space="preserve"> </w:t>
      </w:r>
      <w:r>
        <w:rPr>
          <w:rFonts w:hint="eastAsia" w:ascii="Times New Roman" w:hAnsi="Times New Roman"/>
          <w:color w:val="000000" w:themeColor="text1"/>
          <w:sz w:val="24"/>
          <w14:textFill>
            <w14:solidFill>
              <w14:schemeClr w14:val="tx1"/>
            </w14:solidFill>
          </w14:textFill>
        </w:rPr>
        <w:t>Indicators for the establishment of characteristics of the electronic database</w:t>
      </w:r>
    </w:p>
    <w:p w14:paraId="4AE17991">
      <w:pPr>
        <w:pStyle w:val="4"/>
        <w:ind w:left="-819" w:leftChars="-390" w:firstLine="0" w:firstLineChars="0"/>
        <w:jc w:val="both"/>
        <w:rPr>
          <w:rFonts w:hint="eastAsia" w:ascii="Times New Roman" w:hAnsi="Times New Roman"/>
          <w:color w:val="000000" w:themeColor="text1"/>
          <w:sz w:val="24"/>
          <w14:textFill>
            <w14:solidFill>
              <w14:schemeClr w14:val="tx1"/>
            </w14:solidFill>
          </w14:textFill>
        </w:rPr>
      </w:pPr>
    </w:p>
    <w:tbl>
      <w:tblPr>
        <w:tblStyle w:val="6"/>
        <w:tblW w:w="9899" w:type="dxa"/>
        <w:tblInd w:w="-72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36"/>
        <w:gridCol w:w="1872"/>
        <w:gridCol w:w="6491"/>
      </w:tblGrid>
      <w:tr w14:paraId="00312C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2" w:hRule="atLeast"/>
        </w:trPr>
        <w:tc>
          <w:tcPr>
            <w:tcW w:w="1536" w:type="dxa"/>
            <w:vAlign w:val="center"/>
          </w:tcPr>
          <w:p w14:paraId="620C2CBA">
            <w:pPr>
              <w:rPr>
                <w:rFonts w:hint="default" w:ascii="Times New Roman" w:hAnsi="Times New Roman" w:cs="Times New Roman"/>
                <w:b/>
                <w:bCs/>
                <w:color w:val="auto"/>
                <w:sz w:val="24"/>
                <w:szCs w:val="24"/>
              </w:rPr>
            </w:pPr>
            <w:bookmarkStart w:id="0" w:name="_GoBack"/>
            <w:r>
              <w:pict>
                <v:shape id="DeepLBoxSPIDType" o:spid="_x0000_s1026" o:spt="202" type="#_x0000_t202" style="position:absolute;left:0pt;margin-left:0pt;margin-top:0pt;height:50pt;width:50pt;visibility:hidden;z-index:251659264;mso-width-relative:page;mso-height-relative:page;" coordsize="21600,21600">
                  <v:path/>
                  <v:fill focussize="0,0"/>
                  <v:stroke joinstyle="miter"/>
                  <v:imagedata o:title=""/>
                  <o:lock v:ext="edit" selection="t"/>
                </v:shape>
              </w:pict>
            </w:r>
            <w:r>
              <w:rPr>
                <w:rFonts w:hint="default" w:ascii="Times New Roman" w:hAnsi="Times New Roman" w:cs="Times New Roman"/>
                <w:b/>
                <w:bCs/>
                <w:color w:val="auto"/>
                <w:sz w:val="24"/>
                <w:szCs w:val="24"/>
              </w:rPr>
              <w:t>Variable type</w:t>
            </w:r>
          </w:p>
        </w:tc>
        <w:tc>
          <w:tcPr>
            <w:tcW w:w="8363" w:type="dxa"/>
            <w:gridSpan w:val="2"/>
            <w:vAlign w:val="center"/>
          </w:tcPr>
          <w:p w14:paraId="3CD108FD">
            <w:pPr>
              <w:jc w:val="both"/>
              <w:rPr>
                <w:rFonts w:hint="default" w:ascii="Times New Roman" w:hAnsi="Times New Roman" w:cs="Times New Roman"/>
                <w:b/>
                <w:bCs/>
                <w:color w:val="auto"/>
                <w:sz w:val="24"/>
                <w:szCs w:val="24"/>
              </w:rPr>
            </w:pPr>
            <w:r>
              <w:rPr>
                <w:rFonts w:hint="default" w:ascii="Times New Roman" w:hAnsi="Times New Roman" w:cs="Times New Roman"/>
                <w:b/>
                <w:bCs/>
                <w:color w:val="auto"/>
                <w:sz w:val="24"/>
                <w:szCs w:val="24"/>
              </w:rPr>
              <w:t>Variable content</w:t>
            </w:r>
          </w:p>
        </w:tc>
      </w:tr>
      <w:tr w14:paraId="6D09B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2" w:hRule="atLeast"/>
        </w:trPr>
        <w:tc>
          <w:tcPr>
            <w:tcW w:w="1536" w:type="dxa"/>
            <w:vAlign w:val="center"/>
          </w:tcPr>
          <w:p w14:paraId="39587FB7">
            <w:pPr>
              <w:jc w:val="both"/>
              <w:rPr>
                <w:rFonts w:hint="default" w:ascii="Times New Roman" w:hAnsi="Times New Roman" w:cs="Times New Roman"/>
                <w:color w:val="auto"/>
                <w:sz w:val="24"/>
                <w:szCs w:val="24"/>
              </w:rPr>
            </w:pPr>
            <w:r>
              <w:rPr>
                <w:rFonts w:hint="default" w:ascii="Times New Roman" w:hAnsi="Times New Roman" w:cs="Times New Roman"/>
                <w:color w:val="auto"/>
                <w:sz w:val="24"/>
                <w:szCs w:val="24"/>
              </w:rPr>
              <w:t>Baseline information</w:t>
            </w:r>
          </w:p>
        </w:tc>
        <w:tc>
          <w:tcPr>
            <w:tcW w:w="8363" w:type="dxa"/>
            <w:gridSpan w:val="2"/>
            <w:vAlign w:val="center"/>
          </w:tcPr>
          <w:p w14:paraId="68A08FBC">
            <w:pPr>
              <w:jc w:val="both"/>
              <w:rPr>
                <w:rFonts w:hint="default" w:ascii="Times New Roman" w:hAnsi="Times New Roman" w:cs="Times New Roman"/>
                <w:color w:val="auto"/>
                <w:sz w:val="24"/>
                <w:szCs w:val="24"/>
              </w:rPr>
            </w:pPr>
            <w:r>
              <w:rPr>
                <w:rFonts w:hint="default" w:ascii="Times New Roman" w:hAnsi="Times New Roman" w:cs="Times New Roman"/>
                <w:color w:val="auto"/>
                <w:sz w:val="24"/>
                <w:szCs w:val="24"/>
              </w:rPr>
              <w:t>age, gender, BMI</w:t>
            </w:r>
          </w:p>
        </w:tc>
      </w:tr>
      <w:tr w14:paraId="5EA3D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3" w:hRule="atLeast"/>
        </w:trPr>
        <w:tc>
          <w:tcPr>
            <w:tcW w:w="1536" w:type="dxa"/>
            <w:vAlign w:val="center"/>
          </w:tcPr>
          <w:p w14:paraId="29F418AF">
            <w:pPr>
              <w:jc w:val="both"/>
              <w:rPr>
                <w:rFonts w:hint="default" w:ascii="Times New Roman" w:hAnsi="Times New Roman" w:cs="Times New Roman"/>
                <w:color w:val="auto"/>
                <w:sz w:val="24"/>
                <w:szCs w:val="24"/>
              </w:rPr>
            </w:pPr>
            <w:r>
              <w:rPr>
                <w:rFonts w:hint="default" w:ascii="Times New Roman" w:hAnsi="Times New Roman" w:cs="Times New Roman"/>
                <w:color w:val="auto"/>
                <w:sz w:val="24"/>
                <w:szCs w:val="24"/>
              </w:rPr>
              <w:t>Pre-hospital underlying disease</w:t>
            </w:r>
          </w:p>
        </w:tc>
        <w:tc>
          <w:tcPr>
            <w:tcW w:w="8363" w:type="dxa"/>
            <w:gridSpan w:val="2"/>
            <w:vAlign w:val="center"/>
          </w:tcPr>
          <w:p w14:paraId="4B799841">
            <w:pPr>
              <w:jc w:val="both"/>
              <w:rPr>
                <w:rFonts w:hint="default" w:ascii="Times New Roman" w:hAnsi="Times New Roman" w:cs="Times New Roman"/>
                <w:color w:val="auto"/>
                <w:sz w:val="24"/>
                <w:szCs w:val="24"/>
              </w:rPr>
            </w:pPr>
            <w:r>
              <w:rPr>
                <w:rFonts w:hint="default" w:ascii="Times New Roman" w:hAnsi="Times New Roman" w:cs="Times New Roman"/>
                <w:color w:val="auto"/>
                <w:sz w:val="24"/>
                <w:szCs w:val="24"/>
              </w:rPr>
              <w:t>Hypertension, diabetes mellitus, coronary heart disease, atherosclerosis, chronic lung diseases (COPD, emphysema, chronic bronchitis, bronchial asthma, interstitial fibrosis), tumors, cirrhosis of the liver, history of surgical procedures, history of taking herbal medicines</w:t>
            </w:r>
          </w:p>
        </w:tc>
      </w:tr>
      <w:tr w14:paraId="07D22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2" w:hRule="atLeast"/>
        </w:trPr>
        <w:tc>
          <w:tcPr>
            <w:tcW w:w="1536" w:type="dxa"/>
            <w:vAlign w:val="center"/>
          </w:tcPr>
          <w:p w14:paraId="47C50E90">
            <w:pPr>
              <w:jc w:val="both"/>
              <w:rPr>
                <w:rFonts w:hint="default" w:ascii="Times New Roman" w:hAnsi="Times New Roman" w:cs="Times New Roman"/>
                <w:color w:val="auto"/>
                <w:sz w:val="24"/>
                <w:szCs w:val="24"/>
              </w:rPr>
            </w:pPr>
            <w:r>
              <w:rPr>
                <w:rFonts w:hint="default" w:ascii="Times New Roman" w:hAnsi="Times New Roman" w:cs="Times New Roman"/>
                <w:color w:val="auto"/>
                <w:sz w:val="24"/>
                <w:szCs w:val="24"/>
              </w:rPr>
              <w:t>Admission comorbidities</w:t>
            </w:r>
          </w:p>
        </w:tc>
        <w:tc>
          <w:tcPr>
            <w:tcW w:w="8363" w:type="dxa"/>
            <w:gridSpan w:val="2"/>
            <w:vAlign w:val="center"/>
          </w:tcPr>
          <w:p w14:paraId="530D1A50">
            <w:pPr>
              <w:jc w:val="both"/>
              <w:rPr>
                <w:rFonts w:hint="eastAsia" w:ascii="Times New Roman" w:hAnsi="Times New Roman" w:cs="Times New Roman" w:eastAsiaTheme="minorEastAsia"/>
                <w:color w:val="auto"/>
                <w:sz w:val="24"/>
                <w:szCs w:val="24"/>
                <w:lang w:val="en-US" w:eastAsia="zh-CN"/>
              </w:rPr>
            </w:pPr>
            <w:r>
              <w:rPr>
                <w:rFonts w:hint="default" w:ascii="Times New Roman" w:hAnsi="Times New Roman" w:cs="Times New Roman"/>
                <w:color w:val="auto"/>
                <w:sz w:val="24"/>
                <w:szCs w:val="24"/>
              </w:rPr>
              <w:t xml:space="preserve">Sepsis, respiratory failure, heart failure, cardiac arrhythmia, chronic renal </w:t>
            </w:r>
            <w:r>
              <w:rPr>
                <w:rFonts w:hint="eastAsia" w:ascii="Times New Roman" w:hAnsi="Times New Roman" w:cs="Times New Roman"/>
                <w:color w:val="auto"/>
                <w:sz w:val="24"/>
                <w:szCs w:val="24"/>
                <w:lang w:val="en-US" w:eastAsia="zh-CN"/>
              </w:rPr>
              <w:t>disease</w:t>
            </w:r>
          </w:p>
        </w:tc>
      </w:tr>
      <w:tr w14:paraId="4711B5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2" w:hRule="atLeast"/>
        </w:trPr>
        <w:tc>
          <w:tcPr>
            <w:tcW w:w="1536" w:type="dxa"/>
            <w:vAlign w:val="center"/>
          </w:tcPr>
          <w:p w14:paraId="260EDA99">
            <w:pPr>
              <w:jc w:val="both"/>
              <w:rPr>
                <w:rFonts w:hint="default" w:ascii="Times New Roman" w:hAnsi="Times New Roman" w:cs="Times New Roman"/>
                <w:color w:val="auto"/>
                <w:sz w:val="24"/>
                <w:szCs w:val="24"/>
              </w:rPr>
            </w:pPr>
            <w:r>
              <w:rPr>
                <w:rFonts w:hint="default" w:ascii="Times New Roman" w:hAnsi="Times New Roman" w:cs="Times New Roman"/>
                <w:color w:val="auto"/>
                <w:sz w:val="24"/>
                <w:szCs w:val="24"/>
              </w:rPr>
              <w:t>vital signs</w:t>
            </w:r>
          </w:p>
        </w:tc>
        <w:tc>
          <w:tcPr>
            <w:tcW w:w="8363" w:type="dxa"/>
            <w:gridSpan w:val="2"/>
            <w:vAlign w:val="center"/>
          </w:tcPr>
          <w:p w14:paraId="70563BAA">
            <w:pPr>
              <w:jc w:val="both"/>
              <w:rPr>
                <w:rFonts w:hint="default" w:ascii="Times New Roman" w:hAnsi="Times New Roman" w:cs="Times New Roman"/>
                <w:color w:val="auto"/>
                <w:sz w:val="24"/>
                <w:szCs w:val="24"/>
              </w:rPr>
            </w:pPr>
            <w:r>
              <w:rPr>
                <w:rFonts w:hint="default" w:ascii="Times New Roman" w:hAnsi="Times New Roman" w:cs="Times New Roman"/>
                <w:color w:val="auto"/>
                <w:sz w:val="24"/>
                <w:szCs w:val="24"/>
              </w:rPr>
              <w:t>Maximum values (axillary temperature, respiratory rate, heart rate); minimum values (systolic blood pressure, diastolic blood pressure, pulse oximetry, fasting blood glucose)</w:t>
            </w:r>
          </w:p>
        </w:tc>
      </w:tr>
      <w:tr w14:paraId="2AB52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2" w:hRule="atLeast"/>
        </w:trPr>
        <w:tc>
          <w:tcPr>
            <w:tcW w:w="1536" w:type="dxa"/>
            <w:vMerge w:val="restart"/>
            <w:vAlign w:val="center"/>
          </w:tcPr>
          <w:p w14:paraId="49769B10">
            <w:pPr>
              <w:jc w:val="both"/>
              <w:rPr>
                <w:rFonts w:hint="default" w:ascii="Times New Roman" w:hAnsi="Times New Roman" w:cs="Times New Roman"/>
                <w:color w:val="auto"/>
                <w:sz w:val="24"/>
                <w:szCs w:val="24"/>
              </w:rPr>
            </w:pPr>
            <w:r>
              <w:rPr>
                <w:rFonts w:hint="default" w:ascii="Times New Roman" w:hAnsi="Times New Roman" w:cs="Times New Roman"/>
                <w:color w:val="auto"/>
                <w:sz w:val="24"/>
                <w:szCs w:val="24"/>
              </w:rPr>
              <w:t>laboratory test</w:t>
            </w:r>
          </w:p>
        </w:tc>
        <w:tc>
          <w:tcPr>
            <w:tcW w:w="1872" w:type="dxa"/>
            <w:vAlign w:val="center"/>
          </w:tcPr>
          <w:p w14:paraId="3D5873AB">
            <w:pPr>
              <w:jc w:val="both"/>
              <w:rPr>
                <w:rFonts w:hint="default" w:ascii="Times New Roman" w:hAnsi="Times New Roman" w:cs="Times New Roman"/>
                <w:color w:val="auto"/>
                <w:sz w:val="24"/>
                <w:szCs w:val="24"/>
              </w:rPr>
            </w:pPr>
            <w:r>
              <w:rPr>
                <w:rFonts w:hint="default" w:ascii="Times New Roman" w:hAnsi="Times New Roman" w:cs="Times New Roman"/>
                <w:color w:val="auto"/>
                <w:sz w:val="24"/>
                <w:szCs w:val="24"/>
              </w:rPr>
              <w:t>complete blood count</w:t>
            </w:r>
          </w:p>
        </w:tc>
        <w:tc>
          <w:tcPr>
            <w:tcW w:w="6491" w:type="dxa"/>
            <w:vAlign w:val="center"/>
          </w:tcPr>
          <w:p w14:paraId="70018685">
            <w:pPr>
              <w:jc w:val="both"/>
              <w:rPr>
                <w:rFonts w:hint="default" w:ascii="Times New Roman" w:hAnsi="Times New Roman" w:cs="Times New Roman"/>
                <w:color w:val="auto"/>
                <w:sz w:val="24"/>
                <w:szCs w:val="24"/>
              </w:rPr>
            </w:pPr>
            <w:r>
              <w:rPr>
                <w:rFonts w:hint="default" w:ascii="Times New Roman" w:hAnsi="Times New Roman" w:cs="Times New Roman"/>
                <w:color w:val="auto"/>
                <w:sz w:val="24"/>
                <w:szCs w:val="24"/>
              </w:rPr>
              <w:t>White blood cell count, hemoglobin, platelet count, hematocrit, neutrophil percentage</w:t>
            </w:r>
          </w:p>
        </w:tc>
      </w:tr>
      <w:tr w14:paraId="61098C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24" w:hRule="atLeast"/>
        </w:trPr>
        <w:tc>
          <w:tcPr>
            <w:tcW w:w="1536" w:type="dxa"/>
            <w:vMerge w:val="continue"/>
            <w:vAlign w:val="center"/>
          </w:tcPr>
          <w:p w14:paraId="01B34C51">
            <w:pPr>
              <w:jc w:val="both"/>
              <w:rPr>
                <w:rFonts w:hint="default" w:ascii="Times New Roman" w:hAnsi="Times New Roman" w:cs="Times New Roman"/>
                <w:color w:val="auto"/>
                <w:sz w:val="24"/>
                <w:szCs w:val="24"/>
              </w:rPr>
            </w:pPr>
          </w:p>
        </w:tc>
        <w:tc>
          <w:tcPr>
            <w:tcW w:w="1872" w:type="dxa"/>
            <w:vAlign w:val="center"/>
          </w:tcPr>
          <w:p w14:paraId="7660A775">
            <w:pPr>
              <w:jc w:val="both"/>
              <w:rPr>
                <w:rFonts w:hint="default" w:ascii="Times New Roman" w:hAnsi="Times New Roman" w:cs="Times New Roman"/>
                <w:color w:val="auto"/>
                <w:sz w:val="24"/>
                <w:szCs w:val="24"/>
              </w:rPr>
            </w:pPr>
            <w:r>
              <w:rPr>
                <w:rFonts w:hint="default" w:ascii="Times New Roman" w:hAnsi="Times New Roman" w:cs="Times New Roman"/>
                <w:color w:val="auto"/>
                <w:sz w:val="24"/>
                <w:szCs w:val="24"/>
              </w:rPr>
              <w:t>blood biochemistry</w:t>
            </w:r>
          </w:p>
        </w:tc>
        <w:tc>
          <w:tcPr>
            <w:tcW w:w="6491" w:type="dxa"/>
            <w:vAlign w:val="center"/>
          </w:tcPr>
          <w:p w14:paraId="28F1F3EC">
            <w:pPr>
              <w:jc w:val="both"/>
              <w:rPr>
                <w:rFonts w:hint="default" w:ascii="Times New Roman" w:hAnsi="Times New Roman" w:cs="Times New Roman"/>
                <w:color w:val="auto"/>
                <w:sz w:val="24"/>
                <w:szCs w:val="24"/>
              </w:rPr>
            </w:pPr>
            <w:r>
              <w:rPr>
                <w:rFonts w:hint="default" w:ascii="Times New Roman" w:hAnsi="Times New Roman" w:cs="Times New Roman"/>
                <w:color w:val="auto"/>
                <w:sz w:val="24"/>
                <w:szCs w:val="24"/>
              </w:rPr>
              <w:t>alanine aminotransferase, glutamine aminotransferase, creatinine, blood urea nitrogen, uric acid, total bilirubin, direct bilirubin, serum potassium, serum sodium, serum phosphorus, serum calcium, total protein, albumin, lactate dehydrogenase, creatine kinase, alkaline phosphatase, bicarbonate, triglycerides, low-density lipoproteins, high-density lipoproteins, cholesterol, apolipoproteins, brain natriuretic peptide</w:t>
            </w:r>
          </w:p>
        </w:tc>
      </w:tr>
      <w:tr w14:paraId="1FAC6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9" w:hRule="atLeast"/>
        </w:trPr>
        <w:tc>
          <w:tcPr>
            <w:tcW w:w="1536" w:type="dxa"/>
            <w:vMerge w:val="continue"/>
            <w:vAlign w:val="center"/>
          </w:tcPr>
          <w:p w14:paraId="46664ACC">
            <w:pPr>
              <w:jc w:val="both"/>
              <w:rPr>
                <w:rFonts w:hint="default" w:ascii="Times New Roman" w:hAnsi="Times New Roman" w:cs="Times New Roman"/>
                <w:color w:val="auto"/>
                <w:sz w:val="24"/>
                <w:szCs w:val="24"/>
              </w:rPr>
            </w:pPr>
          </w:p>
        </w:tc>
        <w:tc>
          <w:tcPr>
            <w:tcW w:w="1872" w:type="dxa"/>
            <w:vAlign w:val="center"/>
          </w:tcPr>
          <w:p w14:paraId="2542BF95">
            <w:pPr>
              <w:jc w:val="both"/>
              <w:rPr>
                <w:rFonts w:hint="default" w:ascii="Times New Roman" w:hAnsi="Times New Roman" w:cs="Times New Roman"/>
                <w:color w:val="auto"/>
                <w:sz w:val="24"/>
                <w:szCs w:val="24"/>
              </w:rPr>
            </w:pPr>
            <w:r>
              <w:rPr>
                <w:rFonts w:hint="default" w:ascii="Times New Roman" w:hAnsi="Times New Roman" w:cs="Times New Roman"/>
                <w:color w:val="auto"/>
                <w:sz w:val="24"/>
                <w:szCs w:val="24"/>
              </w:rPr>
              <w:t>blood clotting function</w:t>
            </w:r>
          </w:p>
        </w:tc>
        <w:tc>
          <w:tcPr>
            <w:tcW w:w="6491" w:type="dxa"/>
            <w:vAlign w:val="center"/>
          </w:tcPr>
          <w:p w14:paraId="4BE9CB47">
            <w:pPr>
              <w:jc w:val="both"/>
              <w:rPr>
                <w:rFonts w:hint="default" w:ascii="Times New Roman" w:hAnsi="Times New Roman" w:cs="Times New Roman"/>
                <w:color w:val="auto"/>
                <w:sz w:val="24"/>
                <w:szCs w:val="24"/>
              </w:rPr>
            </w:pPr>
            <w:r>
              <w:rPr>
                <w:rFonts w:hint="default" w:ascii="Times New Roman" w:hAnsi="Times New Roman" w:cs="Times New Roman"/>
                <w:color w:val="auto"/>
                <w:sz w:val="24"/>
                <w:szCs w:val="24"/>
              </w:rPr>
              <w:t xml:space="preserve">Prothrombin time, prothrombinogen time, activated partial thromboplastin time, </w:t>
            </w:r>
            <w:r>
              <w:rPr>
                <w:rFonts w:hint="eastAsia" w:ascii="Times New Roman" w:hAnsi="Times New Roman"/>
                <w:color w:val="000000" w:themeColor="text1"/>
                <w:sz w:val="24"/>
                <w:lang w:val="en-US" w:eastAsia="zh-CN"/>
                <w14:textFill>
                  <w14:solidFill>
                    <w14:schemeClr w14:val="tx1"/>
                  </w14:solidFill>
                </w14:textFill>
              </w:rPr>
              <w:t>D-Dimer</w:t>
            </w:r>
            <w:r>
              <w:rPr>
                <w:rFonts w:hint="default" w:ascii="Times New Roman" w:hAnsi="Times New Roman" w:cs="Times New Roman"/>
                <w:color w:val="auto"/>
                <w:sz w:val="24"/>
                <w:szCs w:val="24"/>
              </w:rPr>
              <w:t>, fibrinogen</w:t>
            </w:r>
          </w:p>
        </w:tc>
      </w:tr>
      <w:tr w14:paraId="6908CF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12" w:hRule="atLeast"/>
        </w:trPr>
        <w:tc>
          <w:tcPr>
            <w:tcW w:w="1536" w:type="dxa"/>
            <w:vMerge w:val="restart"/>
            <w:vAlign w:val="center"/>
          </w:tcPr>
          <w:p w14:paraId="5487F3B2">
            <w:pPr>
              <w:jc w:val="both"/>
              <w:rPr>
                <w:rFonts w:hint="default" w:ascii="Times New Roman" w:hAnsi="Times New Roman" w:cs="Times New Roman"/>
                <w:color w:val="auto"/>
                <w:sz w:val="24"/>
                <w:szCs w:val="24"/>
              </w:rPr>
            </w:pPr>
            <w:r>
              <w:rPr>
                <w:rFonts w:hint="default" w:ascii="Times New Roman" w:hAnsi="Times New Roman" w:cs="Times New Roman"/>
                <w:color w:val="auto"/>
                <w:sz w:val="24"/>
                <w:szCs w:val="24"/>
              </w:rPr>
              <w:t>prescription drugs</w:t>
            </w:r>
          </w:p>
        </w:tc>
        <w:tc>
          <w:tcPr>
            <w:tcW w:w="1872" w:type="dxa"/>
            <w:vAlign w:val="center"/>
          </w:tcPr>
          <w:p w14:paraId="068376EE">
            <w:pPr>
              <w:jc w:val="both"/>
              <w:rPr>
                <w:rFonts w:hint="default" w:ascii="Times New Roman" w:hAnsi="Times New Roman" w:cs="Times New Roman"/>
                <w:color w:val="auto"/>
                <w:sz w:val="24"/>
                <w:szCs w:val="24"/>
              </w:rPr>
            </w:pPr>
            <w:r>
              <w:rPr>
                <w:rFonts w:hint="default" w:ascii="Times New Roman" w:hAnsi="Times New Roman" w:cs="Times New Roman"/>
                <w:color w:val="auto"/>
                <w:sz w:val="24"/>
                <w:szCs w:val="24"/>
              </w:rPr>
              <w:t>vasoactive drug</w:t>
            </w:r>
          </w:p>
        </w:tc>
        <w:tc>
          <w:tcPr>
            <w:tcW w:w="6491" w:type="dxa"/>
            <w:vAlign w:val="center"/>
          </w:tcPr>
          <w:p w14:paraId="3440C9A8">
            <w:pPr>
              <w:jc w:val="both"/>
              <w:rPr>
                <w:rFonts w:hint="default" w:ascii="Times New Roman" w:hAnsi="Times New Roman" w:cs="Times New Roman"/>
                <w:color w:val="auto"/>
                <w:sz w:val="24"/>
                <w:szCs w:val="24"/>
              </w:rPr>
            </w:pPr>
            <w:r>
              <w:rPr>
                <w:rFonts w:hint="default" w:ascii="Times New Roman" w:hAnsi="Times New Roman" w:cs="Times New Roman"/>
                <w:color w:val="auto"/>
                <w:sz w:val="24"/>
                <w:szCs w:val="24"/>
              </w:rPr>
              <w:t>Epinephrine, norepinephrine, dopamine, dobutamine, nitroglycerin, isosorbide mononitrate, phentolamine, prazosin, benazepril, enalapril, perindopril, nifedipine, amlodipine, prostaglandin, aminophylline, nitroprusside, lyophilized recombinant human cerebral natriuretic peptide, irbesartan, chlorexanthen, valsartan, temsirolimus</w:t>
            </w:r>
          </w:p>
        </w:tc>
      </w:tr>
      <w:tr w14:paraId="6D0E1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2" w:hRule="atLeast"/>
        </w:trPr>
        <w:tc>
          <w:tcPr>
            <w:tcW w:w="1536" w:type="dxa"/>
            <w:vMerge w:val="continue"/>
            <w:vAlign w:val="center"/>
          </w:tcPr>
          <w:p w14:paraId="12065B80">
            <w:pPr>
              <w:jc w:val="both"/>
              <w:rPr>
                <w:rFonts w:hint="default" w:ascii="Times New Roman" w:hAnsi="Times New Roman" w:cs="Times New Roman"/>
                <w:color w:val="auto"/>
                <w:sz w:val="24"/>
                <w:szCs w:val="24"/>
              </w:rPr>
            </w:pPr>
          </w:p>
        </w:tc>
        <w:tc>
          <w:tcPr>
            <w:tcW w:w="1872" w:type="dxa"/>
            <w:vAlign w:val="center"/>
          </w:tcPr>
          <w:p w14:paraId="254F8C4B">
            <w:pPr>
              <w:jc w:val="both"/>
              <w:rPr>
                <w:rFonts w:hint="default" w:ascii="Times New Roman" w:hAnsi="Times New Roman" w:cs="Times New Roman"/>
                <w:color w:val="auto"/>
                <w:sz w:val="24"/>
                <w:szCs w:val="24"/>
              </w:rPr>
            </w:pPr>
            <w:r>
              <w:rPr>
                <w:rFonts w:hint="default" w:ascii="Times New Roman" w:hAnsi="Times New Roman" w:cs="Times New Roman"/>
                <w:color w:val="auto"/>
                <w:sz w:val="24"/>
                <w:szCs w:val="24"/>
              </w:rPr>
              <w:t>diuretic</w:t>
            </w:r>
          </w:p>
        </w:tc>
        <w:tc>
          <w:tcPr>
            <w:tcW w:w="6491" w:type="dxa"/>
            <w:vAlign w:val="center"/>
          </w:tcPr>
          <w:p w14:paraId="0AE894E6">
            <w:pPr>
              <w:jc w:val="both"/>
              <w:rPr>
                <w:rFonts w:hint="default" w:ascii="Times New Roman" w:hAnsi="Times New Roman" w:cs="Times New Roman"/>
                <w:color w:val="auto"/>
                <w:sz w:val="24"/>
                <w:szCs w:val="24"/>
              </w:rPr>
            </w:pPr>
            <w:r>
              <w:rPr>
                <w:rFonts w:hint="default" w:ascii="Times New Roman" w:hAnsi="Times New Roman" w:cs="Times New Roman"/>
                <w:color w:val="auto"/>
                <w:sz w:val="24"/>
                <w:szCs w:val="24"/>
              </w:rPr>
              <w:t>Torasemide, furosemide, bumetanide, hydrochlorothiazide, spironolactone, amiloride, amiloride, tolvaptan</w:t>
            </w:r>
          </w:p>
        </w:tc>
      </w:tr>
      <w:tr w14:paraId="633E9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1" w:hRule="atLeast"/>
        </w:trPr>
        <w:tc>
          <w:tcPr>
            <w:tcW w:w="1536" w:type="dxa"/>
            <w:vMerge w:val="continue"/>
            <w:vAlign w:val="center"/>
          </w:tcPr>
          <w:p w14:paraId="4FD27E33">
            <w:pPr>
              <w:jc w:val="both"/>
              <w:rPr>
                <w:rFonts w:hint="default" w:ascii="Times New Roman" w:hAnsi="Times New Roman" w:cs="Times New Roman"/>
                <w:color w:val="auto"/>
                <w:sz w:val="24"/>
                <w:szCs w:val="24"/>
              </w:rPr>
            </w:pPr>
          </w:p>
        </w:tc>
        <w:tc>
          <w:tcPr>
            <w:tcW w:w="1872" w:type="dxa"/>
            <w:vAlign w:val="center"/>
          </w:tcPr>
          <w:p w14:paraId="6C7C5D09">
            <w:pPr>
              <w:jc w:val="both"/>
              <w:rPr>
                <w:rFonts w:hint="default" w:ascii="Times New Roman" w:hAnsi="Times New Roman" w:cs="Times New Roman"/>
                <w:color w:val="auto"/>
                <w:sz w:val="24"/>
                <w:szCs w:val="24"/>
              </w:rPr>
            </w:pPr>
            <w:r>
              <w:rPr>
                <w:rFonts w:hint="default" w:ascii="Times New Roman" w:hAnsi="Times New Roman" w:cs="Times New Roman"/>
                <w:color w:val="auto"/>
                <w:sz w:val="24"/>
                <w:szCs w:val="24"/>
              </w:rPr>
              <w:t>glucocorticosteroid (corticosteroid hormone secreted by the adrenal cortex)</w:t>
            </w:r>
          </w:p>
        </w:tc>
        <w:tc>
          <w:tcPr>
            <w:tcW w:w="6491" w:type="dxa"/>
            <w:vAlign w:val="center"/>
          </w:tcPr>
          <w:p w14:paraId="0513C2C9">
            <w:pPr>
              <w:jc w:val="both"/>
              <w:rPr>
                <w:rFonts w:hint="default" w:ascii="Times New Roman" w:hAnsi="Times New Roman" w:cs="Times New Roman"/>
                <w:color w:val="auto"/>
                <w:sz w:val="24"/>
                <w:szCs w:val="24"/>
              </w:rPr>
            </w:pPr>
            <w:r>
              <w:rPr>
                <w:rFonts w:hint="default" w:ascii="Times New Roman" w:hAnsi="Times New Roman" w:cs="Times New Roman"/>
                <w:color w:val="auto"/>
                <w:sz w:val="24"/>
                <w:szCs w:val="24"/>
              </w:rPr>
              <w:t>Prednisone, prednisolone, methylprednisolone, dexamethasone, betamethasone, triamcinolone acetonide, cortisone, hydrocortisone</w:t>
            </w:r>
          </w:p>
        </w:tc>
      </w:tr>
      <w:tr w14:paraId="69C46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1" w:hRule="atLeast"/>
        </w:trPr>
        <w:tc>
          <w:tcPr>
            <w:tcW w:w="1536" w:type="dxa"/>
            <w:vMerge w:val="continue"/>
            <w:vAlign w:val="center"/>
          </w:tcPr>
          <w:p w14:paraId="739B981B">
            <w:pPr>
              <w:jc w:val="both"/>
              <w:rPr>
                <w:rFonts w:hint="default" w:ascii="Times New Roman" w:hAnsi="Times New Roman" w:cs="Times New Roman"/>
                <w:color w:val="auto"/>
                <w:sz w:val="24"/>
                <w:szCs w:val="24"/>
              </w:rPr>
            </w:pPr>
          </w:p>
        </w:tc>
        <w:tc>
          <w:tcPr>
            <w:tcW w:w="1872" w:type="dxa"/>
            <w:vAlign w:val="center"/>
          </w:tcPr>
          <w:p w14:paraId="7A43C2F4">
            <w:pPr>
              <w:jc w:val="both"/>
              <w:rPr>
                <w:rFonts w:hint="default" w:ascii="Times New Roman" w:hAnsi="Times New Roman" w:cs="Times New Roman"/>
                <w:color w:val="auto"/>
                <w:sz w:val="24"/>
                <w:szCs w:val="24"/>
              </w:rPr>
            </w:pPr>
            <w:r>
              <w:rPr>
                <w:rFonts w:hint="default" w:ascii="Times New Roman" w:hAnsi="Times New Roman" w:cs="Times New Roman"/>
                <w:color w:val="auto"/>
                <w:sz w:val="24"/>
                <w:szCs w:val="24"/>
              </w:rPr>
              <w:t>Statins</w:t>
            </w:r>
          </w:p>
        </w:tc>
        <w:tc>
          <w:tcPr>
            <w:tcW w:w="6491" w:type="dxa"/>
            <w:vAlign w:val="center"/>
          </w:tcPr>
          <w:p w14:paraId="4F381FF8">
            <w:pPr>
              <w:jc w:val="both"/>
              <w:rPr>
                <w:rFonts w:hint="default" w:ascii="Times New Roman" w:hAnsi="Times New Roman" w:cs="Times New Roman"/>
                <w:color w:val="auto"/>
                <w:sz w:val="24"/>
                <w:szCs w:val="24"/>
              </w:rPr>
            </w:pPr>
            <w:r>
              <w:rPr>
                <w:rFonts w:hint="default" w:ascii="Times New Roman" w:hAnsi="Times New Roman" w:cs="Times New Roman"/>
                <w:color w:val="auto"/>
                <w:sz w:val="24"/>
                <w:szCs w:val="24"/>
              </w:rPr>
              <w:t>Atorvastatin</w:t>
            </w:r>
            <w:r>
              <w:rPr>
                <w:rFonts w:hint="eastAsia" w:ascii="Times New Roman" w:hAnsi="Times New Roman" w:cs="Times New Roman"/>
                <w:color w:val="auto"/>
                <w:sz w:val="24"/>
                <w:szCs w:val="24"/>
                <w:lang w:val="en-US" w:eastAsia="zh-CN"/>
              </w:rPr>
              <w:t xml:space="preserve">, </w:t>
            </w:r>
            <w:r>
              <w:rPr>
                <w:rFonts w:hint="default" w:ascii="Times New Roman" w:hAnsi="Times New Roman" w:cs="Times New Roman"/>
                <w:color w:val="auto"/>
                <w:sz w:val="24"/>
                <w:szCs w:val="24"/>
              </w:rPr>
              <w:t>Rosuvastatin,</w:t>
            </w:r>
            <w:r>
              <w:rPr>
                <w:rFonts w:hint="eastAsia" w:ascii="Times New Roman" w:hAnsi="Times New Roman" w:cs="Times New Roman"/>
                <w:color w:val="auto"/>
                <w:sz w:val="24"/>
                <w:szCs w:val="24"/>
                <w:lang w:val="en-US" w:eastAsia="zh-CN"/>
              </w:rPr>
              <w:t xml:space="preserve"> </w:t>
            </w:r>
            <w:r>
              <w:rPr>
                <w:rFonts w:hint="default" w:ascii="Times New Roman" w:hAnsi="Times New Roman" w:cs="Times New Roman"/>
                <w:color w:val="auto"/>
                <w:sz w:val="24"/>
                <w:szCs w:val="24"/>
              </w:rPr>
              <w:t>Pitavastatin, Simvastatin, Pravastatin</w:t>
            </w:r>
          </w:p>
        </w:tc>
      </w:tr>
      <w:tr w14:paraId="7FE0D4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1" w:hRule="atLeast"/>
        </w:trPr>
        <w:tc>
          <w:tcPr>
            <w:tcW w:w="1536" w:type="dxa"/>
            <w:vMerge w:val="continue"/>
            <w:vAlign w:val="center"/>
          </w:tcPr>
          <w:p w14:paraId="2FC4228C">
            <w:pPr>
              <w:jc w:val="both"/>
              <w:rPr>
                <w:rFonts w:hint="default" w:ascii="Times New Roman" w:hAnsi="Times New Roman" w:cs="Times New Roman"/>
                <w:color w:val="auto"/>
                <w:sz w:val="24"/>
                <w:szCs w:val="24"/>
              </w:rPr>
            </w:pPr>
          </w:p>
        </w:tc>
        <w:tc>
          <w:tcPr>
            <w:tcW w:w="1872" w:type="dxa"/>
            <w:vAlign w:val="center"/>
          </w:tcPr>
          <w:p w14:paraId="67665DE9">
            <w:pPr>
              <w:jc w:val="both"/>
              <w:rPr>
                <w:rFonts w:hint="default" w:ascii="Times New Roman" w:hAnsi="Times New Roman" w:cs="Times New Roman"/>
                <w:color w:val="auto"/>
                <w:sz w:val="24"/>
                <w:szCs w:val="24"/>
              </w:rPr>
            </w:pPr>
            <w:r>
              <w:rPr>
                <w:rFonts w:hint="default" w:ascii="Times New Roman" w:hAnsi="Times New Roman" w:cs="Times New Roman"/>
                <w:color w:val="auto"/>
                <w:sz w:val="24"/>
                <w:szCs w:val="24"/>
              </w:rPr>
              <w:t>blood products</w:t>
            </w:r>
          </w:p>
        </w:tc>
        <w:tc>
          <w:tcPr>
            <w:tcW w:w="6491" w:type="dxa"/>
            <w:vAlign w:val="center"/>
          </w:tcPr>
          <w:p w14:paraId="5817576B">
            <w:pPr>
              <w:jc w:val="both"/>
              <w:rPr>
                <w:rFonts w:hint="default" w:ascii="Times New Roman" w:hAnsi="Times New Roman" w:cs="Times New Roman"/>
                <w:color w:val="auto"/>
                <w:sz w:val="24"/>
                <w:szCs w:val="24"/>
              </w:rPr>
            </w:pPr>
            <w:r>
              <w:rPr>
                <w:rFonts w:hint="default" w:ascii="Times New Roman" w:hAnsi="Times New Roman" w:cs="Times New Roman"/>
                <w:color w:val="auto"/>
                <w:sz w:val="24"/>
                <w:szCs w:val="24"/>
              </w:rPr>
              <w:t>Platelets, suspended red blood cells, frozen plasma, etc.</w:t>
            </w:r>
          </w:p>
        </w:tc>
      </w:tr>
      <w:tr w14:paraId="61626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1" w:hRule="atLeast"/>
        </w:trPr>
        <w:tc>
          <w:tcPr>
            <w:tcW w:w="1536" w:type="dxa"/>
            <w:vMerge w:val="continue"/>
            <w:vAlign w:val="center"/>
          </w:tcPr>
          <w:p w14:paraId="6F32727F">
            <w:pPr>
              <w:jc w:val="both"/>
              <w:rPr>
                <w:rFonts w:hint="default" w:ascii="Times New Roman" w:hAnsi="Times New Roman" w:cs="Times New Roman"/>
                <w:color w:val="auto"/>
                <w:sz w:val="24"/>
                <w:szCs w:val="24"/>
              </w:rPr>
            </w:pPr>
          </w:p>
        </w:tc>
        <w:tc>
          <w:tcPr>
            <w:tcW w:w="1872" w:type="dxa"/>
            <w:vAlign w:val="center"/>
          </w:tcPr>
          <w:p w14:paraId="75D86630">
            <w:pPr>
              <w:jc w:val="both"/>
              <w:rPr>
                <w:rFonts w:hint="default" w:ascii="Times New Roman" w:hAnsi="Times New Roman" w:cs="Times New Roman"/>
                <w:color w:val="auto"/>
                <w:sz w:val="24"/>
                <w:szCs w:val="24"/>
              </w:rPr>
            </w:pPr>
            <w:r>
              <w:rPr>
                <w:rFonts w:hint="default" w:ascii="Times New Roman" w:hAnsi="Times New Roman" w:cs="Times New Roman"/>
                <w:color w:val="auto"/>
                <w:sz w:val="24"/>
                <w:szCs w:val="24"/>
              </w:rPr>
              <w:t>colloidal solution</w:t>
            </w:r>
          </w:p>
        </w:tc>
        <w:tc>
          <w:tcPr>
            <w:tcW w:w="6491" w:type="dxa"/>
            <w:vAlign w:val="center"/>
          </w:tcPr>
          <w:p w14:paraId="40C56343">
            <w:pPr>
              <w:jc w:val="both"/>
              <w:rPr>
                <w:rFonts w:hint="default" w:ascii="Times New Roman" w:hAnsi="Times New Roman" w:cs="Times New Roman"/>
                <w:color w:val="auto"/>
                <w:sz w:val="24"/>
                <w:szCs w:val="24"/>
              </w:rPr>
            </w:pPr>
            <w:r>
              <w:rPr>
                <w:rFonts w:hint="default" w:ascii="Times New Roman" w:hAnsi="Times New Roman" w:cs="Times New Roman"/>
                <w:color w:val="auto"/>
                <w:sz w:val="24"/>
                <w:szCs w:val="24"/>
              </w:rPr>
              <w:t>Albumin, Hydroxyethyl Starch, Dextran</w:t>
            </w:r>
          </w:p>
        </w:tc>
      </w:tr>
      <w:tr w14:paraId="3A94B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9" w:hRule="atLeast"/>
        </w:trPr>
        <w:tc>
          <w:tcPr>
            <w:tcW w:w="1536" w:type="dxa"/>
            <w:vMerge w:val="continue"/>
            <w:vAlign w:val="center"/>
          </w:tcPr>
          <w:p w14:paraId="16C6A248">
            <w:pPr>
              <w:jc w:val="both"/>
              <w:rPr>
                <w:rFonts w:hint="default" w:ascii="Times New Roman" w:hAnsi="Times New Roman" w:cs="Times New Roman"/>
                <w:color w:val="auto"/>
                <w:sz w:val="24"/>
                <w:szCs w:val="24"/>
              </w:rPr>
            </w:pPr>
          </w:p>
        </w:tc>
        <w:tc>
          <w:tcPr>
            <w:tcW w:w="1872" w:type="dxa"/>
            <w:vAlign w:val="center"/>
          </w:tcPr>
          <w:p w14:paraId="78BE0C42">
            <w:pPr>
              <w:jc w:val="both"/>
              <w:rPr>
                <w:rFonts w:hint="default" w:ascii="Times New Roman" w:hAnsi="Times New Roman" w:cs="Times New Roman"/>
                <w:color w:val="auto"/>
                <w:sz w:val="24"/>
                <w:szCs w:val="24"/>
              </w:rPr>
            </w:pPr>
            <w:r>
              <w:rPr>
                <w:rFonts w:hint="default" w:ascii="Times New Roman" w:hAnsi="Times New Roman" w:cs="Times New Roman"/>
                <w:color w:val="auto"/>
                <w:sz w:val="24"/>
                <w:szCs w:val="24"/>
              </w:rPr>
              <w:t>antibiotics</w:t>
            </w:r>
          </w:p>
        </w:tc>
        <w:tc>
          <w:tcPr>
            <w:tcW w:w="6491" w:type="dxa"/>
            <w:vAlign w:val="center"/>
          </w:tcPr>
          <w:p w14:paraId="1C966523">
            <w:pPr>
              <w:jc w:val="both"/>
              <w:rPr>
                <w:rFonts w:hint="default" w:ascii="Times New Roman" w:hAnsi="Times New Roman" w:cs="Times New Roman"/>
                <w:color w:val="auto"/>
                <w:sz w:val="24"/>
                <w:szCs w:val="24"/>
              </w:rPr>
            </w:pPr>
            <w:r>
              <w:rPr>
                <w:rFonts w:hint="default" w:ascii="Times New Roman" w:hAnsi="Times New Roman" w:cs="Times New Roman"/>
                <w:color w:val="auto"/>
                <w:sz w:val="24"/>
                <w:szCs w:val="24"/>
              </w:rPr>
              <w:t>Cephalosporins, piperacillin sodium tazobactam sodium, linezolid, amikacin, gentamicin, vancomycin, methotrexate sulfamethoxazole, metronidazole, amphotericin B, meropenem, imipenem, ertapenem</w:t>
            </w:r>
          </w:p>
        </w:tc>
      </w:tr>
      <w:tr w14:paraId="295C89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1" w:hRule="atLeast"/>
        </w:trPr>
        <w:tc>
          <w:tcPr>
            <w:tcW w:w="1536" w:type="dxa"/>
            <w:vMerge w:val="continue"/>
            <w:vAlign w:val="center"/>
          </w:tcPr>
          <w:p w14:paraId="76D34F83">
            <w:pPr>
              <w:jc w:val="both"/>
              <w:rPr>
                <w:rFonts w:hint="default" w:ascii="Times New Roman" w:hAnsi="Times New Roman" w:cs="Times New Roman"/>
                <w:color w:val="auto"/>
                <w:sz w:val="24"/>
                <w:szCs w:val="24"/>
              </w:rPr>
            </w:pPr>
          </w:p>
        </w:tc>
        <w:tc>
          <w:tcPr>
            <w:tcW w:w="1872" w:type="dxa"/>
            <w:vAlign w:val="center"/>
          </w:tcPr>
          <w:p w14:paraId="5F778A5D">
            <w:pPr>
              <w:jc w:val="both"/>
              <w:rPr>
                <w:rFonts w:hint="default" w:ascii="Times New Roman" w:hAnsi="Times New Roman" w:cs="Times New Roman"/>
                <w:color w:val="auto"/>
                <w:sz w:val="24"/>
                <w:szCs w:val="24"/>
              </w:rPr>
            </w:pPr>
            <w:r>
              <w:rPr>
                <w:rFonts w:hint="default" w:ascii="Times New Roman" w:hAnsi="Times New Roman" w:cs="Times New Roman"/>
                <w:color w:val="auto"/>
                <w:sz w:val="24"/>
                <w:szCs w:val="24"/>
              </w:rPr>
              <w:t>NSAID</w:t>
            </w:r>
          </w:p>
        </w:tc>
        <w:tc>
          <w:tcPr>
            <w:tcW w:w="6491" w:type="dxa"/>
            <w:vAlign w:val="center"/>
          </w:tcPr>
          <w:p w14:paraId="0453C8A1">
            <w:pPr>
              <w:jc w:val="both"/>
              <w:rPr>
                <w:rFonts w:hint="default" w:ascii="Times New Roman" w:hAnsi="Times New Roman" w:cs="Times New Roman"/>
                <w:color w:val="auto"/>
                <w:sz w:val="24"/>
                <w:szCs w:val="24"/>
              </w:rPr>
            </w:pPr>
            <w:r>
              <w:rPr>
                <w:rFonts w:hint="default" w:ascii="Times New Roman" w:hAnsi="Times New Roman" w:cs="Times New Roman"/>
                <w:color w:val="auto"/>
                <w:sz w:val="24"/>
                <w:szCs w:val="24"/>
              </w:rPr>
              <w:t>Aspirin,</w:t>
            </w:r>
            <w:r>
              <w:rPr>
                <w:rFonts w:hint="default" w:ascii="Times New Roman" w:hAnsi="Times New Roman" w:cs="Times New Roman"/>
                <w:color w:val="auto"/>
                <w:sz w:val="24"/>
                <w:szCs w:val="24"/>
              </w:rPr>
              <w:fldChar w:fldCharType="begin"/>
            </w:r>
            <w:r>
              <w:rPr>
                <w:rFonts w:hint="default" w:ascii="Times New Roman" w:hAnsi="Times New Roman" w:cs="Times New Roman"/>
                <w:color w:val="auto"/>
                <w:sz w:val="24"/>
                <w:szCs w:val="24"/>
              </w:rPr>
              <w:instrText xml:space="preserve"> HYPERLINK "https://baike.baidu.com/item/%E5%AF%B9%E4%B9%99%E9%85%B0%E6%B0%A8%E5%9F%BA%E9%85%9A/2104278" \t "https://baike.baidu.com/item/_blank" </w:instrText>
            </w:r>
            <w:r>
              <w:rPr>
                <w:rFonts w:hint="default" w:ascii="Times New Roman" w:hAnsi="Times New Roman" w:cs="Times New Roman"/>
                <w:color w:val="auto"/>
                <w:sz w:val="24"/>
                <w:szCs w:val="24"/>
              </w:rPr>
              <w:fldChar w:fldCharType="separate"/>
            </w:r>
            <w:r>
              <w:rPr>
                <w:rFonts w:hint="default" w:ascii="Times New Roman" w:hAnsi="Times New Roman" w:cs="Times New Roman"/>
                <w:color w:val="auto"/>
                <w:sz w:val="24"/>
                <w:szCs w:val="24"/>
              </w:rPr>
              <w:t xml:space="preserve"> Acetaminophen</w:t>
            </w:r>
            <w:r>
              <w:rPr>
                <w:rFonts w:hint="default" w:ascii="Times New Roman" w:hAnsi="Times New Roman" w:cs="Times New Roman"/>
                <w:color w:val="auto"/>
                <w:sz w:val="24"/>
                <w:szCs w:val="24"/>
              </w:rPr>
              <w:fldChar w:fldCharType="end"/>
            </w:r>
            <w:r>
              <w:rPr>
                <w:rFonts w:hint="default" w:ascii="Times New Roman" w:hAnsi="Times New Roman" w:cs="Times New Roman"/>
                <w:color w:val="auto"/>
                <w:sz w:val="24"/>
                <w:szCs w:val="24"/>
              </w:rPr>
              <w:t xml:space="preserve"> , indomethacin, naproxen, naproxen, diclofenac, ibuprofen, nimesulide, rofecoxib,</w:t>
            </w:r>
            <w:r>
              <w:rPr>
                <w:rFonts w:hint="default" w:ascii="Times New Roman" w:hAnsi="Times New Roman" w:cs="Times New Roman"/>
                <w:color w:val="auto"/>
                <w:sz w:val="24"/>
                <w:szCs w:val="24"/>
              </w:rPr>
              <w:fldChar w:fldCharType="begin"/>
            </w:r>
            <w:r>
              <w:rPr>
                <w:rFonts w:hint="default" w:ascii="Times New Roman" w:hAnsi="Times New Roman" w:cs="Times New Roman"/>
                <w:color w:val="auto"/>
                <w:sz w:val="24"/>
                <w:szCs w:val="24"/>
              </w:rPr>
              <w:instrText xml:space="preserve"> HYPERLINK "https://baike.baidu.com/item/%E5%A1%9E%E6%9D%A5%E6%98%94%E5%B8%83/788561" \t "https://baike.baidu.com/item/_blank" </w:instrText>
            </w:r>
            <w:r>
              <w:rPr>
                <w:rFonts w:hint="default" w:ascii="Times New Roman" w:hAnsi="Times New Roman" w:cs="Times New Roman"/>
                <w:color w:val="auto"/>
                <w:sz w:val="24"/>
                <w:szCs w:val="24"/>
              </w:rPr>
              <w:fldChar w:fldCharType="separate"/>
            </w:r>
            <w:r>
              <w:rPr>
                <w:rFonts w:hint="default" w:ascii="Times New Roman" w:hAnsi="Times New Roman" w:cs="Times New Roman"/>
                <w:color w:val="auto"/>
                <w:sz w:val="24"/>
                <w:szCs w:val="24"/>
              </w:rPr>
              <w:t xml:space="preserve"> Celecoxib</w:t>
            </w:r>
            <w:r>
              <w:rPr>
                <w:rFonts w:hint="default" w:ascii="Times New Roman" w:hAnsi="Times New Roman" w:cs="Times New Roman"/>
                <w:color w:val="auto"/>
                <w:sz w:val="24"/>
                <w:szCs w:val="24"/>
              </w:rPr>
              <w:fldChar w:fldCharType="end"/>
            </w:r>
          </w:p>
        </w:tc>
      </w:tr>
      <w:tr w14:paraId="6EAAF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3" w:hRule="atLeast"/>
        </w:trPr>
        <w:tc>
          <w:tcPr>
            <w:tcW w:w="1536" w:type="dxa"/>
            <w:vMerge w:val="continue"/>
            <w:vAlign w:val="center"/>
          </w:tcPr>
          <w:p w14:paraId="5E01FA81">
            <w:pPr>
              <w:jc w:val="both"/>
              <w:rPr>
                <w:rFonts w:hint="default" w:ascii="Times New Roman" w:hAnsi="Times New Roman" w:cs="Times New Roman"/>
                <w:color w:val="auto"/>
                <w:sz w:val="24"/>
                <w:szCs w:val="24"/>
              </w:rPr>
            </w:pPr>
          </w:p>
        </w:tc>
        <w:tc>
          <w:tcPr>
            <w:tcW w:w="1872" w:type="dxa"/>
            <w:vAlign w:val="center"/>
          </w:tcPr>
          <w:p w14:paraId="4DA6816B">
            <w:pPr>
              <w:jc w:val="both"/>
              <w:rPr>
                <w:rFonts w:hint="default" w:ascii="Times New Roman" w:hAnsi="Times New Roman" w:cs="Times New Roman"/>
                <w:color w:val="auto"/>
                <w:sz w:val="24"/>
                <w:szCs w:val="24"/>
              </w:rPr>
            </w:pPr>
            <w:r>
              <w:rPr>
                <w:rFonts w:hint="default" w:ascii="Times New Roman" w:hAnsi="Times New Roman" w:cs="Times New Roman"/>
                <w:color w:val="auto"/>
                <w:sz w:val="24"/>
                <w:szCs w:val="24"/>
              </w:rPr>
              <w:t>antivirals</w:t>
            </w:r>
          </w:p>
        </w:tc>
        <w:tc>
          <w:tcPr>
            <w:tcW w:w="6491" w:type="dxa"/>
            <w:vAlign w:val="center"/>
          </w:tcPr>
          <w:p w14:paraId="196125E3">
            <w:pPr>
              <w:jc w:val="both"/>
              <w:rPr>
                <w:rFonts w:hint="default" w:ascii="Times New Roman" w:hAnsi="Times New Roman" w:cs="Times New Roman"/>
                <w:color w:val="auto"/>
                <w:sz w:val="24"/>
                <w:szCs w:val="24"/>
              </w:rPr>
            </w:pPr>
            <w:r>
              <w:rPr>
                <w:rFonts w:hint="default" w:ascii="Times New Roman" w:hAnsi="Times New Roman" w:cs="Times New Roman"/>
                <w:color w:val="auto"/>
                <w:sz w:val="24"/>
                <w:szCs w:val="24"/>
              </w:rPr>
              <w:t>Lamivudine, tenofovir, emtricitabine, lopinavir, ritonavir, darunavir, cobicistat, efavirenz, rilpivirine, ebovitae, raltegravir, dolutegravir</w:t>
            </w:r>
          </w:p>
        </w:tc>
      </w:tr>
      <w:tr w14:paraId="05E633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1" w:hRule="atLeast"/>
        </w:trPr>
        <w:tc>
          <w:tcPr>
            <w:tcW w:w="1536" w:type="dxa"/>
            <w:vMerge w:val="continue"/>
            <w:vAlign w:val="center"/>
          </w:tcPr>
          <w:p w14:paraId="305E0D5E">
            <w:pPr>
              <w:jc w:val="both"/>
              <w:rPr>
                <w:rFonts w:hint="default" w:ascii="Times New Roman" w:hAnsi="Times New Roman" w:cs="Times New Roman"/>
                <w:color w:val="auto"/>
                <w:sz w:val="24"/>
                <w:szCs w:val="24"/>
              </w:rPr>
            </w:pPr>
          </w:p>
        </w:tc>
        <w:tc>
          <w:tcPr>
            <w:tcW w:w="1872" w:type="dxa"/>
            <w:vAlign w:val="center"/>
          </w:tcPr>
          <w:p w14:paraId="188CCF0F">
            <w:pPr>
              <w:jc w:val="both"/>
              <w:rPr>
                <w:rFonts w:hint="default" w:ascii="Times New Roman" w:hAnsi="Times New Roman" w:cs="Times New Roman"/>
                <w:color w:val="auto"/>
                <w:sz w:val="24"/>
                <w:szCs w:val="24"/>
              </w:rPr>
            </w:pPr>
            <w:r>
              <w:rPr>
                <w:rFonts w:hint="default" w:ascii="Times New Roman" w:hAnsi="Times New Roman" w:cs="Times New Roman"/>
                <w:color w:val="auto"/>
                <w:sz w:val="24"/>
                <w:szCs w:val="24"/>
              </w:rPr>
              <w:t>immunosuppressant</w:t>
            </w:r>
          </w:p>
        </w:tc>
        <w:tc>
          <w:tcPr>
            <w:tcW w:w="6491" w:type="dxa"/>
            <w:vAlign w:val="center"/>
          </w:tcPr>
          <w:p w14:paraId="3D0483F7">
            <w:pPr>
              <w:jc w:val="both"/>
              <w:rPr>
                <w:rFonts w:hint="default" w:ascii="Times New Roman" w:hAnsi="Times New Roman" w:cs="Times New Roman"/>
                <w:color w:val="auto"/>
                <w:sz w:val="24"/>
                <w:szCs w:val="24"/>
              </w:rPr>
            </w:pPr>
            <w:r>
              <w:rPr>
                <w:rFonts w:hint="default" w:ascii="Times New Roman" w:hAnsi="Times New Roman" w:cs="Times New Roman"/>
                <w:color w:val="auto"/>
                <w:sz w:val="24"/>
                <w:szCs w:val="24"/>
              </w:rPr>
              <w:t>Cyclosporine, tacrolimus</w:t>
            </w:r>
          </w:p>
        </w:tc>
      </w:tr>
      <w:tr w14:paraId="4D6605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4" w:hRule="atLeast"/>
        </w:trPr>
        <w:tc>
          <w:tcPr>
            <w:tcW w:w="1536" w:type="dxa"/>
            <w:vAlign w:val="center"/>
          </w:tcPr>
          <w:p w14:paraId="0B4F46F2">
            <w:pPr>
              <w:jc w:val="both"/>
              <w:rPr>
                <w:rFonts w:hint="default" w:ascii="Times New Roman" w:hAnsi="Times New Roman" w:cs="Times New Roman"/>
                <w:color w:val="auto"/>
                <w:sz w:val="24"/>
                <w:szCs w:val="24"/>
              </w:rPr>
            </w:pPr>
            <w:r>
              <w:rPr>
                <w:rFonts w:hint="default" w:ascii="Times New Roman" w:hAnsi="Times New Roman" w:cs="Times New Roman"/>
                <w:color w:val="auto"/>
                <w:sz w:val="24"/>
                <w:szCs w:val="24"/>
              </w:rPr>
              <w:t>Contrast agent related operations</w:t>
            </w:r>
          </w:p>
        </w:tc>
        <w:tc>
          <w:tcPr>
            <w:tcW w:w="8363" w:type="dxa"/>
            <w:gridSpan w:val="2"/>
            <w:vAlign w:val="center"/>
          </w:tcPr>
          <w:p w14:paraId="39C8B9D3">
            <w:pPr>
              <w:jc w:val="both"/>
              <w:rPr>
                <w:rFonts w:hint="default" w:ascii="Times New Roman" w:hAnsi="Times New Roman" w:cs="Times New Roman"/>
                <w:color w:val="auto"/>
                <w:sz w:val="24"/>
                <w:szCs w:val="24"/>
              </w:rPr>
            </w:pPr>
            <w:r>
              <w:rPr>
                <w:rFonts w:hint="default" w:ascii="Times New Roman" w:hAnsi="Times New Roman" w:cs="Times New Roman"/>
                <w:color w:val="auto"/>
                <w:sz w:val="24"/>
                <w:szCs w:val="24"/>
              </w:rPr>
              <w:t>Enhanced CT, Enhanced Nuclear Magnetic, Percutaneous Coronary Intervention, Coronary CT, Arterial Embolization, Venous Embolization</w:t>
            </w:r>
          </w:p>
        </w:tc>
      </w:tr>
      <w:tr w14:paraId="68C37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1" w:hRule="atLeast"/>
        </w:trPr>
        <w:tc>
          <w:tcPr>
            <w:tcW w:w="1536" w:type="dxa"/>
            <w:vAlign w:val="center"/>
          </w:tcPr>
          <w:p w14:paraId="65F4E9DE">
            <w:pPr>
              <w:jc w:val="both"/>
              <w:rPr>
                <w:rFonts w:hint="eastAsia" w:ascii="Times New Roman" w:hAnsi="Times New Roman" w:cs="Times New Roman" w:eastAsiaTheme="minorEastAsia"/>
                <w:color w:val="auto"/>
                <w:sz w:val="24"/>
                <w:szCs w:val="24"/>
                <w:lang w:eastAsia="zh-CN"/>
              </w:rPr>
            </w:pPr>
            <w:r>
              <w:rPr>
                <w:rFonts w:hint="default" w:ascii="Times New Roman" w:hAnsi="Times New Roman" w:cs="Times New Roman"/>
                <w:color w:val="auto"/>
                <w:sz w:val="24"/>
                <w:szCs w:val="24"/>
              </w:rPr>
              <w:t>other</w:t>
            </w:r>
            <w:r>
              <w:rPr>
                <w:rFonts w:hint="eastAsia" w:ascii="Times New Roman" w:hAnsi="Times New Roman" w:cs="Times New Roman"/>
                <w:color w:val="auto"/>
                <w:sz w:val="24"/>
                <w:szCs w:val="24"/>
                <w:lang w:val="en-US" w:eastAsia="zh-CN"/>
              </w:rPr>
              <w:t>s</w:t>
            </w:r>
          </w:p>
        </w:tc>
        <w:tc>
          <w:tcPr>
            <w:tcW w:w="8363" w:type="dxa"/>
            <w:gridSpan w:val="2"/>
            <w:vAlign w:val="center"/>
          </w:tcPr>
          <w:p w14:paraId="48918A53">
            <w:pPr>
              <w:jc w:val="both"/>
              <w:rPr>
                <w:rFonts w:hint="default" w:ascii="Times New Roman" w:hAnsi="Times New Roman" w:cs="Times New Roman"/>
                <w:color w:val="auto"/>
                <w:sz w:val="24"/>
                <w:szCs w:val="24"/>
              </w:rPr>
            </w:pPr>
            <w:r>
              <w:rPr>
                <w:rFonts w:hint="default" w:ascii="Times New Roman" w:hAnsi="Times New Roman" w:cs="Times New Roman"/>
                <w:color w:val="auto"/>
                <w:sz w:val="24"/>
                <w:szCs w:val="24"/>
              </w:rPr>
              <w:t>Ventilator-assisted breathing, in-hospital cardiopulmonary resuscitation, surgery</w:t>
            </w:r>
          </w:p>
        </w:tc>
      </w:tr>
      <w:bookmarkEnd w:id="0"/>
    </w:tbl>
    <w:p w14:paraId="2E864277"/>
    <w:p w14:paraId="31A4CC0C">
      <w:pPr>
        <w:rPr>
          <w:rFonts w:hint="default" w:eastAsiaTheme="minorEastAsia"/>
          <w:lang w:val="en-US" w:eastAsia="zh-CN"/>
        </w:rPr>
      </w:pPr>
      <w:r>
        <w:rPr>
          <w:rFonts w:ascii="Times New Roman" w:hAnsi="Times New Roman"/>
          <w:color w:val="000000" w:themeColor="text1"/>
          <w:sz w:val="24"/>
          <w:lang w:eastAsia="de-DE"/>
          <w14:textFill>
            <w14:solidFill>
              <w14:schemeClr w14:val="tx1"/>
            </w14:solidFill>
          </w14:textFill>
        </w:rPr>
        <w:t>Abbreviations: BMI: body mass index;</w:t>
      </w:r>
      <w:r>
        <w:rPr>
          <w:rFonts w:hint="eastAsia" w:ascii="Times New Roman" w:hAnsi="Times New Roman"/>
          <w:color w:val="000000" w:themeColor="text1"/>
          <w:sz w:val="24"/>
          <w:lang w:val="en-US" w:eastAsia="zh-CN"/>
          <w14:textFill>
            <w14:solidFill>
              <w14:schemeClr w14:val="tx1"/>
            </w14:solidFill>
          </w14:textFill>
        </w:rPr>
        <w:t xml:space="preserve"> COPD：chronic obstructive pulmonary disease； </w:t>
      </w:r>
      <w:r>
        <w:rPr>
          <w:rFonts w:hint="default" w:ascii="Times New Roman" w:hAnsi="Times New Roman" w:cs="Times New Roman"/>
          <w:color w:val="auto"/>
          <w:sz w:val="24"/>
          <w:szCs w:val="24"/>
        </w:rPr>
        <w:t>CT</w:t>
      </w:r>
      <w:r>
        <w:rPr>
          <w:rFonts w:hint="eastAsia" w:ascii="Times New Roman" w:hAnsi="Times New Roman" w:cs="Times New Roman"/>
          <w:color w:val="auto"/>
          <w:sz w:val="24"/>
          <w:szCs w:val="24"/>
          <w:lang w:eastAsia="zh-CN"/>
        </w:rPr>
        <w:t>：Computed Tomography；</w:t>
      </w:r>
      <w:r>
        <w:rPr>
          <w:rFonts w:hint="eastAsia" w:ascii="Times New Roman" w:hAnsi="Times New Roman"/>
          <w:color w:val="000000" w:themeColor="text1"/>
          <w:sz w:val="24"/>
          <w:lang w:val="en-US" w:eastAsia="zh-CN"/>
          <w14:textFill>
            <w14:solidFill>
              <w14:schemeClr w14:val="tx1"/>
            </w14:solidFill>
          </w14:textFill>
        </w:rPr>
        <w:t>D-Dimer: D2 polymers；NSAID：nonsteroidal anti-inflammatory drug</w:t>
      </w:r>
    </w:p>
    <w:p w14:paraId="53AE8B63">
      <w:pPr>
        <w:rPr>
          <w:rFonts w:hint="eastAsi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粗黑宋简体">
    <w:panose1 w:val="02000000000000000000"/>
    <w:charset w:val="86"/>
    <w:family w:val="auto"/>
    <w:pitch w:val="default"/>
    <w:sig w:usb0="A00002BF" w:usb1="184F6CFA" w:usb2="00000012"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dit="forms"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UxZTliNTFjZTZkYjg0YzhkMmIxYzQwYmZlZTFjNGYifQ=="/>
  </w:docVars>
  <w:rsids>
    <w:rsidRoot w:val="19921EA8"/>
    <w:rsid w:val="0014085A"/>
    <w:rsid w:val="00980385"/>
    <w:rsid w:val="00DF32BC"/>
    <w:rsid w:val="01B4483C"/>
    <w:rsid w:val="086E5A15"/>
    <w:rsid w:val="0A6D40FE"/>
    <w:rsid w:val="0AE72A0D"/>
    <w:rsid w:val="10C534F1"/>
    <w:rsid w:val="12DB1E4A"/>
    <w:rsid w:val="136D3F7C"/>
    <w:rsid w:val="16561B81"/>
    <w:rsid w:val="19921EA8"/>
    <w:rsid w:val="1B42402E"/>
    <w:rsid w:val="1B7D534F"/>
    <w:rsid w:val="1D0D4C38"/>
    <w:rsid w:val="27DB6CFF"/>
    <w:rsid w:val="2B06497D"/>
    <w:rsid w:val="41BD0482"/>
    <w:rsid w:val="4A45370A"/>
    <w:rsid w:val="669929BC"/>
    <w:rsid w:val="693A6B9F"/>
    <w:rsid w:val="6C0670B0"/>
    <w:rsid w:val="6F80099C"/>
    <w:rsid w:val="727A2063"/>
    <w:rsid w:val="73493511"/>
    <w:rsid w:val="76434E74"/>
    <w:rsid w:val="7CC16B70"/>
    <w:rsid w:val="7DFA3710"/>
    <w:rsid w:val="7E8950A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after="330" w:line="576" w:lineRule="auto"/>
      <w:outlineLvl w:val="0"/>
    </w:pPr>
    <w:rPr>
      <w:rFonts w:eastAsia="黑体"/>
      <w:b/>
      <w:kern w:val="44"/>
      <w:sz w:val="36"/>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Hyperlink"/>
    <w:basedOn w:val="7"/>
    <w:qFormat/>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327</Words>
  <Characters>2874</Characters>
  <Lines>10</Lines>
  <Paragraphs>2</Paragraphs>
  <TotalTime>0</TotalTime>
  <ScaleCrop>false</ScaleCrop>
  <LinksUpToDate>false</LinksUpToDate>
  <CharactersWithSpaces>3147</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2022-05-17T12:19:00Z</dcterms:created>
  <dc:creator>于祥</dc:creator>
  <cp:keywords>, docId:B48875335F22223BFD3131777F4E443C</cp:keywords>
  <cp:lastModifiedBy>于祥</cp:lastModifiedBy>
  <dcterms:modified xsi:type="dcterms:W3CDTF">2025-02-08T13:30:30Z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79AC0A9E274F4F0D8CB7B7F7DD7564B8_12</vt:lpwstr>
  </property>
  <property fmtid="{D5CDD505-2E9C-101B-9397-08002B2CF9AE}" pid="4" name="KSOTemplateDocerSaveRecord">
    <vt:lpwstr>eyJoZGlkIjoiOWUxZTliNTFjZTZkYjg0YzhkMmIxYzQwYmZlZTFjNGYiLCJ1c2VySWQiOiIyNTI4NjY0NjEifQ==</vt:lpwstr>
  </property>
</Properties>
</file>