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47" w:tblpY="2149"/>
        <w:tblOverlap w:val="never"/>
        <w:tblW w:w="10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7"/>
        <w:gridCol w:w="5332"/>
      </w:tblGrid>
      <w:tr w14:paraId="7F18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987" w:type="dxa"/>
          </w:tcPr>
          <w:p w14:paraId="4F738887">
            <w:pPr>
              <w:rPr>
                <w:rFonts w:ascii="宋体" w:hAnsi="宋体" w:eastAsia="宋体" w:cs="Times New Roman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2"/>
                <w:lang w:val="en-US" w:eastAsia="zh-CN"/>
              </w:rPr>
              <w:t>Each Risk Factor Represents 1 Point</w:t>
            </w:r>
          </w:p>
        </w:tc>
        <w:tc>
          <w:tcPr>
            <w:tcW w:w="5332" w:type="dxa"/>
          </w:tcPr>
          <w:p w14:paraId="1FB95980">
            <w:pPr>
              <w:rPr>
                <w:rFonts w:ascii="宋体" w:hAnsi="宋体" w:eastAsia="宋体" w:cs="Times New Roman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2"/>
                <w:lang w:val="en-US" w:eastAsia="zh-CN"/>
              </w:rPr>
              <w:t>Each Risk Factor Represents 2 Point</w:t>
            </w:r>
          </w:p>
        </w:tc>
      </w:tr>
      <w:tr w14:paraId="061D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8" w:hRule="atLeast"/>
        </w:trPr>
        <w:tc>
          <w:tcPr>
            <w:tcW w:w="4987" w:type="dxa"/>
            <w:vMerge w:val="restart"/>
          </w:tcPr>
          <w:p w14:paraId="54029DF8">
            <w:pPr>
              <w:rPr>
                <w:rFonts w:hint="default" w:ascii="宋体" w:hAnsi="宋体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Age 41-60 years</w:t>
            </w:r>
          </w:p>
          <w:p w14:paraId="74A253A3">
            <w:pPr>
              <w:rPr>
                <w:rFonts w:hint="default" w:ascii="宋体" w:hAnsi="宋体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Minor surgery planned</w:t>
            </w:r>
          </w:p>
          <w:p w14:paraId="62983199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History of prior major surgery(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&lt;</w:t>
            </w:r>
            <w:r>
              <w:rPr>
                <w:rFonts w:hint="eastAsia" w:ascii="宋体" w:hAnsi="宋体" w:eastAsia="宋体" w:cs="Times New Roman"/>
                <w:szCs w:val="22"/>
              </w:rPr>
              <w:t>1 month)</w:t>
            </w:r>
          </w:p>
          <w:p w14:paraId="0939D86A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Varicose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2"/>
              </w:rPr>
              <w:t>veins</w:t>
            </w:r>
          </w:p>
          <w:p w14:paraId="03AC5043">
            <w:pPr>
              <w:rPr>
                <w:rFonts w:hint="eastAsia" w:ascii="宋体" w:hAnsi="宋体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 xml:space="preserve">History of inflammatory bowel disease                        </w:t>
            </w:r>
          </w:p>
          <w:p w14:paraId="722EC89D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Swollen legs (current)</w:t>
            </w:r>
          </w:p>
          <w:p w14:paraId="646711E1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□Obesity (BMI &gt; 25)</w:t>
            </w:r>
          </w:p>
          <w:p w14:paraId="74E95420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Acute myocardial infarction</w:t>
            </w:r>
          </w:p>
          <w:p w14:paraId="3118805E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Congestive heart failure(&lt; 1 month)</w:t>
            </w:r>
          </w:p>
          <w:p w14:paraId="2621B038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Sepsis(&lt; 1 month)</w:t>
            </w:r>
          </w:p>
          <w:p w14:paraId="5EF32ECC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Serious lung disease incl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.</w:t>
            </w:r>
            <w:r>
              <w:rPr>
                <w:rFonts w:hint="eastAsia" w:ascii="宋体" w:hAnsi="宋体" w:eastAsia="宋体" w:cs="Times New Roman"/>
                <w:szCs w:val="22"/>
              </w:rPr>
              <w:t>pneumonia(&lt;1month)</w:t>
            </w:r>
          </w:p>
          <w:p w14:paraId="7ACFFF56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□Abnormal pulmonary function (COPD)</w:t>
            </w:r>
          </w:p>
          <w:p w14:paraId="4069AA5A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□Medical patient currently at bed rest</w:t>
            </w:r>
          </w:p>
          <w:p w14:paraId="421CDE59"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Other risk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 xml:space="preserve"> factors：</w:t>
            </w:r>
          </w:p>
        </w:tc>
        <w:tc>
          <w:tcPr>
            <w:tcW w:w="5332" w:type="dxa"/>
          </w:tcPr>
          <w:p w14:paraId="63561A42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□Age 60-74 years</w:t>
            </w:r>
          </w:p>
          <w:p w14:paraId="42BCE222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□Arthroscopic surgery</w:t>
            </w:r>
          </w:p>
          <w:p w14:paraId="51D8C90F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□Malignancy (present or previous)</w:t>
            </w:r>
          </w:p>
          <w:p w14:paraId="047816F8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□Major surgery (&gt; 45 minutes)</w:t>
            </w:r>
          </w:p>
          <w:p w14:paraId="6E417FF3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□Laparoscopic surgery(&gt; 45 minutes)</w:t>
            </w:r>
          </w:p>
          <w:p w14:paraId="2D15606E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□Patient confined to bed (&gt; 72 hours)</w:t>
            </w:r>
          </w:p>
          <w:p w14:paraId="0C5536D1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□Immobilizing plaster cast (&lt; 1 month)</w:t>
            </w:r>
          </w:p>
          <w:p w14:paraId="2D5224EC">
            <w:pPr>
              <w:rPr>
                <w:rFonts w:hint="eastAsia" w:ascii="宋体" w:hAnsi="宋体" w:eastAsia="宋体" w:cs="Times New Roman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Central venous access</w:t>
            </w:r>
          </w:p>
        </w:tc>
      </w:tr>
      <w:tr w14:paraId="57B9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987" w:type="dxa"/>
            <w:vMerge w:val="continue"/>
          </w:tcPr>
          <w:p w14:paraId="142CFA7B">
            <w:pPr>
              <w:ind w:firstLine="415" w:firstLineChars="198"/>
            </w:pPr>
          </w:p>
        </w:tc>
        <w:tc>
          <w:tcPr>
            <w:tcW w:w="5332" w:type="dxa"/>
          </w:tcPr>
          <w:p w14:paraId="081FBB64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2"/>
                <w:lang w:val="en-US" w:eastAsia="zh-CN"/>
              </w:rPr>
              <w:t>Each Risk Factor Represents 5 Point</w:t>
            </w:r>
          </w:p>
        </w:tc>
      </w:tr>
      <w:tr w14:paraId="4449E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</w:trPr>
        <w:tc>
          <w:tcPr>
            <w:tcW w:w="4987" w:type="dxa"/>
            <w:vMerge w:val="continue"/>
          </w:tcPr>
          <w:p w14:paraId="12464258"/>
        </w:tc>
        <w:tc>
          <w:tcPr>
            <w:tcW w:w="5332" w:type="dxa"/>
          </w:tcPr>
          <w:p w14:paraId="185D6442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□Elective major lower extremity arthroplasty</w:t>
            </w:r>
          </w:p>
          <w:p w14:paraId="63864734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□Hip, pelvis or leg fracture (&lt; 1 month)</w:t>
            </w:r>
          </w:p>
          <w:p w14:paraId="7D33078B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Stroke(&lt; 1 month)</w:t>
            </w:r>
          </w:p>
          <w:p w14:paraId="68DE4DB6">
            <w:pPr>
              <w:rPr>
                <w:rFonts w:hint="eastAsia" w:ascii="宋体" w:hAnsi="宋体" w:eastAsia="宋体" w:cs="Times New Roman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Multiple trauma(&lt; 1 month)</w:t>
            </w:r>
          </w:p>
          <w:p w14:paraId="01D2B312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□Acute spinal cord injury (paralysis)(&lt; 1month)</w:t>
            </w:r>
          </w:p>
        </w:tc>
      </w:tr>
      <w:tr w14:paraId="773BD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987" w:type="dxa"/>
          </w:tcPr>
          <w:p w14:paraId="293F5927">
            <w:pPr>
              <w:rPr>
                <w:rFonts w:ascii="宋体" w:hAnsi="宋体" w:eastAsia="宋体" w:cs="Times New Roman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2"/>
                <w:lang w:val="en-US" w:eastAsia="zh-CN"/>
              </w:rPr>
              <w:t>Each Risk Factor Represents 3 Point</w:t>
            </w:r>
          </w:p>
        </w:tc>
        <w:tc>
          <w:tcPr>
            <w:tcW w:w="5332" w:type="dxa"/>
          </w:tcPr>
          <w:p w14:paraId="244680AE">
            <w:pPr>
              <w:rPr>
                <w:rFonts w:hint="default" w:ascii="宋体" w:hAnsi="宋体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2"/>
                <w:lang w:val="en-US" w:eastAsia="zh-CN"/>
              </w:rPr>
              <w:t>For Women Only（Each Represents 1 Point）</w:t>
            </w:r>
          </w:p>
        </w:tc>
      </w:tr>
      <w:tr w14:paraId="7968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6" w:hRule="atLeast"/>
        </w:trPr>
        <w:tc>
          <w:tcPr>
            <w:tcW w:w="4987" w:type="dxa"/>
          </w:tcPr>
          <w:p w14:paraId="53877617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□Age over 75 years</w:t>
            </w:r>
          </w:p>
          <w:p w14:paraId="72402F28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□History of DVT/PE</w:t>
            </w:r>
          </w:p>
          <w:p w14:paraId="126986CD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□Family history of thrombosis</w:t>
            </w:r>
          </w:p>
          <w:p w14:paraId="47AC0D99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□Positive Factor V Leiden</w:t>
            </w:r>
          </w:p>
          <w:p w14:paraId="7A3C022F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Positive Prothrombin 20210A</w:t>
            </w:r>
          </w:p>
          <w:p w14:paraId="0B4738B8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Elevated serum homocysteine</w:t>
            </w:r>
          </w:p>
          <w:p w14:paraId="7A1EE804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Positive lupus anticoagulant</w:t>
            </w:r>
          </w:p>
          <w:p w14:paraId="6163652D">
            <w:pPr>
              <w:rPr>
                <w:rFonts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Elevated anticardiolipin antibodies</w:t>
            </w:r>
          </w:p>
          <w:p w14:paraId="43471CE4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Heparin-induced thrombocytopenia (HIT)</w:t>
            </w:r>
          </w:p>
          <w:p w14:paraId="4295EB97">
            <w:pPr>
              <w:rPr>
                <w:rFonts w:hint="eastAsia" w:ascii="宋体" w:hAnsi="宋体" w:eastAsia="宋体" w:cs="Times New Roman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2"/>
              </w:rPr>
              <w:t>Other congenital or acquired thrombophilia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2"/>
              </w:rPr>
              <w:t>lf yes:</w:t>
            </w:r>
          </w:p>
        </w:tc>
        <w:tc>
          <w:tcPr>
            <w:tcW w:w="5332" w:type="dxa"/>
          </w:tcPr>
          <w:p w14:paraId="120E3D4E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□Oral contraceptives or hormone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2"/>
              </w:rPr>
              <w:t>replacement therapy</w:t>
            </w:r>
          </w:p>
          <w:p w14:paraId="2D0B65EF">
            <w:pPr>
              <w:rPr>
                <w:rFonts w:hint="eastAsia" w:ascii="宋体" w:hAnsi="宋体" w:eastAsia="宋体" w:cs="Times New Roman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□Pregnancy or postpartum(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＜</w:t>
            </w:r>
            <w:r>
              <w:rPr>
                <w:rFonts w:hint="eastAsia" w:ascii="宋体" w:hAnsi="宋体" w:eastAsia="宋体" w:cs="Times New Roman"/>
                <w:szCs w:val="22"/>
              </w:rPr>
              <w:t>1 month)</w:t>
            </w:r>
          </w:p>
          <w:p w14:paraId="1A0A20C7">
            <w:pPr>
              <w:rPr>
                <w:rFonts w:hint="eastAsia" w:ascii="宋体" w:hAnsi="宋体" w:eastAsia="宋体" w:cs="Times New Roman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2"/>
              </w:rPr>
              <w:t>□History of unexplained stillborn infant</w:t>
            </w:r>
            <w:r>
              <w:rPr>
                <w:rFonts w:hint="eastAsia" w:ascii="宋体" w:hAnsi="宋体" w:eastAsia="宋体" w:cs="Times New Roman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r</w:t>
            </w:r>
            <w:r>
              <w:rPr>
                <w:rFonts w:hint="eastAsia" w:ascii="宋体" w:hAnsi="宋体" w:eastAsia="宋体" w:cs="Times New Roman"/>
                <w:szCs w:val="22"/>
              </w:rPr>
              <w:t>ecurrent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2"/>
              </w:rPr>
              <w:t>spontaneous abortion(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≥</w:t>
            </w:r>
            <w:r>
              <w:rPr>
                <w:rFonts w:hint="eastAsia" w:ascii="宋体" w:hAnsi="宋体" w:eastAsia="宋体" w:cs="Times New Roman"/>
                <w:szCs w:val="22"/>
              </w:rPr>
              <w:t>3)</w:t>
            </w:r>
            <w:r>
              <w:rPr>
                <w:rFonts w:hint="eastAsia" w:ascii="宋体" w:hAnsi="宋体" w:eastAsia="宋体" w:cs="Times New Roman"/>
                <w:szCs w:val="22"/>
                <w:lang w:val="en-US" w:eastAsia="zh-CN"/>
              </w:rPr>
              <w:t>,</w:t>
            </w:r>
            <w:r>
              <w:rPr>
                <w:rFonts w:hint="eastAsia" w:ascii="宋体" w:hAnsi="宋体" w:eastAsia="宋体" w:cs="Times New Roman"/>
                <w:szCs w:val="22"/>
              </w:rPr>
              <w:t>premature birth with toxemia or growth-restricted infant</w:t>
            </w:r>
          </w:p>
        </w:tc>
      </w:tr>
    </w:tbl>
    <w:p w14:paraId="144FCB27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Table 1</w:t>
      </w:r>
      <w:r>
        <w:rPr>
          <w:rFonts w:hint="eastAsia"/>
          <w:b/>
          <w:bCs/>
          <w:sz w:val="30"/>
          <w:szCs w:val="30"/>
          <w:lang w:val="en-US" w:eastAsia="zh-CN"/>
        </w:rPr>
        <w:t>.</w:t>
      </w:r>
      <w:r>
        <w:rPr>
          <w:rFonts w:hint="eastAsia"/>
          <w:b/>
          <w:bCs/>
          <w:sz w:val="30"/>
          <w:szCs w:val="30"/>
        </w:rPr>
        <w:t>Caprini Risk Assessment Scale (Version 2005)</w:t>
      </w:r>
    </w:p>
    <w:p w14:paraId="4D19695D">
      <w:pPr>
        <w:jc w:val="center"/>
        <w:rPr>
          <w:rFonts w:hint="eastAsia"/>
          <w:b/>
          <w:bCs/>
          <w:sz w:val="30"/>
          <w:szCs w:val="30"/>
        </w:rPr>
      </w:pPr>
    </w:p>
    <w:p w14:paraId="04F655CF">
      <w:pPr>
        <w:jc w:val="both"/>
        <w:rPr>
          <w:rFonts w:hint="eastAsia"/>
          <w:b/>
          <w:bCs/>
          <w:sz w:val="30"/>
          <w:szCs w:val="30"/>
        </w:rPr>
      </w:pPr>
    </w:p>
    <w:p w14:paraId="3FE2C61A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Table </w:t>
      </w:r>
      <w:r>
        <w:rPr>
          <w:rFonts w:hint="eastAsia"/>
          <w:b/>
          <w:bCs/>
          <w:sz w:val="30"/>
          <w:szCs w:val="30"/>
          <w:lang w:val="en-US" w:eastAsia="zh-CN"/>
        </w:rPr>
        <w:t>2.</w:t>
      </w:r>
      <w:r>
        <w:rPr>
          <w:rFonts w:hint="eastAsia"/>
          <w:b/>
          <w:bCs/>
          <w:sz w:val="30"/>
          <w:szCs w:val="30"/>
        </w:rPr>
        <w:t>RAPT Risk Assessment Scale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762"/>
        <w:gridCol w:w="3400"/>
        <w:gridCol w:w="825"/>
      </w:tblGrid>
      <w:tr w14:paraId="76171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733" w:type="dxa"/>
          </w:tcPr>
          <w:p w14:paraId="3221783B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</w:rPr>
              <w:t>Predictor</w:t>
            </w:r>
          </w:p>
        </w:tc>
        <w:tc>
          <w:tcPr>
            <w:tcW w:w="762" w:type="dxa"/>
          </w:tcPr>
          <w:p w14:paraId="595485AE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  <w:lang w:val="en-US" w:eastAsia="zh-CN"/>
              </w:rPr>
              <w:t>Score</w:t>
            </w:r>
          </w:p>
        </w:tc>
        <w:tc>
          <w:tcPr>
            <w:tcW w:w="3400" w:type="dxa"/>
          </w:tcPr>
          <w:p w14:paraId="080455AE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</w:rPr>
              <w:t>Predictor</w:t>
            </w:r>
          </w:p>
        </w:tc>
        <w:tc>
          <w:tcPr>
            <w:tcW w:w="825" w:type="dxa"/>
          </w:tcPr>
          <w:p w14:paraId="057DCA7C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  <w:lang w:val="en-US" w:eastAsia="zh-CN"/>
              </w:rPr>
              <w:t>Score</w:t>
            </w:r>
          </w:p>
        </w:tc>
      </w:tr>
      <w:tr w14:paraId="4C22B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33" w:type="dxa"/>
          </w:tcPr>
          <w:p w14:paraId="2CD0A1C1">
            <w:pPr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Underlying conditions</w:t>
            </w:r>
          </w:p>
          <w:p w14:paraId="37222CFE">
            <w:pPr>
              <w:ind w:firstLine="420" w:firstLineChars="20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Obese(&gt;120% Metropolitan Life Table)</w:t>
            </w:r>
          </w:p>
          <w:p w14:paraId="76B46040">
            <w:pPr>
              <w:ind w:firstLine="420" w:firstLineChars="20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Malignancy</w:t>
            </w:r>
          </w:p>
          <w:p w14:paraId="0A37342D">
            <w:pPr>
              <w:ind w:firstLine="420" w:firstLineChars="20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Abnormal coagulation factors at admission</w:t>
            </w:r>
          </w:p>
          <w:p w14:paraId="1E0561D5">
            <w:pPr>
              <w:ind w:firstLine="420" w:firstLineChars="20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History of thromboembolism</w:t>
            </w:r>
          </w:p>
          <w:p w14:paraId="06FC8BA8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latrogenic factors</w:t>
            </w:r>
          </w:p>
          <w:p w14:paraId="6873ACF1">
            <w:pPr>
              <w:ind w:left="420" w:leftChars="200" w:firstLine="0" w:firstLineChars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□Central femoral line &gt;24 hours</w:t>
            </w:r>
          </w:p>
          <w:p w14:paraId="6F46E810">
            <w:pPr>
              <w:ind w:left="420" w:leftChars="200" w:firstLine="0" w:firstLineChars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Four or more transfusions during first 24 hours</w:t>
            </w:r>
          </w:p>
          <w:p w14:paraId="7B0E8BC6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Surgical procedures &gt;2 hours</w:t>
            </w:r>
          </w:p>
          <w:p w14:paraId="06380C7A">
            <w:pPr>
              <w:ind w:firstLine="424" w:firstLineChars="202"/>
              <w:rPr>
                <w:rFonts w:ascii="宋体" w:hAnsi="宋体" w:eastAsia="宋体" w:cs="Times New Roman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□Repair or ligation of major venous injury</w:t>
            </w:r>
          </w:p>
        </w:tc>
        <w:tc>
          <w:tcPr>
            <w:tcW w:w="762" w:type="dxa"/>
          </w:tcPr>
          <w:p w14:paraId="17906C25">
            <w:pPr>
              <w:rPr>
                <w:rFonts w:ascii="宋体" w:hAnsi="宋体" w:eastAsia="宋体" w:cs="Times New Roman"/>
                <w:szCs w:val="21"/>
              </w:rPr>
            </w:pPr>
          </w:p>
          <w:p w14:paraId="5501F800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56DC72F7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27390D4A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5123F74F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6EFB6BDC">
            <w:pPr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4794A459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  <w:p w14:paraId="33AD0384">
            <w:pPr>
              <w:rPr>
                <w:rFonts w:ascii="宋体" w:hAnsi="宋体" w:eastAsia="宋体" w:cs="Times New Roman"/>
                <w:szCs w:val="21"/>
              </w:rPr>
            </w:pPr>
          </w:p>
          <w:p w14:paraId="3DCCBBC2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61A5E9BF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42CA3468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5541E258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08F5DD7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043F4B47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1930FD0B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3400" w:type="dxa"/>
          </w:tcPr>
          <w:p w14:paraId="74612134">
            <w:pPr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injury-related factors</w:t>
            </w:r>
          </w:p>
          <w:p w14:paraId="5CB50279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AlS &gt;2 for the chest</w:t>
            </w:r>
          </w:p>
          <w:p w14:paraId="54E2F3D1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AlS &gt;2 for the abdomen</w:t>
            </w:r>
          </w:p>
          <w:p w14:paraId="6E9543BF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□Spinal fractures</w:t>
            </w:r>
          </w:p>
          <w:p w14:paraId="1814DAFD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□AlS &gt;2 for the head</w:t>
            </w:r>
          </w:p>
          <w:p w14:paraId="4CC0364F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□Coma (GCS score &lt;8 for &gt;4 hours)</w:t>
            </w:r>
          </w:p>
          <w:p w14:paraId="09029AC4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Complex lower extremity fracture</w:t>
            </w:r>
          </w:p>
          <w:p w14:paraId="788A037A">
            <w:pPr>
              <w:ind w:firstLine="420" w:firstLineChars="200"/>
              <w:rPr>
                <w:rFonts w:ascii="宋体" w:hAnsi="宋体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Cs w:val="21"/>
              </w:rPr>
              <w:t>□Pelvic fracture</w:t>
            </w:r>
          </w:p>
          <w:p w14:paraId="45F6BC8E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□Spinal cord injury with para or quadripiegia</w:t>
            </w:r>
          </w:p>
          <w:p w14:paraId="17D0CAD9">
            <w:pPr>
              <w:rPr>
                <w:rFonts w:hint="default" w:ascii="宋体" w:hAnsi="宋体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Age，y</w:t>
            </w:r>
          </w:p>
          <w:p w14:paraId="4A24D1B8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□40~60</w:t>
            </w:r>
          </w:p>
          <w:p w14:paraId="3AB906E9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□60~75</w:t>
            </w:r>
          </w:p>
          <w:p w14:paraId="4A7325BC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□＞75</w:t>
            </w:r>
          </w:p>
        </w:tc>
        <w:tc>
          <w:tcPr>
            <w:tcW w:w="825" w:type="dxa"/>
          </w:tcPr>
          <w:p w14:paraId="37132B5D">
            <w:pPr>
              <w:rPr>
                <w:rFonts w:ascii="宋体" w:hAnsi="宋体" w:eastAsia="宋体" w:cs="Times New Roman"/>
                <w:szCs w:val="21"/>
              </w:rPr>
            </w:pPr>
          </w:p>
          <w:p w14:paraId="2C45C172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1B82E3A0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72511892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3EB33386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  <w:p w14:paraId="3C267E2A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12B50CD9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  <w:p w14:paraId="7B985CCA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662E836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  <w:p w14:paraId="0095B086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  <w:p w14:paraId="6462AA3D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6EEA8AB3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  <w:p w14:paraId="776FD983">
            <w:pPr>
              <w:rPr>
                <w:rFonts w:hint="eastAsia" w:ascii="宋体" w:hAnsi="宋体" w:eastAsia="宋体" w:cs="Times New Roman"/>
                <w:szCs w:val="21"/>
              </w:rPr>
            </w:pPr>
          </w:p>
          <w:p w14:paraId="4F070A74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4D95DF44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  <w:p w14:paraId="03E4A733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</w:tr>
    </w:tbl>
    <w:p w14:paraId="3036F80D">
      <w:pPr>
        <w:jc w:val="left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AlS, Abbreviated Injury Score; GCS, Glasgow Coma Scale</w:t>
      </w:r>
    </w:p>
    <w:p w14:paraId="0F19F7BE">
      <w:pPr>
        <w:jc w:val="left"/>
        <w:rPr>
          <w:rFonts w:hint="eastAsia"/>
          <w:b w:val="0"/>
          <w:bCs w:val="0"/>
          <w:sz w:val="24"/>
          <w:szCs w:val="24"/>
        </w:rPr>
      </w:pPr>
    </w:p>
    <w:p w14:paraId="2EFC8F41">
      <w:pPr>
        <w:jc w:val="left"/>
        <w:rPr>
          <w:rFonts w:hint="eastAsia"/>
          <w:b w:val="0"/>
          <w:bCs w:val="0"/>
          <w:sz w:val="24"/>
          <w:szCs w:val="24"/>
        </w:rPr>
      </w:pPr>
    </w:p>
    <w:p w14:paraId="52619A27">
      <w:pPr>
        <w:jc w:val="left"/>
        <w:rPr>
          <w:rFonts w:hint="eastAsia"/>
          <w:b w:val="0"/>
          <w:bCs w:val="0"/>
          <w:sz w:val="24"/>
          <w:szCs w:val="24"/>
        </w:rPr>
      </w:pPr>
    </w:p>
    <w:p w14:paraId="4EB22D71">
      <w:pPr>
        <w:jc w:val="left"/>
        <w:rPr>
          <w:rFonts w:hint="eastAsia"/>
          <w:b w:val="0"/>
          <w:bCs w:val="0"/>
          <w:sz w:val="24"/>
          <w:szCs w:val="24"/>
        </w:rPr>
      </w:pPr>
    </w:p>
    <w:p w14:paraId="28B1CC94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Table </w:t>
      </w:r>
      <w:r>
        <w:rPr>
          <w:rFonts w:hint="eastAsia"/>
          <w:b/>
          <w:bCs/>
          <w:sz w:val="30"/>
          <w:szCs w:val="30"/>
          <w:lang w:val="en-US" w:eastAsia="zh-CN"/>
        </w:rPr>
        <w:t>3.</w:t>
      </w:r>
      <w:r>
        <w:rPr>
          <w:rFonts w:hint="eastAsia"/>
          <w:b/>
          <w:bCs/>
          <w:sz w:val="30"/>
          <w:szCs w:val="30"/>
        </w:rPr>
        <w:t>TESS Risk Assessment Scale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782"/>
        <w:gridCol w:w="3744"/>
        <w:gridCol w:w="876"/>
      </w:tblGrid>
      <w:tr w14:paraId="30AC6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120" w:type="dxa"/>
          </w:tcPr>
          <w:p w14:paraId="27CBAAB6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</w:rPr>
              <w:t>Predictor</w:t>
            </w:r>
          </w:p>
        </w:tc>
        <w:tc>
          <w:tcPr>
            <w:tcW w:w="782" w:type="dxa"/>
          </w:tcPr>
          <w:p w14:paraId="5705C026">
            <w:pPr>
              <w:spacing w:line="360" w:lineRule="auto"/>
              <w:rPr>
                <w:rFonts w:hint="default" w:ascii="宋体" w:hAnsi="宋体" w:eastAsia="宋体" w:cs="Times New Roman"/>
                <w:b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  <w:lang w:val="en-US" w:eastAsia="zh-CN"/>
              </w:rPr>
              <w:t>Score</w:t>
            </w:r>
          </w:p>
        </w:tc>
        <w:tc>
          <w:tcPr>
            <w:tcW w:w="3744" w:type="dxa"/>
          </w:tcPr>
          <w:p w14:paraId="7E133054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</w:rPr>
              <w:t>Predictor</w:t>
            </w:r>
          </w:p>
        </w:tc>
        <w:tc>
          <w:tcPr>
            <w:tcW w:w="876" w:type="dxa"/>
          </w:tcPr>
          <w:p w14:paraId="6ED993B7">
            <w:pPr>
              <w:spacing w:line="360" w:lineRule="auto"/>
              <w:rPr>
                <w:rFonts w:ascii="宋体" w:hAnsi="宋体" w:eastAsia="宋体" w:cs="Times New Roman"/>
                <w:b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szCs w:val="22"/>
                <w:lang w:val="en-US" w:eastAsia="zh-CN"/>
              </w:rPr>
              <w:t>Score</w:t>
            </w:r>
          </w:p>
        </w:tc>
      </w:tr>
      <w:tr w14:paraId="3864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62A39B46">
            <w:pPr>
              <w:rPr>
                <w:rFonts w:hint="default" w:ascii="宋体" w:hAnsi="宋体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Age,y</w:t>
            </w:r>
          </w:p>
          <w:p w14:paraId="414FAB2C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□18~29</w:t>
            </w:r>
          </w:p>
          <w:p w14:paraId="3F1C7E25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□30~64</w:t>
            </w:r>
          </w:p>
          <w:p w14:paraId="43F31B9B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□≥65</w:t>
            </w:r>
          </w:p>
          <w:p w14:paraId="0DE356D0">
            <w:pPr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ISS</w:t>
            </w:r>
          </w:p>
          <w:p w14:paraId="795E58E7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□1~9分</w:t>
            </w:r>
          </w:p>
          <w:p w14:paraId="3B231439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□10~16分</w:t>
            </w:r>
          </w:p>
          <w:p w14:paraId="42680275">
            <w:pPr>
              <w:ind w:firstLine="424" w:firstLineChars="202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□17~25分</w:t>
            </w:r>
          </w:p>
          <w:p w14:paraId="4390B7FC">
            <w:pPr>
              <w:ind w:firstLine="424" w:firstLineChars="202"/>
              <w:rPr>
                <w:rFonts w:ascii="宋体" w:hAnsi="宋体" w:eastAsia="宋体" w:cs="Times New Roman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□＞25分</w:t>
            </w:r>
          </w:p>
        </w:tc>
        <w:tc>
          <w:tcPr>
            <w:tcW w:w="782" w:type="dxa"/>
          </w:tcPr>
          <w:p w14:paraId="68507A8D">
            <w:pPr>
              <w:rPr>
                <w:rFonts w:ascii="宋体" w:hAnsi="宋体" w:eastAsia="宋体" w:cs="Times New Roman"/>
                <w:szCs w:val="21"/>
              </w:rPr>
            </w:pPr>
          </w:p>
          <w:p w14:paraId="0FC5402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0</w:t>
            </w:r>
          </w:p>
          <w:p w14:paraId="2A605C11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  <w:p w14:paraId="37D365A8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  <w:p w14:paraId="58F346BE">
            <w:pPr>
              <w:rPr>
                <w:rFonts w:ascii="宋体" w:hAnsi="宋体" w:eastAsia="宋体" w:cs="Times New Roman"/>
                <w:szCs w:val="21"/>
              </w:rPr>
            </w:pPr>
          </w:p>
          <w:p w14:paraId="322AA07B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0</w:t>
            </w:r>
          </w:p>
          <w:p w14:paraId="4A3FAF4C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  <w:p w14:paraId="14EB7834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  <w:p w14:paraId="1C3483D4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3744" w:type="dxa"/>
          </w:tcPr>
          <w:p w14:paraId="1A80046C">
            <w:pPr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Preexisting obesity</w:t>
            </w:r>
          </w:p>
          <w:p w14:paraId="34CB95F2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□No preexisting obesity</w:t>
            </w:r>
          </w:p>
          <w:p w14:paraId="063D61CF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□Preexisting obesity</w:t>
            </w:r>
          </w:p>
          <w:p w14:paraId="6C85DFAA">
            <w:pPr>
              <w:rPr>
                <w:rFonts w:hint="eastAsia"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Ventilation days</w:t>
            </w:r>
          </w:p>
          <w:p w14:paraId="0484CD9E">
            <w:pPr>
              <w:ind w:firstLine="420" w:firstLineChars="20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No ventilation days</w:t>
            </w:r>
          </w:p>
          <w:p w14:paraId="7A9C00BC">
            <w:pPr>
              <w:ind w:firstLine="420" w:firstLineChars="20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Ventilation days</w:t>
            </w:r>
          </w:p>
          <w:p w14:paraId="027A06C8">
            <w:pPr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Lower-extremityfracture</w:t>
            </w:r>
          </w:p>
          <w:p w14:paraId="41D0E298">
            <w:pPr>
              <w:ind w:firstLine="420" w:firstLineChars="20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No lower-extremityfracture</w:t>
            </w:r>
          </w:p>
          <w:p w14:paraId="665DE2B8">
            <w:pPr>
              <w:ind w:firstLine="417" w:firstLineChars="199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□Lower-extremityfracture</w:t>
            </w:r>
          </w:p>
        </w:tc>
        <w:tc>
          <w:tcPr>
            <w:tcW w:w="876" w:type="dxa"/>
          </w:tcPr>
          <w:p w14:paraId="5460AE22">
            <w:pPr>
              <w:rPr>
                <w:rFonts w:ascii="宋体" w:hAnsi="宋体" w:eastAsia="宋体" w:cs="Times New Roman"/>
                <w:szCs w:val="21"/>
              </w:rPr>
            </w:pPr>
          </w:p>
          <w:p w14:paraId="48AE4398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0</w:t>
            </w:r>
          </w:p>
          <w:p w14:paraId="068E8A4E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  <w:p w14:paraId="0E2F0B5C">
            <w:pPr>
              <w:rPr>
                <w:rFonts w:ascii="宋体" w:hAnsi="宋体" w:eastAsia="宋体" w:cs="Times New Roman"/>
                <w:szCs w:val="21"/>
              </w:rPr>
            </w:pPr>
          </w:p>
          <w:p w14:paraId="2E9E9C35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0</w:t>
            </w:r>
          </w:p>
          <w:p w14:paraId="3D101355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  <w:p w14:paraId="47AF046B">
            <w:pPr>
              <w:rPr>
                <w:rFonts w:ascii="宋体" w:hAnsi="宋体" w:eastAsia="宋体" w:cs="Times New Roman"/>
                <w:szCs w:val="21"/>
              </w:rPr>
            </w:pPr>
          </w:p>
          <w:p w14:paraId="015322E0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0</w:t>
            </w:r>
          </w:p>
          <w:p w14:paraId="14136E80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</w:tr>
    </w:tbl>
    <w:p w14:paraId="4D6DAE24">
      <w:pPr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szCs w:val="21"/>
        </w:rPr>
        <w:t>ISS</w:t>
      </w:r>
      <w:r>
        <w:rPr>
          <w:rFonts w:hint="eastAsia" w:ascii="宋体" w:hAnsi="宋体" w:eastAsia="宋体" w:cs="Times New Roman"/>
          <w:b/>
          <w:szCs w:val="21"/>
          <w:lang w:val="en-US" w:eastAsia="zh-CN"/>
        </w:rPr>
        <w:t>,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injury severity score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A0A52"/>
    <w:rsid w:val="20326259"/>
    <w:rsid w:val="3ADA1566"/>
    <w:rsid w:val="43543068"/>
    <w:rsid w:val="51FC1267"/>
    <w:rsid w:val="6E7D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468</Words>
  <Characters>2283</Characters>
  <Lines>0</Lines>
  <Paragraphs>0</Paragraphs>
  <TotalTime>0</TotalTime>
  <ScaleCrop>false</ScaleCrop>
  <LinksUpToDate>false</LinksUpToDate>
  <CharactersWithSpaces>2554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2025-01-11T13:58:00Z</dcterms:created>
  <dc:creator>张丹丹</dc:creator>
  <cp:lastModifiedBy>张丹丹</cp:lastModifiedBy>
  <dcterms:modified xsi:type="dcterms:W3CDTF">2025-01-20T13:05:39Z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eyJoZGlkIjoiNDJhMGY3Nzk4NTM2NDRkM2I2MGQzODA2YWM3MTIwOWEiLCJ1c2VySWQiOiIyMjUzMjY2NTgifQ==</vt:lpwstr>
  </property>
  <property fmtid="{D5CDD505-2E9C-101B-9397-08002B2CF9AE}" pid="4" name="ICV">
    <vt:lpwstr>580C1458571043289719C3D1CD199367_12</vt:lpwstr>
  </property>
</Properties>
</file>