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A07E9" w14:textId="77777777" w:rsidR="00477B84" w:rsidRDefault="00477B84" w:rsidP="00477B84">
      <w:pPr>
        <w:spacing w:line="480" w:lineRule="auto"/>
        <w:jc w:val="center"/>
        <w:rPr>
          <w:rFonts w:ascii="Times New Roman" w:hAnsi="Times New Roman" w:cs="Times New Roman"/>
          <w:sz w:val="24"/>
          <w:szCs w:val="24"/>
          <w:vertAlign w:val="superscript"/>
        </w:rPr>
      </w:pPr>
    </w:p>
    <w:p w14:paraId="79B78475" w14:textId="77777777" w:rsidR="00477B84" w:rsidRDefault="00477B84" w:rsidP="00477B84">
      <w:pPr>
        <w:widowControl w:val="0"/>
        <w:autoSpaceDE w:val="0"/>
        <w:autoSpaceDN w:val="0"/>
        <w:adjustRightInd w:val="0"/>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Supplementary Material</w:t>
      </w:r>
    </w:p>
    <w:p w14:paraId="332E5695" w14:textId="77777777" w:rsidR="00477B84" w:rsidRDefault="00477B84" w:rsidP="00477B84">
      <w:pPr>
        <w:spacing w:line="480" w:lineRule="auto"/>
        <w:jc w:val="center"/>
        <w:rPr>
          <w:rFonts w:ascii="Times New Roman" w:hAnsi="Times New Roman" w:cs="Times New Roman"/>
          <w:sz w:val="24"/>
          <w:szCs w:val="24"/>
        </w:rPr>
      </w:pPr>
    </w:p>
    <w:p w14:paraId="2D83189D" w14:textId="13BC51D2" w:rsidR="00477B84" w:rsidRPr="0051023A" w:rsidRDefault="00477B84" w:rsidP="00477B84">
      <w:pPr>
        <w:spacing w:line="480" w:lineRule="auto"/>
        <w:jc w:val="center"/>
        <w:rPr>
          <w:rFonts w:ascii="Times New Roman" w:hAnsi="Times New Roman" w:cs="Times New Roman"/>
          <w:sz w:val="24"/>
          <w:szCs w:val="24"/>
        </w:rPr>
      </w:pPr>
      <w:r w:rsidRPr="0051023A">
        <w:rPr>
          <w:rFonts w:ascii="Times New Roman" w:hAnsi="Times New Roman" w:cs="Times New Roman"/>
          <w:sz w:val="24"/>
          <w:szCs w:val="24"/>
        </w:rPr>
        <w:t>Anger and Emotion Regulation Strategies: A Meta-Analysis</w:t>
      </w:r>
    </w:p>
    <w:p w14:paraId="1953FEF4" w14:textId="614F6D8A" w:rsidR="00477B84" w:rsidRPr="00477B84" w:rsidRDefault="00477B84" w:rsidP="00477B84">
      <w:pPr>
        <w:spacing w:line="480" w:lineRule="auto"/>
        <w:jc w:val="center"/>
        <w:rPr>
          <w:rFonts w:ascii="Times New Roman" w:hAnsi="Times New Roman" w:cs="Times New Roman"/>
          <w:sz w:val="24"/>
          <w:szCs w:val="24"/>
          <w:vertAlign w:val="superscript"/>
          <w:lang w:val="it-IT"/>
        </w:rPr>
      </w:pPr>
      <w:r w:rsidRPr="00477B84">
        <w:rPr>
          <w:rFonts w:ascii="Times New Roman" w:hAnsi="Times New Roman" w:cs="Times New Roman"/>
          <w:sz w:val="24"/>
          <w:szCs w:val="24"/>
          <w:lang w:val="it-IT"/>
        </w:rPr>
        <w:t xml:space="preserve">Gabriela </w:t>
      </w:r>
      <w:proofErr w:type="spellStart"/>
      <w:r w:rsidRPr="00477B84">
        <w:rPr>
          <w:rFonts w:ascii="Times New Roman" w:hAnsi="Times New Roman" w:cs="Times New Roman"/>
          <w:sz w:val="24"/>
          <w:szCs w:val="24"/>
          <w:lang w:val="it-IT"/>
        </w:rPr>
        <w:t>Viorela</w:t>
      </w:r>
      <w:proofErr w:type="spellEnd"/>
      <w:r w:rsidRPr="00477B84">
        <w:rPr>
          <w:rFonts w:ascii="Times New Roman" w:hAnsi="Times New Roman" w:cs="Times New Roman"/>
          <w:sz w:val="24"/>
          <w:szCs w:val="24"/>
          <w:lang w:val="it-IT"/>
        </w:rPr>
        <w:t xml:space="preserve"> Pop, Diana-Mirela </w:t>
      </w:r>
      <w:proofErr w:type="spellStart"/>
      <w:r w:rsidRPr="00477B84">
        <w:rPr>
          <w:rFonts w:ascii="Times New Roman" w:hAnsi="Times New Roman" w:cs="Times New Roman"/>
          <w:sz w:val="24"/>
          <w:szCs w:val="24"/>
          <w:lang w:val="it-IT"/>
        </w:rPr>
        <w:t>Nechita</w:t>
      </w:r>
      <w:proofErr w:type="spellEnd"/>
      <w:r w:rsidRPr="00477B84">
        <w:rPr>
          <w:rFonts w:ascii="Times New Roman" w:hAnsi="Times New Roman" w:cs="Times New Roman"/>
          <w:sz w:val="24"/>
          <w:szCs w:val="24"/>
          <w:lang w:val="it-IT"/>
        </w:rPr>
        <w:t xml:space="preserve">, Andrei C. Miu, Aurora </w:t>
      </w:r>
      <w:proofErr w:type="spellStart"/>
      <w:r w:rsidRPr="00477B84">
        <w:rPr>
          <w:rFonts w:ascii="Times New Roman" w:hAnsi="Times New Roman" w:cs="Times New Roman"/>
          <w:sz w:val="24"/>
          <w:szCs w:val="24"/>
          <w:lang w:val="it-IT"/>
        </w:rPr>
        <w:t>Szentágotai-Tătar</w:t>
      </w:r>
      <w:proofErr w:type="spellEnd"/>
    </w:p>
    <w:p w14:paraId="443DBD1E" w14:textId="77777777" w:rsidR="00477B84" w:rsidRPr="00477B84" w:rsidRDefault="00477B84" w:rsidP="00477B84">
      <w:pPr>
        <w:widowControl w:val="0"/>
        <w:autoSpaceDE w:val="0"/>
        <w:autoSpaceDN w:val="0"/>
        <w:adjustRightInd w:val="0"/>
        <w:spacing w:line="480" w:lineRule="auto"/>
        <w:jc w:val="center"/>
        <w:rPr>
          <w:rFonts w:ascii="Times New Roman" w:hAnsi="Times New Roman" w:cs="Times New Roman"/>
          <w:b/>
          <w:color w:val="000000" w:themeColor="text1"/>
          <w:sz w:val="24"/>
          <w:szCs w:val="24"/>
          <w:lang w:val="it-IT"/>
        </w:rPr>
      </w:pPr>
    </w:p>
    <w:p w14:paraId="3D15D15F" w14:textId="77777777" w:rsidR="00477B84" w:rsidRPr="00477B84" w:rsidRDefault="00477B84" w:rsidP="00477B84">
      <w:pPr>
        <w:spacing w:line="480" w:lineRule="auto"/>
        <w:jc w:val="center"/>
        <w:rPr>
          <w:rFonts w:ascii="Times New Roman" w:hAnsi="Times New Roman" w:cs="Times New Roman"/>
          <w:sz w:val="24"/>
          <w:szCs w:val="24"/>
          <w:lang w:val="it-IT"/>
        </w:rPr>
      </w:pPr>
    </w:p>
    <w:p w14:paraId="167CA526" w14:textId="77777777" w:rsidR="00477B84" w:rsidRPr="00477B84" w:rsidRDefault="00477B84" w:rsidP="006D0315">
      <w:pPr>
        <w:widowControl w:val="0"/>
        <w:autoSpaceDE w:val="0"/>
        <w:autoSpaceDN w:val="0"/>
        <w:adjustRightInd w:val="0"/>
        <w:spacing w:line="480" w:lineRule="auto"/>
        <w:jc w:val="center"/>
        <w:rPr>
          <w:rFonts w:ascii="Times New Roman" w:hAnsi="Times New Roman" w:cs="Times New Roman"/>
          <w:b/>
          <w:color w:val="000000" w:themeColor="text1"/>
          <w:sz w:val="24"/>
          <w:szCs w:val="24"/>
          <w:lang w:val="it-IT"/>
        </w:rPr>
      </w:pPr>
    </w:p>
    <w:p w14:paraId="0C89B5B6" w14:textId="77777777" w:rsidR="00477B84" w:rsidRPr="00477B84" w:rsidRDefault="00477B84" w:rsidP="00477B84">
      <w:pPr>
        <w:rPr>
          <w:rFonts w:ascii="Times New Roman" w:hAnsi="Times New Roman" w:cs="Times New Roman"/>
          <w:sz w:val="24"/>
          <w:szCs w:val="24"/>
          <w:lang w:val="it-IT"/>
        </w:rPr>
      </w:pPr>
      <w:r w:rsidRPr="00477B84">
        <w:rPr>
          <w:rFonts w:ascii="Times New Roman" w:hAnsi="Times New Roman" w:cs="Times New Roman"/>
          <w:b/>
          <w:color w:val="000000" w:themeColor="text1"/>
          <w:sz w:val="24"/>
          <w:szCs w:val="24"/>
          <w:lang w:val="it-IT"/>
        </w:rPr>
        <w:br w:type="page"/>
      </w:r>
    </w:p>
    <w:p w14:paraId="7BE478D8" w14:textId="77777777" w:rsidR="00DA4DE9" w:rsidRDefault="00DA4DE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Search string used in the meta-analysis</w:t>
      </w:r>
      <w:r w:rsidR="00B73739">
        <w:rPr>
          <w:rFonts w:ascii="Times New Roman" w:hAnsi="Times New Roman" w:cs="Times New Roman"/>
          <w:b/>
          <w:color w:val="000000" w:themeColor="text1"/>
          <w:sz w:val="24"/>
          <w:szCs w:val="24"/>
        </w:rPr>
        <w:t xml:space="preserve"> (PubMed)</w:t>
      </w:r>
    </w:p>
    <w:p w14:paraId="06FCE777" w14:textId="77777777" w:rsidR="00DA4DE9" w:rsidRDefault="00F23686">
      <w:pPr>
        <w:rPr>
          <w:rFonts w:ascii="Times New Roman" w:hAnsi="Times New Roman" w:cs="Times New Roman"/>
          <w:b/>
          <w:color w:val="000000" w:themeColor="text1"/>
          <w:sz w:val="24"/>
          <w:szCs w:val="24"/>
        </w:rPr>
      </w:pPr>
      <w:r w:rsidRPr="00F23686">
        <w:rPr>
          <w:rFonts w:ascii="Times New Roman" w:hAnsi="Times New Roman" w:cs="Times New Roman"/>
          <w:sz w:val="24"/>
          <w:szCs w:val="24"/>
        </w:rPr>
        <w:t>(</w:t>
      </w:r>
      <w:r w:rsidR="00B73739" w:rsidRPr="00F23686">
        <w:rPr>
          <w:rFonts w:ascii="Times New Roman" w:hAnsi="Times New Roman" w:cs="Times New Roman"/>
          <w:sz w:val="24"/>
          <w:szCs w:val="24"/>
        </w:rPr>
        <w:t xml:space="preserve">(anger[Title/Abstract]) AND </w:t>
      </w:r>
      <w:r w:rsidRPr="00F23686">
        <w:rPr>
          <w:rFonts w:ascii="Times New Roman" w:hAnsi="Times New Roman" w:cs="Times New Roman"/>
          <w:sz w:val="24"/>
          <w:szCs w:val="24"/>
        </w:rPr>
        <w:t>(</w:t>
      </w:r>
      <w:r w:rsidR="00B73739" w:rsidRPr="00F23686">
        <w:rPr>
          <w:rFonts w:ascii="Times New Roman" w:hAnsi="Times New Roman" w:cs="Times New Roman"/>
          <w:sz w:val="24"/>
          <w:szCs w:val="24"/>
        </w:rPr>
        <w:t>("emotion regulation"[Title/Abstract]) OR (accept*[Title/Abstract])</w:t>
      </w:r>
      <w:r w:rsidRPr="00F23686">
        <w:rPr>
          <w:rFonts w:ascii="Times New Roman" w:hAnsi="Times New Roman" w:cs="Times New Roman"/>
          <w:sz w:val="24"/>
          <w:szCs w:val="24"/>
        </w:rPr>
        <w:t xml:space="preserve"> OR (avoid*[Title/Abstract]) OR (distract*[Title/Abstract])</w:t>
      </w:r>
      <w:r w:rsidR="00B73739" w:rsidRPr="00F23686">
        <w:rPr>
          <w:rFonts w:ascii="Times New Roman" w:hAnsi="Times New Roman" w:cs="Times New Roman"/>
          <w:sz w:val="24"/>
          <w:szCs w:val="24"/>
        </w:rPr>
        <w:t xml:space="preserve"> OR (</w:t>
      </w:r>
      <w:proofErr w:type="spellStart"/>
      <w:r w:rsidR="00B73739" w:rsidRPr="00F23686">
        <w:rPr>
          <w:rFonts w:ascii="Times New Roman" w:hAnsi="Times New Roman" w:cs="Times New Roman"/>
          <w:sz w:val="24"/>
          <w:szCs w:val="24"/>
        </w:rPr>
        <w:t>ruminat</w:t>
      </w:r>
      <w:proofErr w:type="spellEnd"/>
      <w:r w:rsidR="00B73739" w:rsidRPr="00F23686">
        <w:rPr>
          <w:rFonts w:ascii="Times New Roman" w:hAnsi="Times New Roman" w:cs="Times New Roman"/>
          <w:sz w:val="24"/>
          <w:szCs w:val="24"/>
        </w:rPr>
        <w:t>*[Title</w:t>
      </w:r>
      <w:r w:rsidRPr="00F23686">
        <w:rPr>
          <w:rFonts w:ascii="Times New Roman" w:hAnsi="Times New Roman" w:cs="Times New Roman"/>
          <w:sz w:val="24"/>
          <w:szCs w:val="24"/>
        </w:rPr>
        <w:t>/Abstract])</w:t>
      </w:r>
      <w:r w:rsidR="00B73739" w:rsidRPr="00F23686">
        <w:rPr>
          <w:rFonts w:ascii="Times New Roman" w:hAnsi="Times New Roman" w:cs="Times New Roman"/>
          <w:sz w:val="24"/>
          <w:szCs w:val="24"/>
        </w:rPr>
        <w:t xml:space="preserve"> </w:t>
      </w:r>
      <w:r w:rsidRPr="00F23686">
        <w:rPr>
          <w:rFonts w:ascii="Times New Roman" w:hAnsi="Times New Roman" w:cs="Times New Roman"/>
          <w:sz w:val="24"/>
          <w:szCs w:val="24"/>
        </w:rPr>
        <w:t>OR (</w:t>
      </w:r>
      <w:proofErr w:type="spellStart"/>
      <w:r w:rsidRPr="00F23686">
        <w:rPr>
          <w:rFonts w:ascii="Times New Roman" w:hAnsi="Times New Roman" w:cs="Times New Roman"/>
          <w:sz w:val="24"/>
          <w:szCs w:val="24"/>
        </w:rPr>
        <w:t>reapprais</w:t>
      </w:r>
      <w:proofErr w:type="spellEnd"/>
      <w:r w:rsidRPr="00F23686">
        <w:rPr>
          <w:rFonts w:ascii="Times New Roman" w:hAnsi="Times New Roman" w:cs="Times New Roman"/>
          <w:sz w:val="24"/>
          <w:szCs w:val="24"/>
        </w:rPr>
        <w:t>*[Title/Abstract]) OR (suppress*[Title/Abstract])))</w:t>
      </w:r>
      <w:r w:rsidR="00DA4DE9">
        <w:rPr>
          <w:rFonts w:ascii="Times New Roman" w:hAnsi="Times New Roman" w:cs="Times New Roman"/>
          <w:b/>
          <w:color w:val="000000" w:themeColor="text1"/>
          <w:sz w:val="24"/>
          <w:szCs w:val="24"/>
        </w:rPr>
        <w:br w:type="page"/>
      </w:r>
    </w:p>
    <w:p w14:paraId="2F487069" w14:textId="77777777" w:rsidR="00BD3E1D" w:rsidRDefault="002160D7">
      <w:pPr>
        <w:rPr>
          <w:rFonts w:ascii="Times New Roman" w:hAnsi="Times New Roman" w:cs="Times New Roman"/>
          <w:i/>
          <w:color w:val="000000" w:themeColor="text1"/>
          <w:sz w:val="24"/>
        </w:rPr>
      </w:pPr>
      <w:r>
        <w:rPr>
          <w:rFonts w:ascii="Times New Roman" w:hAnsi="Times New Roman" w:cs="Times New Roman"/>
          <w:b/>
          <w:color w:val="000000" w:themeColor="text1"/>
          <w:sz w:val="24"/>
          <w:szCs w:val="24"/>
        </w:rPr>
        <w:lastRenderedPageBreak/>
        <w:t>Supplementary Table 1</w:t>
      </w:r>
    </w:p>
    <w:p w14:paraId="090D3E1F" w14:textId="77777777" w:rsidR="0077338D" w:rsidRPr="00BD3E1D" w:rsidRDefault="0077338D">
      <w:pPr>
        <w:rPr>
          <w:rFonts w:ascii="Times New Roman" w:hAnsi="Times New Roman" w:cs="Times New Roman"/>
          <w:i/>
          <w:color w:val="000000" w:themeColor="text1"/>
          <w:sz w:val="24"/>
        </w:rPr>
      </w:pPr>
      <w:r w:rsidRPr="00BD3E1D">
        <w:rPr>
          <w:rFonts w:ascii="Times New Roman" w:hAnsi="Times New Roman" w:cs="Times New Roman"/>
          <w:i/>
          <w:color w:val="000000" w:themeColor="text1"/>
          <w:sz w:val="24"/>
        </w:rPr>
        <w:t>Quality assessment scores according to the NHLBI Quality Assessment Tool for Observational Cohort and Cross-Sectional Studies</w:t>
      </w:r>
    </w:p>
    <w:tbl>
      <w:tblPr>
        <w:tblW w:w="13966" w:type="dxa"/>
        <w:tblLook w:val="04A0" w:firstRow="1" w:lastRow="0" w:firstColumn="1" w:lastColumn="0" w:noHBand="0" w:noVBand="1"/>
      </w:tblPr>
      <w:tblGrid>
        <w:gridCol w:w="3811"/>
        <w:gridCol w:w="704"/>
        <w:gridCol w:w="704"/>
        <w:gridCol w:w="704"/>
        <w:gridCol w:w="704"/>
        <w:gridCol w:w="704"/>
        <w:gridCol w:w="703"/>
        <w:gridCol w:w="703"/>
        <w:gridCol w:w="703"/>
        <w:gridCol w:w="703"/>
        <w:gridCol w:w="1011"/>
        <w:gridCol w:w="703"/>
        <w:gridCol w:w="703"/>
        <w:gridCol w:w="703"/>
        <w:gridCol w:w="703"/>
      </w:tblGrid>
      <w:tr w:rsidR="0077338D" w:rsidRPr="0077338D" w14:paraId="50F2FD8F" w14:textId="77777777" w:rsidTr="00170E40">
        <w:trPr>
          <w:trHeight w:val="312"/>
        </w:trPr>
        <w:tc>
          <w:tcPr>
            <w:tcW w:w="0" w:type="auto"/>
            <w:tcBorders>
              <w:top w:val="single" w:sz="4" w:space="0" w:color="auto"/>
              <w:bottom w:val="single" w:sz="4" w:space="0" w:color="auto"/>
            </w:tcBorders>
            <w:vAlign w:val="center"/>
            <w:hideMark/>
          </w:tcPr>
          <w:p w14:paraId="5C14D3CC"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Name of the study</w:t>
            </w:r>
          </w:p>
        </w:tc>
        <w:tc>
          <w:tcPr>
            <w:tcW w:w="0" w:type="auto"/>
            <w:tcBorders>
              <w:top w:val="single" w:sz="4" w:space="0" w:color="auto"/>
              <w:bottom w:val="single" w:sz="4" w:space="0" w:color="auto"/>
            </w:tcBorders>
            <w:vAlign w:val="center"/>
            <w:hideMark/>
          </w:tcPr>
          <w:p w14:paraId="260E1D37"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Q1</w:t>
            </w:r>
          </w:p>
        </w:tc>
        <w:tc>
          <w:tcPr>
            <w:tcW w:w="0" w:type="auto"/>
            <w:tcBorders>
              <w:top w:val="single" w:sz="4" w:space="0" w:color="auto"/>
              <w:bottom w:val="single" w:sz="4" w:space="0" w:color="auto"/>
            </w:tcBorders>
            <w:vAlign w:val="center"/>
            <w:hideMark/>
          </w:tcPr>
          <w:p w14:paraId="0683943C"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Q2</w:t>
            </w:r>
          </w:p>
        </w:tc>
        <w:tc>
          <w:tcPr>
            <w:tcW w:w="0" w:type="auto"/>
            <w:tcBorders>
              <w:top w:val="single" w:sz="4" w:space="0" w:color="auto"/>
              <w:bottom w:val="single" w:sz="4" w:space="0" w:color="auto"/>
            </w:tcBorders>
            <w:vAlign w:val="center"/>
            <w:hideMark/>
          </w:tcPr>
          <w:p w14:paraId="00DA7FB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Q3</w:t>
            </w:r>
          </w:p>
        </w:tc>
        <w:tc>
          <w:tcPr>
            <w:tcW w:w="0" w:type="auto"/>
            <w:tcBorders>
              <w:top w:val="single" w:sz="4" w:space="0" w:color="auto"/>
              <w:bottom w:val="single" w:sz="4" w:space="0" w:color="auto"/>
            </w:tcBorders>
            <w:vAlign w:val="center"/>
            <w:hideMark/>
          </w:tcPr>
          <w:p w14:paraId="59615E20"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Q4</w:t>
            </w:r>
          </w:p>
        </w:tc>
        <w:tc>
          <w:tcPr>
            <w:tcW w:w="0" w:type="auto"/>
            <w:tcBorders>
              <w:top w:val="single" w:sz="4" w:space="0" w:color="auto"/>
              <w:bottom w:val="single" w:sz="4" w:space="0" w:color="auto"/>
            </w:tcBorders>
            <w:vAlign w:val="center"/>
            <w:hideMark/>
          </w:tcPr>
          <w:p w14:paraId="0764CDA4"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Q5</w:t>
            </w:r>
          </w:p>
        </w:tc>
        <w:tc>
          <w:tcPr>
            <w:tcW w:w="0" w:type="auto"/>
            <w:tcBorders>
              <w:top w:val="single" w:sz="4" w:space="0" w:color="auto"/>
              <w:bottom w:val="single" w:sz="4" w:space="0" w:color="auto"/>
            </w:tcBorders>
            <w:vAlign w:val="center"/>
            <w:hideMark/>
          </w:tcPr>
          <w:p w14:paraId="4131CD9E"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Q6</w:t>
            </w:r>
          </w:p>
        </w:tc>
        <w:tc>
          <w:tcPr>
            <w:tcW w:w="0" w:type="auto"/>
            <w:tcBorders>
              <w:top w:val="single" w:sz="4" w:space="0" w:color="auto"/>
              <w:bottom w:val="single" w:sz="4" w:space="0" w:color="auto"/>
            </w:tcBorders>
            <w:vAlign w:val="center"/>
            <w:hideMark/>
          </w:tcPr>
          <w:p w14:paraId="2EA9F35A"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Q7</w:t>
            </w:r>
          </w:p>
        </w:tc>
        <w:tc>
          <w:tcPr>
            <w:tcW w:w="0" w:type="auto"/>
            <w:tcBorders>
              <w:top w:val="single" w:sz="4" w:space="0" w:color="auto"/>
              <w:bottom w:val="single" w:sz="4" w:space="0" w:color="auto"/>
            </w:tcBorders>
            <w:vAlign w:val="center"/>
            <w:hideMark/>
          </w:tcPr>
          <w:p w14:paraId="48E98C13"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Q8</w:t>
            </w:r>
          </w:p>
        </w:tc>
        <w:tc>
          <w:tcPr>
            <w:tcW w:w="0" w:type="auto"/>
            <w:tcBorders>
              <w:top w:val="single" w:sz="4" w:space="0" w:color="auto"/>
              <w:bottom w:val="single" w:sz="4" w:space="0" w:color="auto"/>
            </w:tcBorders>
            <w:vAlign w:val="center"/>
            <w:hideMark/>
          </w:tcPr>
          <w:p w14:paraId="42AFA093"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Q9</w:t>
            </w:r>
          </w:p>
        </w:tc>
        <w:tc>
          <w:tcPr>
            <w:tcW w:w="1011" w:type="dxa"/>
            <w:tcBorders>
              <w:top w:val="single" w:sz="4" w:space="0" w:color="auto"/>
              <w:bottom w:val="single" w:sz="4" w:space="0" w:color="auto"/>
            </w:tcBorders>
            <w:vAlign w:val="center"/>
            <w:hideMark/>
          </w:tcPr>
          <w:p w14:paraId="66B001EA"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Q10</w:t>
            </w:r>
          </w:p>
        </w:tc>
        <w:tc>
          <w:tcPr>
            <w:tcW w:w="0" w:type="auto"/>
            <w:tcBorders>
              <w:top w:val="single" w:sz="4" w:space="0" w:color="auto"/>
              <w:bottom w:val="single" w:sz="4" w:space="0" w:color="auto"/>
            </w:tcBorders>
            <w:vAlign w:val="center"/>
            <w:hideMark/>
          </w:tcPr>
          <w:p w14:paraId="09465809"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Q11</w:t>
            </w:r>
          </w:p>
        </w:tc>
        <w:tc>
          <w:tcPr>
            <w:tcW w:w="0" w:type="auto"/>
            <w:tcBorders>
              <w:top w:val="single" w:sz="4" w:space="0" w:color="auto"/>
              <w:bottom w:val="single" w:sz="4" w:space="0" w:color="auto"/>
            </w:tcBorders>
            <w:vAlign w:val="center"/>
            <w:hideMark/>
          </w:tcPr>
          <w:p w14:paraId="6AAC059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Q12</w:t>
            </w:r>
          </w:p>
        </w:tc>
        <w:tc>
          <w:tcPr>
            <w:tcW w:w="0" w:type="auto"/>
            <w:tcBorders>
              <w:top w:val="single" w:sz="4" w:space="0" w:color="auto"/>
              <w:bottom w:val="single" w:sz="4" w:space="0" w:color="auto"/>
            </w:tcBorders>
            <w:vAlign w:val="center"/>
            <w:hideMark/>
          </w:tcPr>
          <w:p w14:paraId="645E83A2"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Q13</w:t>
            </w:r>
          </w:p>
        </w:tc>
        <w:tc>
          <w:tcPr>
            <w:tcW w:w="0" w:type="auto"/>
            <w:tcBorders>
              <w:top w:val="single" w:sz="4" w:space="0" w:color="auto"/>
              <w:bottom w:val="single" w:sz="4" w:space="0" w:color="auto"/>
            </w:tcBorders>
            <w:vAlign w:val="center"/>
            <w:hideMark/>
          </w:tcPr>
          <w:p w14:paraId="18ECD6A4"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Q14</w:t>
            </w:r>
          </w:p>
        </w:tc>
      </w:tr>
      <w:tr w:rsidR="0077338D" w:rsidRPr="0077338D" w14:paraId="222CD1AA" w14:textId="77777777" w:rsidTr="00170E40">
        <w:trPr>
          <w:trHeight w:val="312"/>
        </w:trPr>
        <w:tc>
          <w:tcPr>
            <w:tcW w:w="0" w:type="auto"/>
            <w:tcBorders>
              <w:top w:val="single" w:sz="4" w:space="0" w:color="auto"/>
            </w:tcBorders>
            <w:hideMark/>
          </w:tcPr>
          <w:p w14:paraId="14F648B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 xml:space="preserve">Akinci &amp; </w:t>
            </w:r>
            <w:proofErr w:type="spellStart"/>
            <w:r w:rsidRPr="0077338D">
              <w:rPr>
                <w:rFonts w:ascii="Times New Roman" w:eastAsia="Times New Roman" w:hAnsi="Times New Roman" w:cs="Times New Roman"/>
                <w:sz w:val="24"/>
                <w:szCs w:val="24"/>
                <w:lang w:eastAsia="en-GB"/>
              </w:rPr>
              <w:t>Atintas</w:t>
            </w:r>
            <w:proofErr w:type="spellEnd"/>
            <w:r w:rsidRPr="0077338D">
              <w:rPr>
                <w:rFonts w:ascii="Times New Roman" w:eastAsia="Times New Roman" w:hAnsi="Times New Roman" w:cs="Times New Roman"/>
                <w:sz w:val="24"/>
                <w:szCs w:val="24"/>
                <w:lang w:eastAsia="en-GB"/>
              </w:rPr>
              <w:t>, 2020</w:t>
            </w:r>
          </w:p>
        </w:tc>
        <w:tc>
          <w:tcPr>
            <w:tcW w:w="0" w:type="auto"/>
            <w:tcBorders>
              <w:top w:val="single" w:sz="4" w:space="0" w:color="auto"/>
            </w:tcBorders>
            <w:hideMark/>
          </w:tcPr>
          <w:p w14:paraId="474F7DCD"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top w:val="single" w:sz="4" w:space="0" w:color="auto"/>
            </w:tcBorders>
            <w:hideMark/>
          </w:tcPr>
          <w:p w14:paraId="4F99F099"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tcBorders>
              <w:top w:val="single" w:sz="4" w:space="0" w:color="auto"/>
            </w:tcBorders>
            <w:hideMark/>
          </w:tcPr>
          <w:p w14:paraId="5FAFF03A"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tcBorders>
              <w:top w:val="single" w:sz="4" w:space="0" w:color="auto"/>
            </w:tcBorders>
            <w:hideMark/>
          </w:tcPr>
          <w:p w14:paraId="7B9FC85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top w:val="single" w:sz="4" w:space="0" w:color="auto"/>
            </w:tcBorders>
            <w:hideMark/>
          </w:tcPr>
          <w:p w14:paraId="3BD4D72B"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top w:val="single" w:sz="4" w:space="0" w:color="auto"/>
            </w:tcBorders>
            <w:hideMark/>
          </w:tcPr>
          <w:p w14:paraId="6F4F5D5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top w:val="single" w:sz="4" w:space="0" w:color="auto"/>
            </w:tcBorders>
            <w:hideMark/>
          </w:tcPr>
          <w:p w14:paraId="52BBDE5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top w:val="single" w:sz="4" w:space="0" w:color="auto"/>
            </w:tcBorders>
            <w:hideMark/>
          </w:tcPr>
          <w:p w14:paraId="0C4CA6DD"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top w:val="single" w:sz="4" w:space="0" w:color="auto"/>
            </w:tcBorders>
            <w:hideMark/>
          </w:tcPr>
          <w:p w14:paraId="73AA332A"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tcBorders>
              <w:top w:val="single" w:sz="4" w:space="0" w:color="auto"/>
            </w:tcBorders>
            <w:hideMark/>
          </w:tcPr>
          <w:p w14:paraId="6379CC04" w14:textId="77777777" w:rsidR="0077338D" w:rsidRPr="0077338D" w:rsidRDefault="0077338D" w:rsidP="0077338D">
            <w:pPr>
              <w:tabs>
                <w:tab w:val="left" w:pos="761"/>
              </w:tabs>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r>
              <w:rPr>
                <w:rFonts w:ascii="Times New Roman" w:eastAsia="Times New Roman" w:hAnsi="Times New Roman" w:cs="Times New Roman"/>
                <w:sz w:val="24"/>
                <w:szCs w:val="24"/>
                <w:lang w:eastAsia="en-GB"/>
              </w:rPr>
              <w:tab/>
            </w:r>
          </w:p>
        </w:tc>
        <w:tc>
          <w:tcPr>
            <w:tcW w:w="0" w:type="auto"/>
            <w:tcBorders>
              <w:top w:val="single" w:sz="4" w:space="0" w:color="auto"/>
            </w:tcBorders>
            <w:hideMark/>
          </w:tcPr>
          <w:p w14:paraId="529495BC"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top w:val="single" w:sz="4" w:space="0" w:color="auto"/>
            </w:tcBorders>
            <w:hideMark/>
          </w:tcPr>
          <w:p w14:paraId="294136CC"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tcBorders>
              <w:top w:val="single" w:sz="4" w:space="0" w:color="auto"/>
            </w:tcBorders>
            <w:hideMark/>
          </w:tcPr>
          <w:p w14:paraId="45E0005C"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tcBorders>
              <w:top w:val="single" w:sz="4" w:space="0" w:color="auto"/>
            </w:tcBorders>
            <w:hideMark/>
          </w:tcPr>
          <w:p w14:paraId="3D7A9181" w14:textId="77777777" w:rsidR="0077338D" w:rsidRPr="0077338D" w:rsidRDefault="0077338D" w:rsidP="0077338D">
            <w:pPr>
              <w:spacing w:before="240"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BE88EAC" w14:textId="77777777" w:rsidTr="00170E40">
        <w:trPr>
          <w:trHeight w:val="312"/>
        </w:trPr>
        <w:tc>
          <w:tcPr>
            <w:tcW w:w="0" w:type="auto"/>
            <w:hideMark/>
          </w:tcPr>
          <w:p w14:paraId="2C742B6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Anestis</w:t>
            </w:r>
            <w:proofErr w:type="spellEnd"/>
            <w:r w:rsidRPr="0077338D">
              <w:rPr>
                <w:rFonts w:ascii="Times New Roman" w:eastAsia="Times New Roman" w:hAnsi="Times New Roman" w:cs="Times New Roman"/>
                <w:sz w:val="24"/>
                <w:szCs w:val="24"/>
                <w:lang w:eastAsia="en-GB"/>
              </w:rPr>
              <w:t xml:space="preserve"> et al., 2009</w:t>
            </w:r>
          </w:p>
        </w:tc>
        <w:tc>
          <w:tcPr>
            <w:tcW w:w="0" w:type="auto"/>
            <w:hideMark/>
          </w:tcPr>
          <w:p w14:paraId="7FB183D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81C2AF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BA85D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51244E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8EAFB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9CEDBE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FD6367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7F3F9A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5BE2D2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BD6F9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361B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3C11EC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2C683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4B62C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6AEFDCC4" w14:textId="77777777" w:rsidTr="00170E40">
        <w:trPr>
          <w:trHeight w:val="312"/>
        </w:trPr>
        <w:tc>
          <w:tcPr>
            <w:tcW w:w="0" w:type="auto"/>
            <w:hideMark/>
          </w:tcPr>
          <w:p w14:paraId="33B62F2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Arslan, 2010</w:t>
            </w:r>
          </w:p>
        </w:tc>
        <w:tc>
          <w:tcPr>
            <w:tcW w:w="0" w:type="auto"/>
            <w:hideMark/>
          </w:tcPr>
          <w:p w14:paraId="6F3AEC3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285C5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0F80FD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78429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44886B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D6507B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7E63D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6E40D0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5D4159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44D121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BBC5DE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46AC3A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EDFBC1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840D9C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5664BE1" w14:textId="77777777" w:rsidTr="00170E40">
        <w:trPr>
          <w:trHeight w:val="312"/>
        </w:trPr>
        <w:tc>
          <w:tcPr>
            <w:tcW w:w="0" w:type="auto"/>
            <w:hideMark/>
          </w:tcPr>
          <w:p w14:paraId="0EF5490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Balsamo, 2010</w:t>
            </w:r>
          </w:p>
        </w:tc>
        <w:tc>
          <w:tcPr>
            <w:tcW w:w="0" w:type="auto"/>
            <w:hideMark/>
          </w:tcPr>
          <w:p w14:paraId="72FEAAA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EE62CE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F5558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824DAB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8E8726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87AC3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8B5464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D566A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72EBD5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722F6B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35ECB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6B985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63D495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833C70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57B68A22" w14:textId="77777777" w:rsidTr="00170E40">
        <w:trPr>
          <w:trHeight w:val="312"/>
        </w:trPr>
        <w:tc>
          <w:tcPr>
            <w:tcW w:w="0" w:type="auto"/>
            <w:hideMark/>
          </w:tcPr>
          <w:p w14:paraId="4079BA6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Berry et al., 2005</w:t>
            </w:r>
          </w:p>
        </w:tc>
        <w:tc>
          <w:tcPr>
            <w:tcW w:w="0" w:type="auto"/>
            <w:hideMark/>
          </w:tcPr>
          <w:p w14:paraId="18F0B5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578257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D41327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93A1E4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5A961B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E1678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F2C044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6AE1D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0A8A0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01A49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B8618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26F362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F7CE11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4D4EDE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4A889A6" w14:textId="77777777" w:rsidTr="00170E40">
        <w:trPr>
          <w:trHeight w:val="312"/>
        </w:trPr>
        <w:tc>
          <w:tcPr>
            <w:tcW w:w="0" w:type="auto"/>
            <w:hideMark/>
          </w:tcPr>
          <w:p w14:paraId="10DE197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Besharat, 2011</w:t>
            </w:r>
          </w:p>
        </w:tc>
        <w:tc>
          <w:tcPr>
            <w:tcW w:w="0" w:type="auto"/>
            <w:hideMark/>
          </w:tcPr>
          <w:p w14:paraId="3382A46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5EA88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18AD6C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65D658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80CED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30C674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DE4094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043EE6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91F00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56D8DD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6E81A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4791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1AA003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D7F39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1EA8C76" w14:textId="77777777" w:rsidTr="00170E40">
        <w:trPr>
          <w:trHeight w:val="312"/>
        </w:trPr>
        <w:tc>
          <w:tcPr>
            <w:tcW w:w="0" w:type="auto"/>
            <w:hideMark/>
          </w:tcPr>
          <w:p w14:paraId="10B57C1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Boersma-van Dam et al., 2021</w:t>
            </w:r>
          </w:p>
        </w:tc>
        <w:tc>
          <w:tcPr>
            <w:tcW w:w="0" w:type="auto"/>
            <w:hideMark/>
          </w:tcPr>
          <w:p w14:paraId="1D65A56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F87BC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553C70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A0680C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6871F3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8C67C4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19A28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20BC5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8A050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94FD49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69ADD2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E22DB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A3EA4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0344FE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109E57F4" w14:textId="77777777" w:rsidTr="00170E40">
        <w:trPr>
          <w:trHeight w:val="312"/>
        </w:trPr>
        <w:tc>
          <w:tcPr>
            <w:tcW w:w="0" w:type="auto"/>
            <w:hideMark/>
          </w:tcPr>
          <w:p w14:paraId="7E1B7D8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Borders et al., 2010</w:t>
            </w:r>
          </w:p>
        </w:tc>
        <w:tc>
          <w:tcPr>
            <w:tcW w:w="0" w:type="auto"/>
            <w:hideMark/>
          </w:tcPr>
          <w:p w14:paraId="7FAABA9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3C629D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74412E3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3961A5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07E58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A1D889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A0EFB1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BC2F47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29A75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60679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178670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3145F1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F8FD08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B3F25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0269BF3C" w14:textId="77777777" w:rsidTr="00170E40">
        <w:trPr>
          <w:trHeight w:val="312"/>
        </w:trPr>
        <w:tc>
          <w:tcPr>
            <w:tcW w:w="0" w:type="auto"/>
            <w:hideMark/>
          </w:tcPr>
          <w:p w14:paraId="25A0EC3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Borders and Liang, 2011</w:t>
            </w:r>
          </w:p>
        </w:tc>
        <w:tc>
          <w:tcPr>
            <w:tcW w:w="0" w:type="auto"/>
            <w:hideMark/>
          </w:tcPr>
          <w:p w14:paraId="29935C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561444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F85DAA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D22C1C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97048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3968D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1B3F26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F677CE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02FDD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75220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4AAC33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60FB14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311CA2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C84818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4048A91" w14:textId="77777777" w:rsidTr="00170E40">
        <w:trPr>
          <w:trHeight w:val="312"/>
        </w:trPr>
        <w:tc>
          <w:tcPr>
            <w:tcW w:w="0" w:type="auto"/>
            <w:hideMark/>
          </w:tcPr>
          <w:p w14:paraId="2DDA14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Borders and Lu, 2016</w:t>
            </w:r>
          </w:p>
        </w:tc>
        <w:tc>
          <w:tcPr>
            <w:tcW w:w="0" w:type="auto"/>
            <w:hideMark/>
          </w:tcPr>
          <w:p w14:paraId="2248931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5403C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1C6AC9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7B8024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93C500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9D829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4B7AD6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58503D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AF22A4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74BA17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B7EC96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A01F0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77BF3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9307BA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4562CA91" w14:textId="77777777" w:rsidTr="00170E40">
        <w:trPr>
          <w:trHeight w:val="312"/>
        </w:trPr>
        <w:tc>
          <w:tcPr>
            <w:tcW w:w="0" w:type="auto"/>
            <w:hideMark/>
          </w:tcPr>
          <w:p w14:paraId="3D44886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Borders and Wiley, 2020</w:t>
            </w:r>
          </w:p>
        </w:tc>
        <w:tc>
          <w:tcPr>
            <w:tcW w:w="0" w:type="auto"/>
            <w:hideMark/>
          </w:tcPr>
          <w:p w14:paraId="0932E7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0DAEBC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69933F7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0F7088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00F2D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14648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052BFC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194CEC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4CE523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0A349CE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F737D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CB359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7777A2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D962DA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F0FFC3B" w14:textId="77777777" w:rsidTr="00170E40">
        <w:trPr>
          <w:trHeight w:val="312"/>
        </w:trPr>
        <w:tc>
          <w:tcPr>
            <w:tcW w:w="0" w:type="auto"/>
            <w:hideMark/>
          </w:tcPr>
          <w:p w14:paraId="7A02078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Brassard et al., 2014</w:t>
            </w:r>
          </w:p>
        </w:tc>
        <w:tc>
          <w:tcPr>
            <w:tcW w:w="0" w:type="auto"/>
            <w:hideMark/>
          </w:tcPr>
          <w:p w14:paraId="3AE77A4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D4A73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C482A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7830F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9E7C12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AEA95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478BAB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69EB1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1140F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9B5852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3C2A7E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DB0F8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943CCC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91469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r>
      <w:tr w:rsidR="0077338D" w:rsidRPr="0077338D" w14:paraId="7448F355" w14:textId="77777777" w:rsidTr="00170E40">
        <w:trPr>
          <w:trHeight w:val="312"/>
        </w:trPr>
        <w:tc>
          <w:tcPr>
            <w:tcW w:w="0" w:type="auto"/>
            <w:hideMark/>
          </w:tcPr>
          <w:p w14:paraId="534C46B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Breen &amp; Kashdan, 2011</w:t>
            </w:r>
          </w:p>
        </w:tc>
        <w:tc>
          <w:tcPr>
            <w:tcW w:w="0" w:type="auto"/>
            <w:hideMark/>
          </w:tcPr>
          <w:p w14:paraId="3041A7E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1D254E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D1101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06FCF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C79DC6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A08BA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BE88A7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3158EC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D13A9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66731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FD10C3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1CFAE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775512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1AB6DC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65BBF59" w14:textId="77777777" w:rsidTr="00170E40">
        <w:trPr>
          <w:trHeight w:val="312"/>
        </w:trPr>
        <w:tc>
          <w:tcPr>
            <w:tcW w:w="0" w:type="auto"/>
            <w:hideMark/>
          </w:tcPr>
          <w:p w14:paraId="2DABF5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Burns et al., 2015</w:t>
            </w:r>
          </w:p>
        </w:tc>
        <w:tc>
          <w:tcPr>
            <w:tcW w:w="0" w:type="auto"/>
            <w:hideMark/>
          </w:tcPr>
          <w:p w14:paraId="3900640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F09413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118E14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28767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F953D5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B5E2C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6D635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2E1189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078A3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F14404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6F1D4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667BFD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538CDD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F3D867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522EC51E" w14:textId="77777777" w:rsidTr="00170E40">
        <w:trPr>
          <w:trHeight w:val="312"/>
        </w:trPr>
        <w:tc>
          <w:tcPr>
            <w:tcW w:w="0" w:type="auto"/>
            <w:hideMark/>
          </w:tcPr>
          <w:p w14:paraId="28C87D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Carr, 2020</w:t>
            </w:r>
          </w:p>
        </w:tc>
        <w:tc>
          <w:tcPr>
            <w:tcW w:w="0" w:type="auto"/>
            <w:hideMark/>
          </w:tcPr>
          <w:p w14:paraId="2E86F5E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A9475E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C7C41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5D8DF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BFD3FC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D83DAE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72B40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723D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EAF1F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F5C8D0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C9AE17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CC96F2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6BAC10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58B0A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78140123" w14:textId="77777777" w:rsidTr="00170E40">
        <w:trPr>
          <w:trHeight w:val="312"/>
        </w:trPr>
        <w:tc>
          <w:tcPr>
            <w:tcW w:w="0" w:type="auto"/>
            <w:hideMark/>
          </w:tcPr>
          <w:p w14:paraId="674CF1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Cheung and Park, 2010</w:t>
            </w:r>
          </w:p>
        </w:tc>
        <w:tc>
          <w:tcPr>
            <w:tcW w:w="0" w:type="auto"/>
            <w:hideMark/>
          </w:tcPr>
          <w:p w14:paraId="0DD4FC2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ED9CC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47868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A5FFCA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F6BCD7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5B4FB7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1F931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559CBA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0E7267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EBB06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807B90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B5231C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B4CC99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BDF142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1DB9D11" w14:textId="77777777" w:rsidTr="00170E40">
        <w:trPr>
          <w:trHeight w:val="312"/>
        </w:trPr>
        <w:tc>
          <w:tcPr>
            <w:tcW w:w="0" w:type="auto"/>
            <w:hideMark/>
          </w:tcPr>
          <w:p w14:paraId="327CA3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lastRenderedPageBreak/>
              <w:t>Cho et al., 2020</w:t>
            </w:r>
          </w:p>
        </w:tc>
        <w:tc>
          <w:tcPr>
            <w:tcW w:w="0" w:type="auto"/>
            <w:hideMark/>
          </w:tcPr>
          <w:p w14:paraId="72876BE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04382B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8FB766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1F972C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9B4383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1DCA72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905B7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55AB9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0A37B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ACD20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A76CA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A55761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BA1379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2DD60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5F665E1" w14:textId="77777777" w:rsidTr="00170E40">
        <w:trPr>
          <w:trHeight w:val="312"/>
        </w:trPr>
        <w:tc>
          <w:tcPr>
            <w:tcW w:w="0" w:type="auto"/>
            <w:hideMark/>
          </w:tcPr>
          <w:p w14:paraId="212567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Cludius</w:t>
            </w:r>
            <w:proofErr w:type="spellEnd"/>
            <w:r w:rsidRPr="0077338D">
              <w:rPr>
                <w:rFonts w:ascii="Times New Roman" w:eastAsia="Times New Roman" w:hAnsi="Times New Roman" w:cs="Times New Roman"/>
                <w:sz w:val="24"/>
                <w:szCs w:val="24"/>
                <w:lang w:eastAsia="en-GB"/>
              </w:rPr>
              <w:t xml:space="preserve"> et al., 2021</w:t>
            </w:r>
          </w:p>
        </w:tc>
        <w:tc>
          <w:tcPr>
            <w:tcW w:w="0" w:type="auto"/>
            <w:hideMark/>
          </w:tcPr>
          <w:p w14:paraId="33014B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3A94DF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120326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B3A6C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B5089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BA7105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32AB8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8E805F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838AA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00F4697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B7F16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59E94D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FC15AF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7CAB1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E395467" w14:textId="77777777" w:rsidTr="00170E40">
        <w:trPr>
          <w:trHeight w:val="312"/>
        </w:trPr>
        <w:tc>
          <w:tcPr>
            <w:tcW w:w="0" w:type="auto"/>
            <w:hideMark/>
          </w:tcPr>
          <w:p w14:paraId="08AF711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Coleman et al., 2009</w:t>
            </w:r>
          </w:p>
        </w:tc>
        <w:tc>
          <w:tcPr>
            <w:tcW w:w="0" w:type="auto"/>
            <w:hideMark/>
          </w:tcPr>
          <w:p w14:paraId="4D93092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CD1F5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3DB7B66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BDDA5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12994E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342E89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8E2C8C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F3DF3F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C4D12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79976C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56F6C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EB3248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98E2E9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E9ED40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5FD7EE4" w14:textId="77777777" w:rsidTr="00170E40">
        <w:trPr>
          <w:trHeight w:val="312"/>
        </w:trPr>
        <w:tc>
          <w:tcPr>
            <w:tcW w:w="0" w:type="auto"/>
            <w:hideMark/>
          </w:tcPr>
          <w:p w14:paraId="7867EC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Conrad et al., 2021</w:t>
            </w:r>
          </w:p>
        </w:tc>
        <w:tc>
          <w:tcPr>
            <w:tcW w:w="0" w:type="auto"/>
            <w:hideMark/>
          </w:tcPr>
          <w:p w14:paraId="45E039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5FE8E6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A8CB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397747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45ACD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A9B8D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CA00B1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2D778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F2A67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8CB13E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1C8421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A9C41D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79705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7B4967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1F2CC3B8" w14:textId="77777777" w:rsidTr="00170E40">
        <w:trPr>
          <w:trHeight w:val="312"/>
        </w:trPr>
        <w:tc>
          <w:tcPr>
            <w:tcW w:w="0" w:type="auto"/>
            <w:hideMark/>
          </w:tcPr>
          <w:p w14:paraId="48F9D0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Consedine</w:t>
            </w:r>
            <w:proofErr w:type="spellEnd"/>
            <w:r w:rsidRPr="0077338D">
              <w:rPr>
                <w:rFonts w:ascii="Times New Roman" w:eastAsia="Times New Roman" w:hAnsi="Times New Roman" w:cs="Times New Roman"/>
                <w:sz w:val="24"/>
                <w:szCs w:val="24"/>
                <w:lang w:eastAsia="en-GB"/>
              </w:rPr>
              <w:t xml:space="preserve"> et al., 2005</w:t>
            </w:r>
          </w:p>
        </w:tc>
        <w:tc>
          <w:tcPr>
            <w:tcW w:w="0" w:type="auto"/>
            <w:hideMark/>
          </w:tcPr>
          <w:p w14:paraId="32AFCA7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CF7B4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5CB57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4EA23D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56EFA9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D8FCE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0E134E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AB7236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ED6546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F70C46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42BFD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6BB80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23F1FB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AB0E42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116C959" w14:textId="77777777" w:rsidTr="00170E40">
        <w:trPr>
          <w:trHeight w:val="312"/>
        </w:trPr>
        <w:tc>
          <w:tcPr>
            <w:tcW w:w="0" w:type="auto"/>
            <w:hideMark/>
          </w:tcPr>
          <w:p w14:paraId="135D3BB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Crisan &amp; Nechita, 2021</w:t>
            </w:r>
          </w:p>
        </w:tc>
        <w:tc>
          <w:tcPr>
            <w:tcW w:w="0" w:type="auto"/>
            <w:hideMark/>
          </w:tcPr>
          <w:p w14:paraId="7AC9AFF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6700BD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384109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C7DAC5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C48D7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18C943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1FD92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5DA83B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AFBBA9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63210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9AC23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BECD82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82D42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2B4C16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8A5B238" w14:textId="77777777" w:rsidTr="00170E40">
        <w:trPr>
          <w:trHeight w:val="312"/>
        </w:trPr>
        <w:tc>
          <w:tcPr>
            <w:tcW w:w="0" w:type="auto"/>
            <w:hideMark/>
          </w:tcPr>
          <w:p w14:paraId="02372EB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Da Costa et al., 2020</w:t>
            </w:r>
          </w:p>
        </w:tc>
        <w:tc>
          <w:tcPr>
            <w:tcW w:w="0" w:type="auto"/>
            <w:hideMark/>
          </w:tcPr>
          <w:p w14:paraId="1A0875C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9B35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A6CCB0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AB58A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8301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D29A8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F7E4C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B595EC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9529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0B6D56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CA5C9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F2A9E7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10D54F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1780F0E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E888E02" w14:textId="77777777" w:rsidTr="00170E40">
        <w:trPr>
          <w:trHeight w:val="312"/>
        </w:trPr>
        <w:tc>
          <w:tcPr>
            <w:tcW w:w="0" w:type="auto"/>
            <w:hideMark/>
          </w:tcPr>
          <w:p w14:paraId="17B2D6F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 xml:space="preserve">Dahlen &amp; </w:t>
            </w:r>
            <w:proofErr w:type="spellStart"/>
            <w:r w:rsidRPr="0077338D">
              <w:rPr>
                <w:rFonts w:ascii="Times New Roman" w:eastAsia="Times New Roman" w:hAnsi="Times New Roman" w:cs="Times New Roman"/>
                <w:sz w:val="24"/>
                <w:szCs w:val="24"/>
                <w:lang w:eastAsia="en-GB"/>
              </w:rPr>
              <w:t>Deffenbacher</w:t>
            </w:r>
            <w:proofErr w:type="spellEnd"/>
            <w:r w:rsidRPr="0077338D">
              <w:rPr>
                <w:rFonts w:ascii="Times New Roman" w:eastAsia="Times New Roman" w:hAnsi="Times New Roman" w:cs="Times New Roman"/>
                <w:sz w:val="24"/>
                <w:szCs w:val="24"/>
                <w:lang w:eastAsia="en-GB"/>
              </w:rPr>
              <w:t>, 2000</w:t>
            </w:r>
          </w:p>
        </w:tc>
        <w:tc>
          <w:tcPr>
            <w:tcW w:w="0" w:type="auto"/>
            <w:hideMark/>
          </w:tcPr>
          <w:p w14:paraId="42ED027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98569E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E3D6DE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5AD473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391500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8B8414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FAE5DF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F56FC7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720E64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42F2B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0AC602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FF252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E4B1C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2930D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0B09ECF" w14:textId="77777777" w:rsidTr="00170E40">
        <w:trPr>
          <w:trHeight w:val="312"/>
        </w:trPr>
        <w:tc>
          <w:tcPr>
            <w:tcW w:w="0" w:type="auto"/>
            <w:hideMark/>
          </w:tcPr>
          <w:p w14:paraId="57BCED0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Deffenbacher</w:t>
            </w:r>
            <w:proofErr w:type="spellEnd"/>
            <w:r w:rsidRPr="0077338D">
              <w:rPr>
                <w:rFonts w:ascii="Times New Roman" w:eastAsia="Times New Roman" w:hAnsi="Times New Roman" w:cs="Times New Roman"/>
                <w:sz w:val="24"/>
                <w:szCs w:val="24"/>
                <w:lang w:eastAsia="en-GB"/>
              </w:rPr>
              <w:t xml:space="preserve"> et al., 1990</w:t>
            </w:r>
          </w:p>
        </w:tc>
        <w:tc>
          <w:tcPr>
            <w:tcW w:w="0" w:type="auto"/>
            <w:hideMark/>
          </w:tcPr>
          <w:p w14:paraId="05DEA4D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96606B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A1CB96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B0188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4D3CA7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C0A6C3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76E6CDB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F6F3E8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9BF62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E43887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NO/CD</w:t>
            </w:r>
          </w:p>
        </w:tc>
        <w:tc>
          <w:tcPr>
            <w:tcW w:w="0" w:type="auto"/>
            <w:hideMark/>
          </w:tcPr>
          <w:p w14:paraId="7FD76A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6194F7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40ACA5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D026A3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D67121E" w14:textId="77777777" w:rsidTr="00170E40">
        <w:trPr>
          <w:trHeight w:val="312"/>
        </w:trPr>
        <w:tc>
          <w:tcPr>
            <w:tcW w:w="0" w:type="auto"/>
            <w:hideMark/>
          </w:tcPr>
          <w:p w14:paraId="72C950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Dennison &amp; Stewart, 2006</w:t>
            </w:r>
          </w:p>
        </w:tc>
        <w:tc>
          <w:tcPr>
            <w:tcW w:w="0" w:type="auto"/>
            <w:hideMark/>
          </w:tcPr>
          <w:p w14:paraId="30198E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F8C2F5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00063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9EAE3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31B6B3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DED7D6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AF03FB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DC845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71AC9F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9C220C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7715B2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2C2924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D718C1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81875A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4F95A182" w14:textId="77777777" w:rsidTr="00170E40">
        <w:trPr>
          <w:trHeight w:val="312"/>
        </w:trPr>
        <w:tc>
          <w:tcPr>
            <w:tcW w:w="0" w:type="auto"/>
            <w:hideMark/>
          </w:tcPr>
          <w:p w14:paraId="462EB91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Donahue et al., 2017</w:t>
            </w:r>
          </w:p>
        </w:tc>
        <w:tc>
          <w:tcPr>
            <w:tcW w:w="0" w:type="auto"/>
            <w:hideMark/>
          </w:tcPr>
          <w:p w14:paraId="097F063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1F21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6A44208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2A1B4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0A35A0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5C066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3588A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DC8BDB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9222AA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ECA621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521F30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27467B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6BBEF8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2E03D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DCE7280" w14:textId="77777777" w:rsidTr="00170E40">
        <w:trPr>
          <w:trHeight w:val="312"/>
        </w:trPr>
        <w:tc>
          <w:tcPr>
            <w:tcW w:w="0" w:type="auto"/>
            <w:hideMark/>
          </w:tcPr>
          <w:p w14:paraId="3A61CA8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Emmerich et al., 2020</w:t>
            </w:r>
          </w:p>
        </w:tc>
        <w:tc>
          <w:tcPr>
            <w:tcW w:w="0" w:type="auto"/>
            <w:hideMark/>
          </w:tcPr>
          <w:p w14:paraId="54A254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2A0424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91AF97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AE0AD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86865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7F9F65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B6C7E8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C3E3AB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A5E36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B57C7F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19EAA6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FB948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47CA1A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C5180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9D77B21" w14:textId="77777777" w:rsidTr="00170E40">
        <w:trPr>
          <w:trHeight w:val="312"/>
        </w:trPr>
        <w:tc>
          <w:tcPr>
            <w:tcW w:w="0" w:type="auto"/>
            <w:hideMark/>
          </w:tcPr>
          <w:p w14:paraId="740B9D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Franco et al., 2020</w:t>
            </w:r>
          </w:p>
        </w:tc>
        <w:tc>
          <w:tcPr>
            <w:tcW w:w="0" w:type="auto"/>
            <w:hideMark/>
          </w:tcPr>
          <w:p w14:paraId="7CAE9A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6BCCB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F98886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9B6AD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02C6F3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3B3299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B4E1C9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EAC2EF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E93811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BCC3F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NO/CD</w:t>
            </w:r>
          </w:p>
        </w:tc>
        <w:tc>
          <w:tcPr>
            <w:tcW w:w="0" w:type="auto"/>
            <w:hideMark/>
          </w:tcPr>
          <w:p w14:paraId="25B66D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2A350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E4966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0F2489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FC1D1ED" w14:textId="77777777" w:rsidTr="00170E40">
        <w:trPr>
          <w:trHeight w:val="312"/>
        </w:trPr>
        <w:tc>
          <w:tcPr>
            <w:tcW w:w="0" w:type="auto"/>
            <w:hideMark/>
          </w:tcPr>
          <w:p w14:paraId="5A9B9C9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Fresnics</w:t>
            </w:r>
            <w:proofErr w:type="spellEnd"/>
            <w:r w:rsidRPr="0077338D">
              <w:rPr>
                <w:rFonts w:ascii="Times New Roman" w:eastAsia="Times New Roman" w:hAnsi="Times New Roman" w:cs="Times New Roman"/>
                <w:sz w:val="24"/>
                <w:szCs w:val="24"/>
                <w:lang w:eastAsia="en-GB"/>
              </w:rPr>
              <w:t xml:space="preserve"> &amp; Borders, 2017</w:t>
            </w:r>
          </w:p>
        </w:tc>
        <w:tc>
          <w:tcPr>
            <w:tcW w:w="0" w:type="auto"/>
            <w:hideMark/>
          </w:tcPr>
          <w:p w14:paraId="1ED44E8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D4CDC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BE660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022ED9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701E8D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F4D526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45FDFC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D19FBA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8D87F1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48FDF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E779B2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D8797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5BAF24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FECF00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BA74378" w14:textId="77777777" w:rsidTr="00170E40">
        <w:trPr>
          <w:trHeight w:val="312"/>
        </w:trPr>
        <w:tc>
          <w:tcPr>
            <w:tcW w:w="0" w:type="auto"/>
            <w:hideMark/>
          </w:tcPr>
          <w:p w14:paraId="499F5B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Garofalo et al., 2016</w:t>
            </w:r>
          </w:p>
        </w:tc>
        <w:tc>
          <w:tcPr>
            <w:tcW w:w="0" w:type="auto"/>
            <w:hideMark/>
          </w:tcPr>
          <w:p w14:paraId="0188CE3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85C46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719293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B4E2C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08FDB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0FB5BE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602A7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EE4BF9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89725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98E2B0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E16888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181B31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7C024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13FE7A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2CF0BE9" w14:textId="77777777" w:rsidTr="00170E40">
        <w:trPr>
          <w:trHeight w:val="312"/>
        </w:trPr>
        <w:tc>
          <w:tcPr>
            <w:tcW w:w="0" w:type="auto"/>
            <w:hideMark/>
          </w:tcPr>
          <w:p w14:paraId="1AD41CD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Garofalo et al., 2018</w:t>
            </w:r>
          </w:p>
        </w:tc>
        <w:tc>
          <w:tcPr>
            <w:tcW w:w="0" w:type="auto"/>
            <w:hideMark/>
          </w:tcPr>
          <w:p w14:paraId="56638A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3D459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484A7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01E41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3C63F3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7746EF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8D1938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B14A84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288CBF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506903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7D83A2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D3B69F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B5C2DD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5A57BBD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1E7F7F1C" w14:textId="77777777" w:rsidTr="00170E40">
        <w:trPr>
          <w:trHeight w:val="312"/>
        </w:trPr>
        <w:tc>
          <w:tcPr>
            <w:tcW w:w="0" w:type="auto"/>
            <w:hideMark/>
          </w:tcPr>
          <w:p w14:paraId="0C08E8C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Garofalo et al., 2020</w:t>
            </w:r>
          </w:p>
        </w:tc>
        <w:tc>
          <w:tcPr>
            <w:tcW w:w="0" w:type="auto"/>
            <w:hideMark/>
          </w:tcPr>
          <w:p w14:paraId="4CD7BD6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B8972A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33005BE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FD210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8DEFD9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DB2EF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48E9E7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E6109A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BBC12C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9291E3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97991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7C7347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033E9B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229A8F7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4D1135C" w14:textId="77777777" w:rsidTr="00170E40">
        <w:trPr>
          <w:trHeight w:val="312"/>
        </w:trPr>
        <w:tc>
          <w:tcPr>
            <w:tcW w:w="0" w:type="auto"/>
            <w:hideMark/>
          </w:tcPr>
          <w:p w14:paraId="1C3C20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Halperin &amp; Gross, 2011</w:t>
            </w:r>
          </w:p>
        </w:tc>
        <w:tc>
          <w:tcPr>
            <w:tcW w:w="0" w:type="auto"/>
            <w:hideMark/>
          </w:tcPr>
          <w:p w14:paraId="49BF50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B7EAC1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59DA7E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C4035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657C3A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FF9B2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92FF15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F4A69E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4CE825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16B03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1841C0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435328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7E159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B422D5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06A605F" w14:textId="77777777" w:rsidTr="00170E40">
        <w:trPr>
          <w:trHeight w:val="312"/>
        </w:trPr>
        <w:tc>
          <w:tcPr>
            <w:tcW w:w="0" w:type="auto"/>
            <w:hideMark/>
          </w:tcPr>
          <w:p w14:paraId="63E053D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Han et al., 2020</w:t>
            </w:r>
          </w:p>
        </w:tc>
        <w:tc>
          <w:tcPr>
            <w:tcW w:w="0" w:type="auto"/>
            <w:hideMark/>
          </w:tcPr>
          <w:p w14:paraId="2FFE1BE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28145D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461D3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8035E8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44D6B0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0FE88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258359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D0DDF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845959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08971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3DE3BD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FAAF74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CDC69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EC3965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E02F26E" w14:textId="77777777" w:rsidTr="00170E40">
        <w:trPr>
          <w:trHeight w:val="312"/>
        </w:trPr>
        <w:tc>
          <w:tcPr>
            <w:tcW w:w="0" w:type="auto"/>
            <w:hideMark/>
          </w:tcPr>
          <w:p w14:paraId="0BFFBFC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Haukkala</w:t>
            </w:r>
            <w:proofErr w:type="spellEnd"/>
            <w:r w:rsidRPr="0077338D">
              <w:rPr>
                <w:rFonts w:ascii="Times New Roman" w:eastAsia="Times New Roman" w:hAnsi="Times New Roman" w:cs="Times New Roman"/>
                <w:sz w:val="24"/>
                <w:szCs w:val="24"/>
                <w:lang w:eastAsia="en-GB"/>
              </w:rPr>
              <w:t xml:space="preserve"> et al., 2002</w:t>
            </w:r>
          </w:p>
        </w:tc>
        <w:tc>
          <w:tcPr>
            <w:tcW w:w="0" w:type="auto"/>
            <w:hideMark/>
          </w:tcPr>
          <w:p w14:paraId="6D6E0A8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19656A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6F86840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682FD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A46906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01E62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8A3C9F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E87C2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34E47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D2CF4B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0B490E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A28D7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BE999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BBA1D4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64D8750B" w14:textId="77777777" w:rsidTr="00170E40">
        <w:trPr>
          <w:trHeight w:val="312"/>
        </w:trPr>
        <w:tc>
          <w:tcPr>
            <w:tcW w:w="0" w:type="auto"/>
            <w:hideMark/>
          </w:tcPr>
          <w:p w14:paraId="021B4F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lastRenderedPageBreak/>
              <w:t>Jordaan &amp; Hesselink, 2022</w:t>
            </w:r>
          </w:p>
        </w:tc>
        <w:tc>
          <w:tcPr>
            <w:tcW w:w="0" w:type="auto"/>
            <w:hideMark/>
          </w:tcPr>
          <w:p w14:paraId="6CC712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C0CBAB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7F64EE2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E1133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501B1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D15F4C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E5D37A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92D2A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4C0B3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FBB6ED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496FAA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F1AB1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E13D8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A727AA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31FBC345" w14:textId="77777777" w:rsidTr="00170E40">
        <w:trPr>
          <w:trHeight w:val="312"/>
        </w:trPr>
        <w:tc>
          <w:tcPr>
            <w:tcW w:w="0" w:type="auto"/>
            <w:hideMark/>
          </w:tcPr>
          <w:p w14:paraId="5F0F040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Kale and Gedik, 2020</w:t>
            </w:r>
          </w:p>
        </w:tc>
        <w:tc>
          <w:tcPr>
            <w:tcW w:w="0" w:type="auto"/>
            <w:hideMark/>
          </w:tcPr>
          <w:p w14:paraId="5E1B7DD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FB7FC3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052E88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7AE44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37E201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8A243D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412349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978BE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820DF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032DF7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AB2F73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EC230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AD50BB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A2E6C4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5AB2599" w14:textId="77777777" w:rsidTr="00170E40">
        <w:trPr>
          <w:trHeight w:val="312"/>
        </w:trPr>
        <w:tc>
          <w:tcPr>
            <w:tcW w:w="0" w:type="auto"/>
            <w:hideMark/>
          </w:tcPr>
          <w:p w14:paraId="227EF6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Kitayama et al., 2015</w:t>
            </w:r>
          </w:p>
        </w:tc>
        <w:tc>
          <w:tcPr>
            <w:tcW w:w="0" w:type="auto"/>
            <w:hideMark/>
          </w:tcPr>
          <w:p w14:paraId="7BCCDE9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D83511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1C9E4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95773A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AFDAD1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0E5D46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C130C3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1C9C4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4974A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0B24E2B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11B5F2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21E23A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9497D6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35CAED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CC29FAC" w14:textId="77777777" w:rsidTr="00170E40">
        <w:trPr>
          <w:trHeight w:val="312"/>
        </w:trPr>
        <w:tc>
          <w:tcPr>
            <w:tcW w:w="0" w:type="auto"/>
            <w:hideMark/>
          </w:tcPr>
          <w:p w14:paraId="01CE35B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Kong et al., 2020</w:t>
            </w:r>
          </w:p>
        </w:tc>
        <w:tc>
          <w:tcPr>
            <w:tcW w:w="0" w:type="auto"/>
            <w:hideMark/>
          </w:tcPr>
          <w:p w14:paraId="5EEFDD8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313B1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1591856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AB801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02D14C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C83737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F2175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7754B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9F08F9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CC1383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95B3A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91AC1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285BF4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1008CD8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73D254A0" w14:textId="77777777" w:rsidTr="00170E40">
        <w:trPr>
          <w:trHeight w:val="312"/>
        </w:trPr>
        <w:tc>
          <w:tcPr>
            <w:tcW w:w="0" w:type="auto"/>
            <w:hideMark/>
          </w:tcPr>
          <w:p w14:paraId="117450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Kosson</w:t>
            </w:r>
            <w:proofErr w:type="spellEnd"/>
            <w:r w:rsidRPr="0077338D">
              <w:rPr>
                <w:rFonts w:ascii="Times New Roman" w:eastAsia="Times New Roman" w:hAnsi="Times New Roman" w:cs="Times New Roman"/>
                <w:sz w:val="24"/>
                <w:szCs w:val="24"/>
                <w:lang w:eastAsia="en-GB"/>
              </w:rPr>
              <w:t xml:space="preserve"> et al., 2020</w:t>
            </w:r>
          </w:p>
        </w:tc>
        <w:tc>
          <w:tcPr>
            <w:tcW w:w="0" w:type="auto"/>
            <w:hideMark/>
          </w:tcPr>
          <w:p w14:paraId="363639C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95455E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1371208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5F9435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69A37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557C40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30890C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AA6A6F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65F291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BB74FE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28081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6FD49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E092FD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217DD7F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7FE6500E" w14:textId="77777777" w:rsidTr="00170E40">
        <w:trPr>
          <w:trHeight w:val="312"/>
        </w:trPr>
        <w:tc>
          <w:tcPr>
            <w:tcW w:w="0" w:type="auto"/>
            <w:hideMark/>
          </w:tcPr>
          <w:p w14:paraId="670565A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Lee et al., 2016</w:t>
            </w:r>
          </w:p>
        </w:tc>
        <w:tc>
          <w:tcPr>
            <w:tcW w:w="0" w:type="auto"/>
            <w:hideMark/>
          </w:tcPr>
          <w:p w14:paraId="551A78E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39C6A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2B0145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80815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9282B2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50C9B5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FB00B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FA9D4D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15793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7C91D9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80866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2B16D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BC5447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29DF8B0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4FB464D8" w14:textId="77777777" w:rsidTr="00170E40">
        <w:trPr>
          <w:trHeight w:val="312"/>
        </w:trPr>
        <w:tc>
          <w:tcPr>
            <w:tcW w:w="0" w:type="auto"/>
            <w:hideMark/>
          </w:tcPr>
          <w:p w14:paraId="419A1D3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Li &amp; Xia, 2020</w:t>
            </w:r>
          </w:p>
        </w:tc>
        <w:tc>
          <w:tcPr>
            <w:tcW w:w="0" w:type="auto"/>
            <w:hideMark/>
          </w:tcPr>
          <w:p w14:paraId="506002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4DC15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7FE3D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F7DF81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EA4215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99EDD6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A1262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74200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A14A0D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46C172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1C0F6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2CFBD6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6A2A19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81DF10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AC55CA6" w14:textId="77777777" w:rsidTr="00170E40">
        <w:trPr>
          <w:trHeight w:val="312"/>
        </w:trPr>
        <w:tc>
          <w:tcPr>
            <w:tcW w:w="0" w:type="auto"/>
            <w:hideMark/>
          </w:tcPr>
          <w:p w14:paraId="568DA15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Li et al., 2021</w:t>
            </w:r>
          </w:p>
        </w:tc>
        <w:tc>
          <w:tcPr>
            <w:tcW w:w="0" w:type="auto"/>
            <w:hideMark/>
          </w:tcPr>
          <w:p w14:paraId="127440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0C945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46FBA2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D440AE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6624ED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477D7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48DE04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1E1E74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27330D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082586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2B789E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632F48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DCD2E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194211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CF0DBB2" w14:textId="77777777" w:rsidTr="00170E40">
        <w:trPr>
          <w:trHeight w:val="312"/>
        </w:trPr>
        <w:tc>
          <w:tcPr>
            <w:tcW w:w="0" w:type="auto"/>
            <w:hideMark/>
          </w:tcPr>
          <w:p w14:paraId="70800D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Martin &amp; Dahlen, 2005</w:t>
            </w:r>
          </w:p>
        </w:tc>
        <w:tc>
          <w:tcPr>
            <w:tcW w:w="0" w:type="auto"/>
            <w:hideMark/>
          </w:tcPr>
          <w:p w14:paraId="7B8421C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711E5A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4A32CD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2FB849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61ADBA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F68F8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90A4DA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B51FB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33C66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F3193A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BFA286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6ED2D9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3FA035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95E2C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188E51A7" w14:textId="77777777" w:rsidTr="00170E40">
        <w:trPr>
          <w:trHeight w:val="312"/>
        </w:trPr>
        <w:tc>
          <w:tcPr>
            <w:tcW w:w="0" w:type="auto"/>
            <w:hideMark/>
          </w:tcPr>
          <w:p w14:paraId="3F292A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Massa et al., 2019</w:t>
            </w:r>
          </w:p>
        </w:tc>
        <w:tc>
          <w:tcPr>
            <w:tcW w:w="0" w:type="auto"/>
            <w:hideMark/>
          </w:tcPr>
          <w:p w14:paraId="294423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22B5D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6CA750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9DA46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5BE92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B195F6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76CEF1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91C4F6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E1F997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D4EF26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8B6052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9F16C3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DD022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4D91F3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247937A" w14:textId="77777777" w:rsidTr="00170E40">
        <w:trPr>
          <w:trHeight w:val="312"/>
        </w:trPr>
        <w:tc>
          <w:tcPr>
            <w:tcW w:w="0" w:type="auto"/>
            <w:hideMark/>
          </w:tcPr>
          <w:p w14:paraId="26DF25A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Mathes et al., 2020</w:t>
            </w:r>
          </w:p>
        </w:tc>
        <w:tc>
          <w:tcPr>
            <w:tcW w:w="0" w:type="auto"/>
            <w:hideMark/>
          </w:tcPr>
          <w:p w14:paraId="59B40A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B0B541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CA6A34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FD2538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2DB242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C05E7C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994B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904A6B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27D70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14783E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F9B905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DFDB45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8FB8FB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5C56F3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79092B3" w14:textId="77777777" w:rsidTr="00170E40">
        <w:trPr>
          <w:trHeight w:val="312"/>
        </w:trPr>
        <w:tc>
          <w:tcPr>
            <w:tcW w:w="0" w:type="auto"/>
            <w:hideMark/>
          </w:tcPr>
          <w:p w14:paraId="7EF17FB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McGonigal &amp; Dixon-Gordon, 2020</w:t>
            </w:r>
          </w:p>
        </w:tc>
        <w:tc>
          <w:tcPr>
            <w:tcW w:w="0" w:type="auto"/>
            <w:hideMark/>
          </w:tcPr>
          <w:p w14:paraId="11BD8BD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FAB64D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D4877D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02AC7A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43B1D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AF129C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0DCF8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83484A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D301C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6F8B45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E2B678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22EFAB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F55D89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B62C7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DA8C5B1" w14:textId="77777777" w:rsidTr="00170E40">
        <w:trPr>
          <w:trHeight w:val="312"/>
        </w:trPr>
        <w:tc>
          <w:tcPr>
            <w:tcW w:w="0" w:type="auto"/>
            <w:hideMark/>
          </w:tcPr>
          <w:p w14:paraId="7058AD7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Monaci</w:t>
            </w:r>
            <w:proofErr w:type="spellEnd"/>
            <w:r w:rsidRPr="0077338D">
              <w:rPr>
                <w:rFonts w:ascii="Times New Roman" w:eastAsia="Times New Roman" w:hAnsi="Times New Roman" w:cs="Times New Roman"/>
                <w:sz w:val="24"/>
                <w:szCs w:val="24"/>
                <w:lang w:eastAsia="en-GB"/>
              </w:rPr>
              <w:t xml:space="preserve"> &amp; Veronesi, 2019</w:t>
            </w:r>
          </w:p>
        </w:tc>
        <w:tc>
          <w:tcPr>
            <w:tcW w:w="0" w:type="auto"/>
            <w:hideMark/>
          </w:tcPr>
          <w:p w14:paraId="1504E47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7BE52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B7FF4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6D22CB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809ED6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FE647F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064832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B07A17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ECA44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0B5761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C7F731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06E4D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2AFAB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84D6F0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D0C4F6C" w14:textId="77777777" w:rsidTr="00170E40">
        <w:trPr>
          <w:trHeight w:val="312"/>
        </w:trPr>
        <w:tc>
          <w:tcPr>
            <w:tcW w:w="0" w:type="auto"/>
            <w:hideMark/>
          </w:tcPr>
          <w:p w14:paraId="5EB4FE0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 xml:space="preserve">Moron &amp; </w:t>
            </w:r>
            <w:proofErr w:type="spellStart"/>
            <w:r w:rsidRPr="0077338D">
              <w:rPr>
                <w:rFonts w:ascii="Times New Roman" w:eastAsia="Times New Roman" w:hAnsi="Times New Roman" w:cs="Times New Roman"/>
                <w:sz w:val="24"/>
                <w:szCs w:val="24"/>
                <w:lang w:eastAsia="en-GB"/>
              </w:rPr>
              <w:t>Biolik</w:t>
            </w:r>
            <w:proofErr w:type="spellEnd"/>
            <w:r w:rsidRPr="0077338D">
              <w:rPr>
                <w:rFonts w:ascii="Times New Roman" w:eastAsia="Times New Roman" w:hAnsi="Times New Roman" w:cs="Times New Roman"/>
                <w:sz w:val="24"/>
                <w:szCs w:val="24"/>
                <w:lang w:eastAsia="en-GB"/>
              </w:rPr>
              <w:t>-Moron, 2021</w:t>
            </w:r>
          </w:p>
        </w:tc>
        <w:tc>
          <w:tcPr>
            <w:tcW w:w="0" w:type="auto"/>
            <w:hideMark/>
          </w:tcPr>
          <w:p w14:paraId="60822D8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D189B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340BF4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9A35C8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22973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910EF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9BA402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93B31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EDED50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59F2BA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65ABC2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1EFE74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B88457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5DEBD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D2AAB0A" w14:textId="77777777" w:rsidTr="00170E40">
        <w:trPr>
          <w:trHeight w:val="312"/>
        </w:trPr>
        <w:tc>
          <w:tcPr>
            <w:tcW w:w="0" w:type="auto"/>
            <w:hideMark/>
          </w:tcPr>
          <w:p w14:paraId="1C4FC7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Navarro-Haro et al., 2021</w:t>
            </w:r>
          </w:p>
        </w:tc>
        <w:tc>
          <w:tcPr>
            <w:tcW w:w="0" w:type="auto"/>
            <w:hideMark/>
          </w:tcPr>
          <w:p w14:paraId="3BA6C2C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78B881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EEFAE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C1936A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53034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1B1ADB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862D13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2006B7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526A6B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6D5A99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DD714A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F3F9FD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6E2A5E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004A49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4957970" w14:textId="77777777" w:rsidTr="00170E40">
        <w:trPr>
          <w:trHeight w:val="312"/>
        </w:trPr>
        <w:tc>
          <w:tcPr>
            <w:tcW w:w="0" w:type="auto"/>
            <w:hideMark/>
          </w:tcPr>
          <w:p w14:paraId="18F0805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Offredi et al., 2016</w:t>
            </w:r>
          </w:p>
        </w:tc>
        <w:tc>
          <w:tcPr>
            <w:tcW w:w="0" w:type="auto"/>
            <w:hideMark/>
          </w:tcPr>
          <w:p w14:paraId="5D785E0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DBCE76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306034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8B7AE4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9A6AA1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9D76D2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8841BC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F29B51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154E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27E17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A5A2B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03DFF3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57429C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472D65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8458D2B" w14:textId="77777777" w:rsidTr="00170E40">
        <w:trPr>
          <w:trHeight w:val="312"/>
        </w:trPr>
        <w:tc>
          <w:tcPr>
            <w:tcW w:w="0" w:type="auto"/>
            <w:hideMark/>
          </w:tcPr>
          <w:p w14:paraId="7560692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Park et al., 2018</w:t>
            </w:r>
          </w:p>
        </w:tc>
        <w:tc>
          <w:tcPr>
            <w:tcW w:w="0" w:type="auto"/>
            <w:hideMark/>
          </w:tcPr>
          <w:p w14:paraId="0EAE97C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B01269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6339B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4E4FD6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FD9EA1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5F6BC3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59E67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90813A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5E5BC5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976251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47925D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6AD7E2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8CD57D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8B08E0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1152D26E" w14:textId="77777777" w:rsidTr="00170E40">
        <w:trPr>
          <w:trHeight w:val="312"/>
        </w:trPr>
        <w:tc>
          <w:tcPr>
            <w:tcW w:w="0" w:type="auto"/>
            <w:hideMark/>
          </w:tcPr>
          <w:p w14:paraId="0F45706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Peled &amp; Moretti, 2010</w:t>
            </w:r>
          </w:p>
        </w:tc>
        <w:tc>
          <w:tcPr>
            <w:tcW w:w="0" w:type="auto"/>
            <w:hideMark/>
          </w:tcPr>
          <w:p w14:paraId="75F5173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687D0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3630BA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9C2560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F6A9D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81DFEA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1BF24F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CF8BD9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D8F133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4E1F7E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BEF62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992965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79DA7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63744B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45801B6C" w14:textId="77777777" w:rsidTr="00170E40">
        <w:trPr>
          <w:trHeight w:val="312"/>
        </w:trPr>
        <w:tc>
          <w:tcPr>
            <w:tcW w:w="0" w:type="auto"/>
            <w:hideMark/>
          </w:tcPr>
          <w:p w14:paraId="315F8C2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Peters et al., 2015</w:t>
            </w:r>
          </w:p>
        </w:tc>
        <w:tc>
          <w:tcPr>
            <w:tcW w:w="0" w:type="auto"/>
            <w:hideMark/>
          </w:tcPr>
          <w:p w14:paraId="39912F0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1C5FE7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73C06D7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834D5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DEAF86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A476A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0D3FC4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F815D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0EDA69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81C98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C085A0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771EB7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86263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119CC00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16D952D" w14:textId="77777777" w:rsidTr="00170E40">
        <w:trPr>
          <w:trHeight w:val="312"/>
        </w:trPr>
        <w:tc>
          <w:tcPr>
            <w:tcW w:w="0" w:type="auto"/>
            <w:hideMark/>
          </w:tcPr>
          <w:p w14:paraId="5EA8C5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Prikhidko</w:t>
            </w:r>
            <w:proofErr w:type="spellEnd"/>
            <w:r w:rsidRPr="0077338D">
              <w:rPr>
                <w:rFonts w:ascii="Times New Roman" w:eastAsia="Times New Roman" w:hAnsi="Times New Roman" w:cs="Times New Roman"/>
                <w:sz w:val="24"/>
                <w:szCs w:val="24"/>
                <w:lang w:eastAsia="en-GB"/>
              </w:rPr>
              <w:t xml:space="preserve"> et al., 2019</w:t>
            </w:r>
          </w:p>
        </w:tc>
        <w:tc>
          <w:tcPr>
            <w:tcW w:w="0" w:type="auto"/>
            <w:hideMark/>
          </w:tcPr>
          <w:p w14:paraId="0BA4A30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60F68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81EA91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B4931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200591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2662B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49938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51061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06AA2A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5EDAF2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A65AC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9911D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F149C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4CB2C4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1619C695" w14:textId="77777777" w:rsidTr="00170E40">
        <w:trPr>
          <w:trHeight w:val="312"/>
        </w:trPr>
        <w:tc>
          <w:tcPr>
            <w:tcW w:w="0" w:type="auto"/>
            <w:hideMark/>
          </w:tcPr>
          <w:p w14:paraId="2400B7D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lastRenderedPageBreak/>
              <w:t>Quan et al., 2022</w:t>
            </w:r>
          </w:p>
        </w:tc>
        <w:tc>
          <w:tcPr>
            <w:tcW w:w="0" w:type="auto"/>
            <w:hideMark/>
          </w:tcPr>
          <w:p w14:paraId="4A997A7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CFAF18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4210B5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61EAA6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7BB1D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1636EE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EA3A62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72941F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4D566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9C50DB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7AC496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7899E8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594A42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26920B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3570AECF" w14:textId="77777777" w:rsidTr="00170E40">
        <w:trPr>
          <w:trHeight w:val="312"/>
        </w:trPr>
        <w:tc>
          <w:tcPr>
            <w:tcW w:w="0" w:type="auto"/>
            <w:hideMark/>
          </w:tcPr>
          <w:p w14:paraId="75E406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Salguero et al., 2020</w:t>
            </w:r>
          </w:p>
        </w:tc>
        <w:tc>
          <w:tcPr>
            <w:tcW w:w="0" w:type="auto"/>
            <w:hideMark/>
          </w:tcPr>
          <w:p w14:paraId="47D6070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8D7F27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F7D29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FA83A0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3C74B0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F962AA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EEE293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1B035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FF474B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02E25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562D4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B72D9A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013C5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17BCCE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5B774640" w14:textId="77777777" w:rsidTr="00170E40">
        <w:trPr>
          <w:trHeight w:val="312"/>
        </w:trPr>
        <w:tc>
          <w:tcPr>
            <w:tcW w:w="0" w:type="auto"/>
            <w:hideMark/>
          </w:tcPr>
          <w:p w14:paraId="3EEEFC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Sander et al., 2020</w:t>
            </w:r>
          </w:p>
        </w:tc>
        <w:tc>
          <w:tcPr>
            <w:tcW w:w="0" w:type="auto"/>
            <w:hideMark/>
          </w:tcPr>
          <w:p w14:paraId="71581CB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C52C79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6EBFB2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B2A70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3277D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92C53C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49645D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40144E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FBE4EC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2E10CD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EB6B18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1C579E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FE3A34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0AFB083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2C19A80B" w14:textId="77777777" w:rsidTr="00170E40">
        <w:trPr>
          <w:trHeight w:val="312"/>
        </w:trPr>
        <w:tc>
          <w:tcPr>
            <w:tcW w:w="0" w:type="auto"/>
            <w:hideMark/>
          </w:tcPr>
          <w:p w14:paraId="09CEF36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Schröder-</w:t>
            </w:r>
            <w:proofErr w:type="spellStart"/>
            <w:r w:rsidRPr="0077338D">
              <w:rPr>
                <w:rFonts w:ascii="Times New Roman" w:eastAsia="Times New Roman" w:hAnsi="Times New Roman" w:cs="Times New Roman"/>
                <w:sz w:val="24"/>
                <w:szCs w:val="24"/>
                <w:lang w:eastAsia="en-GB"/>
              </w:rPr>
              <w:t>Abé</w:t>
            </w:r>
            <w:proofErr w:type="spellEnd"/>
            <w:r w:rsidRPr="0077338D">
              <w:rPr>
                <w:rFonts w:ascii="Times New Roman" w:eastAsia="Times New Roman" w:hAnsi="Times New Roman" w:cs="Times New Roman"/>
                <w:sz w:val="24"/>
                <w:szCs w:val="24"/>
                <w:lang w:eastAsia="en-GB"/>
              </w:rPr>
              <w:t xml:space="preserve"> at al., 2007</w:t>
            </w:r>
          </w:p>
        </w:tc>
        <w:tc>
          <w:tcPr>
            <w:tcW w:w="0" w:type="auto"/>
            <w:hideMark/>
          </w:tcPr>
          <w:p w14:paraId="635C43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5A8C94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73F760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89EAE7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A9834F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C33EB6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EDB816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60006D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A1419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030008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C9045E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5D798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B14564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163FE3F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E03E878" w14:textId="77777777" w:rsidTr="00170E40">
        <w:trPr>
          <w:trHeight w:val="312"/>
        </w:trPr>
        <w:tc>
          <w:tcPr>
            <w:tcW w:w="0" w:type="auto"/>
            <w:hideMark/>
          </w:tcPr>
          <w:p w14:paraId="6F5066A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Shallcross et al., 2013</w:t>
            </w:r>
          </w:p>
        </w:tc>
        <w:tc>
          <w:tcPr>
            <w:tcW w:w="0" w:type="auto"/>
            <w:hideMark/>
          </w:tcPr>
          <w:p w14:paraId="7A7E87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328F4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353528E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36EE7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0BBD0A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040CF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15D394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06C1CA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E934EC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442705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3DD05F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139887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735845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B21E2B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00CB385B" w14:textId="77777777" w:rsidTr="00170E40">
        <w:trPr>
          <w:trHeight w:val="312"/>
        </w:trPr>
        <w:tc>
          <w:tcPr>
            <w:tcW w:w="0" w:type="auto"/>
            <w:hideMark/>
          </w:tcPr>
          <w:p w14:paraId="46F9F07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Smeijers</w:t>
            </w:r>
            <w:proofErr w:type="spellEnd"/>
            <w:r w:rsidRPr="0077338D">
              <w:rPr>
                <w:rFonts w:ascii="Times New Roman" w:eastAsia="Times New Roman" w:hAnsi="Times New Roman" w:cs="Times New Roman"/>
                <w:sz w:val="24"/>
                <w:szCs w:val="24"/>
                <w:lang w:eastAsia="en-GB"/>
              </w:rPr>
              <w:t xml:space="preserve"> et al., 2021</w:t>
            </w:r>
          </w:p>
        </w:tc>
        <w:tc>
          <w:tcPr>
            <w:tcW w:w="0" w:type="auto"/>
            <w:hideMark/>
          </w:tcPr>
          <w:p w14:paraId="7D8B4A9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3B96DA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BAF8D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8C819C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F9252C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7F0BB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3F045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3B605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8F76F0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76C82D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8E45DA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BE8B61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99D761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58C7B7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B2B0A96" w14:textId="77777777" w:rsidTr="00170E40">
        <w:trPr>
          <w:trHeight w:val="312"/>
        </w:trPr>
        <w:tc>
          <w:tcPr>
            <w:tcW w:w="0" w:type="auto"/>
            <w:hideMark/>
          </w:tcPr>
          <w:p w14:paraId="0F3DA9F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Sofia &amp; Cruz, 2016</w:t>
            </w:r>
          </w:p>
        </w:tc>
        <w:tc>
          <w:tcPr>
            <w:tcW w:w="0" w:type="auto"/>
            <w:hideMark/>
          </w:tcPr>
          <w:p w14:paraId="4BAE375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58D8B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231CC0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B6CA87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287D6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03B690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238E44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B9A03C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E8FEB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2597AA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DC3E11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E9F09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63EF43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582AC09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4AFAEC6A" w14:textId="77777777" w:rsidTr="00170E40">
        <w:trPr>
          <w:trHeight w:val="312"/>
        </w:trPr>
        <w:tc>
          <w:tcPr>
            <w:tcW w:w="0" w:type="auto"/>
            <w:hideMark/>
          </w:tcPr>
          <w:p w14:paraId="3D42235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Solak et al., 2021</w:t>
            </w:r>
          </w:p>
        </w:tc>
        <w:tc>
          <w:tcPr>
            <w:tcW w:w="0" w:type="auto"/>
            <w:hideMark/>
          </w:tcPr>
          <w:p w14:paraId="2D537ED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7354EE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5320BD1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A0439E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F2F605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78FAD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DF6E47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3A69B9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ACCA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4E907C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ADB18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24BD39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20032A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2CA4D7E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517F52C6" w14:textId="77777777" w:rsidTr="00170E40">
        <w:trPr>
          <w:trHeight w:val="312"/>
        </w:trPr>
        <w:tc>
          <w:tcPr>
            <w:tcW w:w="0" w:type="auto"/>
            <w:hideMark/>
          </w:tcPr>
          <w:p w14:paraId="174C8D4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Stover et al., 2020</w:t>
            </w:r>
          </w:p>
        </w:tc>
        <w:tc>
          <w:tcPr>
            <w:tcW w:w="0" w:type="auto"/>
            <w:hideMark/>
          </w:tcPr>
          <w:p w14:paraId="6ED3BB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BDD273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E3785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319164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479A67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9F343C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47BCD0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C759E6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74A778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ED7A8D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276230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92B210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69F070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DDE3AB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15A7E67D" w14:textId="77777777" w:rsidTr="00170E40">
        <w:trPr>
          <w:trHeight w:val="312"/>
        </w:trPr>
        <w:tc>
          <w:tcPr>
            <w:tcW w:w="0" w:type="auto"/>
            <w:hideMark/>
          </w:tcPr>
          <w:p w14:paraId="1C975D1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Sullivan and Kahn, 2020</w:t>
            </w:r>
          </w:p>
        </w:tc>
        <w:tc>
          <w:tcPr>
            <w:tcW w:w="0" w:type="auto"/>
            <w:hideMark/>
          </w:tcPr>
          <w:p w14:paraId="75DBB33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877401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61E2769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7ED51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64C699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C7CCE2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AFE974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3FD325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3800C8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626CFB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9FAEA4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9FB478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7F4627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3572F18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6607D77" w14:textId="77777777" w:rsidTr="00170E40">
        <w:trPr>
          <w:trHeight w:val="312"/>
        </w:trPr>
        <w:tc>
          <w:tcPr>
            <w:tcW w:w="0" w:type="auto"/>
            <w:hideMark/>
          </w:tcPr>
          <w:p w14:paraId="6542103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Sun et al., 2021</w:t>
            </w:r>
          </w:p>
        </w:tc>
        <w:tc>
          <w:tcPr>
            <w:tcW w:w="0" w:type="auto"/>
            <w:hideMark/>
          </w:tcPr>
          <w:p w14:paraId="327500C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DAB69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40A585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BEC263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D83350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D95D24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7B03F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F74EF2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40869F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1D6E4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BFC875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1DFD0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246AAF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C1A41F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963AD98" w14:textId="77777777" w:rsidTr="00170E40">
        <w:trPr>
          <w:trHeight w:val="312"/>
        </w:trPr>
        <w:tc>
          <w:tcPr>
            <w:tcW w:w="0" w:type="auto"/>
            <w:hideMark/>
          </w:tcPr>
          <w:p w14:paraId="5EB9F99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Thomsen et al., 2003</w:t>
            </w:r>
          </w:p>
        </w:tc>
        <w:tc>
          <w:tcPr>
            <w:tcW w:w="0" w:type="auto"/>
            <w:hideMark/>
          </w:tcPr>
          <w:p w14:paraId="1FA850D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732638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320416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77ACC3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CF916C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AEA9A2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527E57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69BEF3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735B0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1B4B75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CE979C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3F117C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32A74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5EB3F8F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7AAA6D70" w14:textId="77777777" w:rsidTr="00170E40">
        <w:trPr>
          <w:trHeight w:val="312"/>
        </w:trPr>
        <w:tc>
          <w:tcPr>
            <w:tcW w:w="0" w:type="auto"/>
            <w:hideMark/>
          </w:tcPr>
          <w:p w14:paraId="4007761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Toohey et al., 2017</w:t>
            </w:r>
          </w:p>
        </w:tc>
        <w:tc>
          <w:tcPr>
            <w:tcW w:w="0" w:type="auto"/>
            <w:hideMark/>
          </w:tcPr>
          <w:p w14:paraId="794A09F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86D897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D3EBB2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A9E67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F11ED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2395B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D7904B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6B69C9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6A180C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CD72AA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58C8E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C4B6C2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480E93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07F9CA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r>
      <w:tr w:rsidR="0077338D" w:rsidRPr="0077338D" w14:paraId="265448D9" w14:textId="77777777" w:rsidTr="00170E40">
        <w:trPr>
          <w:trHeight w:val="312"/>
        </w:trPr>
        <w:tc>
          <w:tcPr>
            <w:tcW w:w="0" w:type="auto"/>
            <w:hideMark/>
          </w:tcPr>
          <w:p w14:paraId="773564A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Torres-Marin et al., 2018</w:t>
            </w:r>
          </w:p>
        </w:tc>
        <w:tc>
          <w:tcPr>
            <w:tcW w:w="0" w:type="auto"/>
            <w:hideMark/>
          </w:tcPr>
          <w:p w14:paraId="566394B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54D0A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7A8BC6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F5180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4B700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BA7749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230D22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5FBAB7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2EEBB8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B9CA06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2C1729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256046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8F33BA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6437E6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C41FBF3" w14:textId="77777777" w:rsidTr="00170E40">
        <w:trPr>
          <w:trHeight w:val="312"/>
        </w:trPr>
        <w:tc>
          <w:tcPr>
            <w:tcW w:w="0" w:type="auto"/>
            <w:hideMark/>
          </w:tcPr>
          <w:p w14:paraId="0A7B7F1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Trew &amp; Alden, 2009</w:t>
            </w:r>
          </w:p>
        </w:tc>
        <w:tc>
          <w:tcPr>
            <w:tcW w:w="0" w:type="auto"/>
            <w:hideMark/>
          </w:tcPr>
          <w:p w14:paraId="3EC7F3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7CA7EF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E75987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0677CD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D2D8CB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77B1F7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972144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880ED0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5118AA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5D00ADC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E16F9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261AC9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082782F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ED7EA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D9DC7D0" w14:textId="77777777" w:rsidTr="00170E40">
        <w:trPr>
          <w:trHeight w:val="312"/>
        </w:trPr>
        <w:tc>
          <w:tcPr>
            <w:tcW w:w="0" w:type="auto"/>
            <w:hideMark/>
          </w:tcPr>
          <w:p w14:paraId="3A6B98B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Tull et al., 2007</w:t>
            </w:r>
          </w:p>
        </w:tc>
        <w:tc>
          <w:tcPr>
            <w:tcW w:w="0" w:type="auto"/>
            <w:hideMark/>
          </w:tcPr>
          <w:p w14:paraId="4CCF16B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FA79A6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BDB9AD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52D0FFA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EB9A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786B69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618B86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0D67C5B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11936C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F5751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3E61EF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5E3EA28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3EDE2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8263A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4FEE2AF" w14:textId="77777777" w:rsidTr="00170E40">
        <w:trPr>
          <w:trHeight w:val="312"/>
        </w:trPr>
        <w:tc>
          <w:tcPr>
            <w:tcW w:w="0" w:type="auto"/>
            <w:hideMark/>
          </w:tcPr>
          <w:p w14:paraId="590755A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 xml:space="preserve">Van </w:t>
            </w:r>
            <w:proofErr w:type="spellStart"/>
            <w:r w:rsidRPr="0077338D">
              <w:rPr>
                <w:rFonts w:ascii="Times New Roman" w:eastAsia="Times New Roman" w:hAnsi="Times New Roman" w:cs="Times New Roman"/>
                <w:sz w:val="24"/>
                <w:szCs w:val="24"/>
                <w:lang w:eastAsia="en-GB"/>
              </w:rPr>
              <w:t>Middendorp</w:t>
            </w:r>
            <w:proofErr w:type="spellEnd"/>
            <w:r w:rsidRPr="0077338D">
              <w:rPr>
                <w:rFonts w:ascii="Times New Roman" w:eastAsia="Times New Roman" w:hAnsi="Times New Roman" w:cs="Times New Roman"/>
                <w:sz w:val="24"/>
                <w:szCs w:val="24"/>
                <w:lang w:eastAsia="en-GB"/>
              </w:rPr>
              <w:t>, 2010</w:t>
            </w:r>
          </w:p>
        </w:tc>
        <w:tc>
          <w:tcPr>
            <w:tcW w:w="0" w:type="auto"/>
            <w:hideMark/>
          </w:tcPr>
          <w:p w14:paraId="096D88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A0B8CF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382B9DB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7C4D97D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47C62B2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873601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D3A778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70729D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8DDDE4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12A404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947FF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1A1C404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8DA545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7AE3173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1B47A3BE" w14:textId="77777777" w:rsidTr="00170E40">
        <w:trPr>
          <w:trHeight w:val="312"/>
        </w:trPr>
        <w:tc>
          <w:tcPr>
            <w:tcW w:w="0" w:type="auto"/>
            <w:hideMark/>
          </w:tcPr>
          <w:p w14:paraId="714B52E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proofErr w:type="spellStart"/>
            <w:r w:rsidRPr="0077338D">
              <w:rPr>
                <w:rFonts w:ascii="Times New Roman" w:eastAsia="Times New Roman" w:hAnsi="Times New Roman" w:cs="Times New Roman"/>
                <w:sz w:val="24"/>
                <w:szCs w:val="24"/>
                <w:lang w:eastAsia="en-GB"/>
              </w:rPr>
              <w:t>Velotti</w:t>
            </w:r>
            <w:proofErr w:type="spellEnd"/>
            <w:r w:rsidRPr="0077338D">
              <w:rPr>
                <w:rFonts w:ascii="Times New Roman" w:eastAsia="Times New Roman" w:hAnsi="Times New Roman" w:cs="Times New Roman"/>
                <w:sz w:val="24"/>
                <w:szCs w:val="24"/>
                <w:lang w:eastAsia="en-GB"/>
              </w:rPr>
              <w:t xml:space="preserve"> et al., 2017</w:t>
            </w:r>
          </w:p>
        </w:tc>
        <w:tc>
          <w:tcPr>
            <w:tcW w:w="0" w:type="auto"/>
            <w:hideMark/>
          </w:tcPr>
          <w:p w14:paraId="71B74C9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002286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0DD3DDE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3F446B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D4916D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17FD4F4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BD8351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07946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27A522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051C7F5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14D535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E840A2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2A872FB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1F3DA7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38030300" w14:textId="77777777" w:rsidTr="00170E40">
        <w:trPr>
          <w:trHeight w:val="312"/>
        </w:trPr>
        <w:tc>
          <w:tcPr>
            <w:tcW w:w="0" w:type="auto"/>
            <w:hideMark/>
          </w:tcPr>
          <w:p w14:paraId="26616C0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Wang et al., 2018</w:t>
            </w:r>
          </w:p>
        </w:tc>
        <w:tc>
          <w:tcPr>
            <w:tcW w:w="0" w:type="auto"/>
            <w:hideMark/>
          </w:tcPr>
          <w:p w14:paraId="027AA86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9C53E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CD</w:t>
            </w:r>
          </w:p>
        </w:tc>
        <w:tc>
          <w:tcPr>
            <w:tcW w:w="0" w:type="auto"/>
            <w:hideMark/>
          </w:tcPr>
          <w:p w14:paraId="264BE43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487F09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C93562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B5C4DC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F21066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0FEF32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FC334A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2EC7AC75"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D2FCA9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D7AC9C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A9BE4D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9A69DD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70B52BE0" w14:textId="77777777" w:rsidTr="00170E40">
        <w:trPr>
          <w:trHeight w:val="312"/>
        </w:trPr>
        <w:tc>
          <w:tcPr>
            <w:tcW w:w="0" w:type="auto"/>
            <w:hideMark/>
          </w:tcPr>
          <w:p w14:paraId="6696D71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Weber et al., 2014</w:t>
            </w:r>
          </w:p>
        </w:tc>
        <w:tc>
          <w:tcPr>
            <w:tcW w:w="0" w:type="auto"/>
            <w:hideMark/>
          </w:tcPr>
          <w:p w14:paraId="43C5664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6F1164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F1220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2B4084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FAEE8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410081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613EA7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5517D92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F3D21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3AD08DE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DE0E24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755DEA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644BF8F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519C354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0FE4A633" w14:textId="77777777" w:rsidTr="00170E40">
        <w:trPr>
          <w:trHeight w:val="312"/>
        </w:trPr>
        <w:tc>
          <w:tcPr>
            <w:tcW w:w="0" w:type="auto"/>
            <w:hideMark/>
          </w:tcPr>
          <w:p w14:paraId="716121F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lastRenderedPageBreak/>
              <w:t>Weindl et al., 2020</w:t>
            </w:r>
          </w:p>
        </w:tc>
        <w:tc>
          <w:tcPr>
            <w:tcW w:w="0" w:type="auto"/>
            <w:hideMark/>
          </w:tcPr>
          <w:p w14:paraId="3660E8A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ECA4C79"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71E496D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97AE07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A01F78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8825FD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CA2CA5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7C39374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A0AB08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4723101F"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72E5060"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36CE47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22A9E26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6A606A8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209440C2" w14:textId="77777777" w:rsidTr="00170E40">
        <w:trPr>
          <w:trHeight w:val="312"/>
        </w:trPr>
        <w:tc>
          <w:tcPr>
            <w:tcW w:w="0" w:type="auto"/>
            <w:hideMark/>
          </w:tcPr>
          <w:p w14:paraId="51C8B97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Wu et al., 2019</w:t>
            </w:r>
          </w:p>
        </w:tc>
        <w:tc>
          <w:tcPr>
            <w:tcW w:w="0" w:type="auto"/>
            <w:hideMark/>
          </w:tcPr>
          <w:p w14:paraId="1C80A46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E302C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691DB65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33E8F874"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B90539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AE4368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600BBA7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3CFE667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6AEA6C6"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hideMark/>
          </w:tcPr>
          <w:p w14:paraId="7540B9D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hideMark/>
          </w:tcPr>
          <w:p w14:paraId="4F266AF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hideMark/>
          </w:tcPr>
          <w:p w14:paraId="0FE32562"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hideMark/>
          </w:tcPr>
          <w:p w14:paraId="181DE04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hideMark/>
          </w:tcPr>
          <w:p w14:paraId="4D325FD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r w:rsidR="0077338D" w:rsidRPr="0077338D" w14:paraId="629C368A" w14:textId="77777777" w:rsidTr="00170E40">
        <w:trPr>
          <w:trHeight w:val="312"/>
        </w:trPr>
        <w:tc>
          <w:tcPr>
            <w:tcW w:w="0" w:type="auto"/>
            <w:tcBorders>
              <w:bottom w:val="single" w:sz="4" w:space="0" w:color="auto"/>
            </w:tcBorders>
            <w:hideMark/>
          </w:tcPr>
          <w:p w14:paraId="7285110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Yavuz et al., 2016</w:t>
            </w:r>
          </w:p>
        </w:tc>
        <w:tc>
          <w:tcPr>
            <w:tcW w:w="0" w:type="auto"/>
            <w:tcBorders>
              <w:bottom w:val="single" w:sz="4" w:space="0" w:color="auto"/>
            </w:tcBorders>
            <w:hideMark/>
          </w:tcPr>
          <w:p w14:paraId="75EBA02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bottom w:val="single" w:sz="4" w:space="0" w:color="auto"/>
            </w:tcBorders>
            <w:hideMark/>
          </w:tcPr>
          <w:p w14:paraId="6B6C956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bottom w:val="single" w:sz="4" w:space="0" w:color="auto"/>
            </w:tcBorders>
            <w:hideMark/>
          </w:tcPr>
          <w:p w14:paraId="3FAD173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tcBorders>
              <w:bottom w:val="single" w:sz="4" w:space="0" w:color="auto"/>
            </w:tcBorders>
            <w:hideMark/>
          </w:tcPr>
          <w:p w14:paraId="6E5F8D3D"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bottom w:val="single" w:sz="4" w:space="0" w:color="auto"/>
            </w:tcBorders>
            <w:hideMark/>
          </w:tcPr>
          <w:p w14:paraId="62BA4037"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bottom w:val="single" w:sz="4" w:space="0" w:color="auto"/>
            </w:tcBorders>
            <w:hideMark/>
          </w:tcPr>
          <w:p w14:paraId="1E3E5CEB"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bottom w:val="single" w:sz="4" w:space="0" w:color="auto"/>
            </w:tcBorders>
            <w:hideMark/>
          </w:tcPr>
          <w:p w14:paraId="597F5C2A"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bottom w:val="single" w:sz="4" w:space="0" w:color="auto"/>
            </w:tcBorders>
            <w:hideMark/>
          </w:tcPr>
          <w:p w14:paraId="05FFAB53"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bottom w:val="single" w:sz="4" w:space="0" w:color="auto"/>
            </w:tcBorders>
            <w:hideMark/>
          </w:tcPr>
          <w:p w14:paraId="3C5C507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1011" w:type="dxa"/>
            <w:tcBorders>
              <w:bottom w:val="single" w:sz="4" w:space="0" w:color="auto"/>
            </w:tcBorders>
            <w:hideMark/>
          </w:tcPr>
          <w:p w14:paraId="3C88B43C"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c>
          <w:tcPr>
            <w:tcW w:w="0" w:type="auto"/>
            <w:tcBorders>
              <w:bottom w:val="single" w:sz="4" w:space="0" w:color="auto"/>
            </w:tcBorders>
            <w:hideMark/>
          </w:tcPr>
          <w:p w14:paraId="6377400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YES</w:t>
            </w:r>
          </w:p>
        </w:tc>
        <w:tc>
          <w:tcPr>
            <w:tcW w:w="0" w:type="auto"/>
            <w:tcBorders>
              <w:bottom w:val="single" w:sz="4" w:space="0" w:color="auto"/>
            </w:tcBorders>
            <w:hideMark/>
          </w:tcPr>
          <w:p w14:paraId="70E14641"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NR</w:t>
            </w:r>
          </w:p>
        </w:tc>
        <w:tc>
          <w:tcPr>
            <w:tcW w:w="0" w:type="auto"/>
            <w:tcBorders>
              <w:bottom w:val="single" w:sz="4" w:space="0" w:color="auto"/>
            </w:tcBorders>
            <w:hideMark/>
          </w:tcPr>
          <w:p w14:paraId="0D511E68"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NA</w:t>
            </w:r>
          </w:p>
        </w:tc>
        <w:tc>
          <w:tcPr>
            <w:tcW w:w="0" w:type="auto"/>
            <w:tcBorders>
              <w:bottom w:val="single" w:sz="4" w:space="0" w:color="auto"/>
            </w:tcBorders>
            <w:hideMark/>
          </w:tcPr>
          <w:p w14:paraId="7C0839BE" w14:textId="77777777" w:rsidR="0077338D" w:rsidRPr="0077338D" w:rsidRDefault="0077338D" w:rsidP="0077338D">
            <w:pPr>
              <w:spacing w:line="240" w:lineRule="auto"/>
              <w:rPr>
                <w:rFonts w:ascii="Times New Roman" w:eastAsia="Times New Roman" w:hAnsi="Times New Roman" w:cs="Times New Roman"/>
                <w:sz w:val="24"/>
                <w:szCs w:val="24"/>
                <w:lang w:eastAsia="en-GB"/>
              </w:rPr>
            </w:pPr>
            <w:r w:rsidRPr="0077338D">
              <w:rPr>
                <w:rFonts w:ascii="Times New Roman" w:eastAsia="Times New Roman" w:hAnsi="Times New Roman" w:cs="Times New Roman"/>
                <w:sz w:val="24"/>
                <w:szCs w:val="24"/>
                <w:lang w:eastAsia="en-GB"/>
              </w:rPr>
              <w:t>NO</w:t>
            </w:r>
          </w:p>
        </w:tc>
      </w:tr>
    </w:tbl>
    <w:p w14:paraId="1DE54A8A" w14:textId="77777777" w:rsidR="0077338D" w:rsidRDefault="00170E40" w:rsidP="00BD3E1D">
      <w:pPr>
        <w:jc w:val="both"/>
        <w:rPr>
          <w:rFonts w:ascii="Times New Roman" w:hAnsi="Times New Roman" w:cs="Times New Roman"/>
          <w:color w:val="1F1F1F"/>
          <w:sz w:val="20"/>
          <w:szCs w:val="24"/>
          <w:shd w:val="clear" w:color="auto" w:fill="FFFFFF"/>
        </w:rPr>
      </w:pPr>
      <w:r w:rsidRPr="00BD3E1D">
        <w:rPr>
          <w:rFonts w:ascii="Times New Roman" w:hAnsi="Times New Roman" w:cs="Times New Roman"/>
          <w:i/>
          <w:sz w:val="20"/>
          <w:szCs w:val="24"/>
        </w:rPr>
        <w:t>Note.</w:t>
      </w:r>
      <w:r w:rsidRPr="00BD3E1D">
        <w:rPr>
          <w:rFonts w:ascii="Times New Roman" w:hAnsi="Times New Roman" w:cs="Times New Roman"/>
          <w:i/>
          <w:sz w:val="16"/>
          <w:szCs w:val="24"/>
        </w:rPr>
        <w:t xml:space="preserve"> </w:t>
      </w:r>
      <w:r w:rsidR="00BD3E1D">
        <w:rPr>
          <w:rFonts w:ascii="Times New Roman" w:hAnsi="Times New Roman" w:cs="Times New Roman"/>
          <w:sz w:val="20"/>
          <w:szCs w:val="24"/>
        </w:rPr>
        <w:t xml:space="preserve">Q1. </w:t>
      </w:r>
      <w:r w:rsidRPr="00170E40">
        <w:rPr>
          <w:rFonts w:ascii="Times New Roman" w:hAnsi="Times New Roman" w:cs="Times New Roman"/>
          <w:sz w:val="20"/>
          <w:szCs w:val="24"/>
        </w:rPr>
        <w:t xml:space="preserve">Was the research question or objective in this paper clearly </w:t>
      </w:r>
      <w:proofErr w:type="gramStart"/>
      <w:r w:rsidRPr="00170E40">
        <w:rPr>
          <w:rFonts w:ascii="Times New Roman" w:hAnsi="Times New Roman" w:cs="Times New Roman"/>
          <w:sz w:val="20"/>
          <w:szCs w:val="24"/>
        </w:rPr>
        <w:t>stated?;</w:t>
      </w:r>
      <w:proofErr w:type="gramEnd"/>
      <w:r w:rsidRPr="00170E40">
        <w:rPr>
          <w:rFonts w:ascii="Times New Roman" w:hAnsi="Times New Roman" w:cs="Times New Roman"/>
          <w:sz w:val="20"/>
          <w:szCs w:val="24"/>
        </w:rPr>
        <w:t xml:space="preserve"> Q2. Was the study population clearly specified and </w:t>
      </w:r>
      <w:proofErr w:type="gramStart"/>
      <w:r w:rsidRPr="00170E40">
        <w:rPr>
          <w:rFonts w:ascii="Times New Roman" w:hAnsi="Times New Roman" w:cs="Times New Roman"/>
          <w:sz w:val="20"/>
          <w:szCs w:val="24"/>
        </w:rPr>
        <w:t>defined?;</w:t>
      </w:r>
      <w:proofErr w:type="gramEnd"/>
      <w:r w:rsidRPr="00170E40">
        <w:rPr>
          <w:rFonts w:ascii="Times New Roman" w:hAnsi="Times New Roman" w:cs="Times New Roman"/>
          <w:sz w:val="20"/>
          <w:szCs w:val="24"/>
        </w:rPr>
        <w:t xml:space="preserve"> Q3. Was the participation rate of eligible persons at least 50</w:t>
      </w:r>
      <w:proofErr w:type="gramStart"/>
      <w:r w:rsidRPr="00170E40">
        <w:rPr>
          <w:rFonts w:ascii="Times New Roman" w:hAnsi="Times New Roman" w:cs="Times New Roman"/>
          <w:sz w:val="20"/>
          <w:szCs w:val="24"/>
        </w:rPr>
        <w:t>%?;</w:t>
      </w:r>
      <w:proofErr w:type="gramEnd"/>
      <w:r w:rsidRPr="00170E40">
        <w:rPr>
          <w:rFonts w:ascii="Times New Roman" w:hAnsi="Times New Roman" w:cs="Times New Roman"/>
          <w:sz w:val="20"/>
          <w:szCs w:val="24"/>
        </w:rPr>
        <w:t xml:space="preserve"> Q4. </w:t>
      </w:r>
      <w:r w:rsidRPr="00170E40">
        <w:rPr>
          <w:rFonts w:ascii="Times New Roman" w:hAnsi="Times New Roman" w:cs="Times New Roman"/>
          <w:color w:val="1F1F1F"/>
          <w:sz w:val="20"/>
          <w:szCs w:val="24"/>
          <w:shd w:val="clear" w:color="auto" w:fill="FFFFFF"/>
        </w:rPr>
        <w:t xml:space="preserve">Were all the subjects selected or recruited from the same or similar populations (including the same time period)? Were inclusion and exclusion criteria for being in the study prespecified and applied uniformly to all </w:t>
      </w:r>
      <w:proofErr w:type="gramStart"/>
      <w:r w:rsidRPr="00170E40">
        <w:rPr>
          <w:rFonts w:ascii="Times New Roman" w:hAnsi="Times New Roman" w:cs="Times New Roman"/>
          <w:color w:val="1F1F1F"/>
          <w:sz w:val="20"/>
          <w:szCs w:val="24"/>
          <w:shd w:val="clear" w:color="auto" w:fill="FFFFFF"/>
        </w:rPr>
        <w:t>participants?;</w:t>
      </w:r>
      <w:proofErr w:type="gramEnd"/>
      <w:r w:rsidRPr="00170E40">
        <w:rPr>
          <w:rFonts w:ascii="Times New Roman" w:hAnsi="Times New Roman" w:cs="Times New Roman"/>
          <w:color w:val="1F1F1F"/>
          <w:sz w:val="20"/>
          <w:szCs w:val="24"/>
          <w:shd w:val="clear" w:color="auto" w:fill="FFFFFF"/>
        </w:rPr>
        <w:t xml:space="preserve"> Q5. Was a sample size justification, power description, or variance and effect estimates </w:t>
      </w:r>
      <w:proofErr w:type="gramStart"/>
      <w:r w:rsidRPr="00170E40">
        <w:rPr>
          <w:rFonts w:ascii="Times New Roman" w:hAnsi="Times New Roman" w:cs="Times New Roman"/>
          <w:color w:val="1F1F1F"/>
          <w:sz w:val="20"/>
          <w:szCs w:val="24"/>
          <w:shd w:val="clear" w:color="auto" w:fill="FFFFFF"/>
        </w:rPr>
        <w:t>provided?;</w:t>
      </w:r>
      <w:proofErr w:type="gramEnd"/>
      <w:r w:rsidRPr="00170E40">
        <w:rPr>
          <w:rFonts w:ascii="Times New Roman" w:hAnsi="Times New Roman" w:cs="Times New Roman"/>
          <w:color w:val="1F1F1F"/>
          <w:sz w:val="20"/>
          <w:szCs w:val="24"/>
          <w:shd w:val="clear" w:color="auto" w:fill="FFFFFF"/>
        </w:rPr>
        <w:t xml:space="preserve"> Q6. For the analyses in this paper, were the exposure(s) of interest measured prior to the outcome(s) being </w:t>
      </w:r>
      <w:proofErr w:type="gramStart"/>
      <w:r w:rsidRPr="00170E40">
        <w:rPr>
          <w:rFonts w:ascii="Times New Roman" w:hAnsi="Times New Roman" w:cs="Times New Roman"/>
          <w:color w:val="1F1F1F"/>
          <w:sz w:val="20"/>
          <w:szCs w:val="24"/>
          <w:shd w:val="clear" w:color="auto" w:fill="FFFFFF"/>
        </w:rPr>
        <w:t>measured?;</w:t>
      </w:r>
      <w:proofErr w:type="gramEnd"/>
      <w:r w:rsidRPr="00170E40">
        <w:rPr>
          <w:rFonts w:ascii="Times New Roman" w:hAnsi="Times New Roman" w:cs="Times New Roman"/>
          <w:color w:val="1F1F1F"/>
          <w:sz w:val="20"/>
          <w:szCs w:val="24"/>
          <w:shd w:val="clear" w:color="auto" w:fill="FFFFFF"/>
        </w:rPr>
        <w:t xml:space="preserve"> Q7. </w:t>
      </w:r>
      <w:r w:rsidRPr="00170E40">
        <w:rPr>
          <w:rFonts w:ascii="Times New Roman" w:hAnsi="Times New Roman" w:cs="Times New Roman"/>
          <w:color w:val="1F1F1F"/>
          <w:sz w:val="20"/>
          <w:szCs w:val="24"/>
        </w:rPr>
        <w:t xml:space="preserve">Was the timeframe sufficient so that one could reasonably expect to see an association between exposure and outcome if it </w:t>
      </w:r>
      <w:proofErr w:type="gramStart"/>
      <w:r w:rsidRPr="00170E40">
        <w:rPr>
          <w:rFonts w:ascii="Times New Roman" w:hAnsi="Times New Roman" w:cs="Times New Roman"/>
          <w:color w:val="1F1F1F"/>
          <w:sz w:val="20"/>
          <w:szCs w:val="24"/>
        </w:rPr>
        <w:t>existed?;</w:t>
      </w:r>
      <w:proofErr w:type="gramEnd"/>
      <w:r w:rsidRPr="00170E40">
        <w:rPr>
          <w:rFonts w:ascii="Times New Roman" w:hAnsi="Times New Roman" w:cs="Times New Roman"/>
          <w:color w:val="1F1F1F"/>
          <w:sz w:val="20"/>
          <w:szCs w:val="24"/>
        </w:rPr>
        <w:t xml:space="preserve"> Q8. </w:t>
      </w:r>
      <w:r w:rsidRPr="00170E40">
        <w:rPr>
          <w:rFonts w:ascii="Times New Roman" w:hAnsi="Times New Roman" w:cs="Times New Roman"/>
          <w:color w:val="1F1F1F"/>
          <w:sz w:val="20"/>
          <w:szCs w:val="24"/>
          <w:shd w:val="clear" w:color="auto" w:fill="FFFFFF"/>
        </w:rPr>
        <w:t>For exposures that can vary in amount or level, did the study examine different levels of the exposure as related to the outcome (e.g., categories of exposure, or exposure measured as continuous variable</w:t>
      </w:r>
      <w:proofErr w:type="gramStart"/>
      <w:r w:rsidRPr="00170E40">
        <w:rPr>
          <w:rFonts w:ascii="Times New Roman" w:hAnsi="Times New Roman" w:cs="Times New Roman"/>
          <w:color w:val="1F1F1F"/>
          <w:sz w:val="20"/>
          <w:szCs w:val="24"/>
          <w:shd w:val="clear" w:color="auto" w:fill="FFFFFF"/>
        </w:rPr>
        <w:t>)?;</w:t>
      </w:r>
      <w:proofErr w:type="gramEnd"/>
      <w:r w:rsidRPr="00170E40">
        <w:rPr>
          <w:rFonts w:ascii="Times New Roman" w:hAnsi="Times New Roman" w:cs="Times New Roman"/>
          <w:color w:val="1F1F1F"/>
          <w:sz w:val="20"/>
          <w:szCs w:val="24"/>
          <w:shd w:val="clear" w:color="auto" w:fill="FFFFFF"/>
        </w:rPr>
        <w:t xml:space="preserve"> Q9. Were the exposure measures (independent variables) clearly defined, valid, reliable, and implemented consistently across all study </w:t>
      </w:r>
      <w:proofErr w:type="gramStart"/>
      <w:r w:rsidRPr="00170E40">
        <w:rPr>
          <w:rFonts w:ascii="Times New Roman" w:hAnsi="Times New Roman" w:cs="Times New Roman"/>
          <w:color w:val="1F1F1F"/>
          <w:sz w:val="20"/>
          <w:szCs w:val="24"/>
          <w:shd w:val="clear" w:color="auto" w:fill="FFFFFF"/>
        </w:rPr>
        <w:t>participants?;</w:t>
      </w:r>
      <w:proofErr w:type="gramEnd"/>
      <w:r w:rsidRPr="00170E40">
        <w:rPr>
          <w:rFonts w:ascii="Times New Roman" w:hAnsi="Times New Roman" w:cs="Times New Roman"/>
          <w:color w:val="1F1F1F"/>
          <w:sz w:val="20"/>
          <w:szCs w:val="24"/>
          <w:shd w:val="clear" w:color="auto" w:fill="FFFFFF"/>
        </w:rPr>
        <w:t xml:space="preserve"> Q10. Was the exposure(s) assessed more than once over </w:t>
      </w:r>
      <w:proofErr w:type="gramStart"/>
      <w:r w:rsidRPr="00170E40">
        <w:rPr>
          <w:rFonts w:ascii="Times New Roman" w:hAnsi="Times New Roman" w:cs="Times New Roman"/>
          <w:color w:val="1F1F1F"/>
          <w:sz w:val="20"/>
          <w:szCs w:val="24"/>
          <w:shd w:val="clear" w:color="auto" w:fill="FFFFFF"/>
        </w:rPr>
        <w:t>time?;</w:t>
      </w:r>
      <w:proofErr w:type="gramEnd"/>
      <w:r w:rsidRPr="00170E40">
        <w:rPr>
          <w:rFonts w:ascii="Times New Roman" w:hAnsi="Times New Roman" w:cs="Times New Roman"/>
          <w:color w:val="1F1F1F"/>
          <w:sz w:val="20"/>
          <w:szCs w:val="24"/>
          <w:shd w:val="clear" w:color="auto" w:fill="FFFFFF"/>
        </w:rPr>
        <w:t xml:space="preserve"> Q11. Were the outcome measures (dependent variables) clearly defined, valid, reliable, and implemented consistently across all study </w:t>
      </w:r>
      <w:proofErr w:type="gramStart"/>
      <w:r w:rsidRPr="00170E40">
        <w:rPr>
          <w:rFonts w:ascii="Times New Roman" w:hAnsi="Times New Roman" w:cs="Times New Roman"/>
          <w:color w:val="1F1F1F"/>
          <w:sz w:val="20"/>
          <w:szCs w:val="24"/>
          <w:shd w:val="clear" w:color="auto" w:fill="FFFFFF"/>
        </w:rPr>
        <w:t>participants?;</w:t>
      </w:r>
      <w:proofErr w:type="gramEnd"/>
      <w:r w:rsidRPr="00170E40">
        <w:rPr>
          <w:rFonts w:ascii="Times New Roman" w:hAnsi="Times New Roman" w:cs="Times New Roman"/>
          <w:color w:val="1F1F1F"/>
          <w:sz w:val="20"/>
          <w:szCs w:val="24"/>
          <w:shd w:val="clear" w:color="auto" w:fill="FFFFFF"/>
        </w:rPr>
        <w:t xml:space="preserve"> Q12. Were the outcome assessors blinded to the exposure status of </w:t>
      </w:r>
      <w:proofErr w:type="gramStart"/>
      <w:r w:rsidRPr="00170E40">
        <w:rPr>
          <w:rFonts w:ascii="Times New Roman" w:hAnsi="Times New Roman" w:cs="Times New Roman"/>
          <w:color w:val="1F1F1F"/>
          <w:sz w:val="20"/>
          <w:szCs w:val="24"/>
          <w:shd w:val="clear" w:color="auto" w:fill="FFFFFF"/>
        </w:rPr>
        <w:t>participants?;</w:t>
      </w:r>
      <w:proofErr w:type="gramEnd"/>
      <w:r w:rsidRPr="00170E40">
        <w:rPr>
          <w:rFonts w:ascii="Times New Roman" w:hAnsi="Times New Roman" w:cs="Times New Roman"/>
          <w:color w:val="1F1F1F"/>
          <w:sz w:val="20"/>
          <w:szCs w:val="24"/>
          <w:shd w:val="clear" w:color="auto" w:fill="FFFFFF"/>
        </w:rPr>
        <w:t xml:space="preserve"> Q13. Was loss to follow-up after baseline 20% or </w:t>
      </w:r>
      <w:proofErr w:type="gramStart"/>
      <w:r w:rsidRPr="00170E40">
        <w:rPr>
          <w:rFonts w:ascii="Times New Roman" w:hAnsi="Times New Roman" w:cs="Times New Roman"/>
          <w:color w:val="1F1F1F"/>
          <w:sz w:val="20"/>
          <w:szCs w:val="24"/>
          <w:shd w:val="clear" w:color="auto" w:fill="FFFFFF"/>
        </w:rPr>
        <w:t>less?;</w:t>
      </w:r>
      <w:proofErr w:type="gramEnd"/>
      <w:r w:rsidRPr="00170E40">
        <w:rPr>
          <w:rFonts w:ascii="Times New Roman" w:hAnsi="Times New Roman" w:cs="Times New Roman"/>
          <w:color w:val="1F1F1F"/>
          <w:sz w:val="20"/>
          <w:szCs w:val="24"/>
          <w:shd w:val="clear" w:color="auto" w:fill="FFFFFF"/>
        </w:rPr>
        <w:t xml:space="preserve"> Q14. 14. Were key potential confounding variables measured and adjusted statistically for their impact on the relationship between exposure(s) and outcome(s)?</w:t>
      </w:r>
    </w:p>
    <w:p w14:paraId="00695406" w14:textId="77777777" w:rsidR="006D0315" w:rsidRDefault="006D0315">
      <w:pPr>
        <w:rPr>
          <w:rFonts w:ascii="Times New Roman" w:hAnsi="Times New Roman" w:cs="Times New Roman"/>
          <w:color w:val="1F1F1F"/>
          <w:sz w:val="20"/>
          <w:szCs w:val="24"/>
          <w:shd w:val="clear" w:color="auto" w:fill="FFFFFF"/>
        </w:rPr>
      </w:pPr>
      <w:r>
        <w:rPr>
          <w:rFonts w:ascii="Times New Roman" w:hAnsi="Times New Roman" w:cs="Times New Roman"/>
          <w:color w:val="1F1F1F"/>
          <w:sz w:val="20"/>
          <w:szCs w:val="24"/>
          <w:shd w:val="clear" w:color="auto" w:fill="FFFFFF"/>
        </w:rPr>
        <w:br w:type="page"/>
      </w:r>
    </w:p>
    <w:p w14:paraId="63C90D05" w14:textId="77777777" w:rsidR="0077338D" w:rsidRPr="00BD3E1D" w:rsidRDefault="002160D7" w:rsidP="0077338D">
      <w:pPr>
        <w:rPr>
          <w:rFonts w:ascii="Times New Roman" w:hAnsi="Times New Roman" w:cs="Times New Roman"/>
          <w:i/>
          <w:color w:val="000000" w:themeColor="text1"/>
          <w:sz w:val="24"/>
        </w:rPr>
      </w:pPr>
      <w:r>
        <w:rPr>
          <w:rFonts w:ascii="Times New Roman" w:hAnsi="Times New Roman" w:cs="Times New Roman"/>
          <w:b/>
          <w:color w:val="000000" w:themeColor="text1"/>
          <w:sz w:val="24"/>
          <w:szCs w:val="24"/>
        </w:rPr>
        <w:lastRenderedPageBreak/>
        <w:t>Supplementary Table 2</w:t>
      </w:r>
    </w:p>
    <w:p w14:paraId="3305646A" w14:textId="77777777" w:rsidR="00BD3E1D" w:rsidRPr="00BD3E1D" w:rsidRDefault="00BD3E1D" w:rsidP="0077338D">
      <w:pPr>
        <w:rPr>
          <w:rFonts w:ascii="Times New Roman" w:hAnsi="Times New Roman" w:cs="Times New Roman"/>
          <w:i/>
          <w:sz w:val="24"/>
        </w:rPr>
      </w:pPr>
      <w:r w:rsidRPr="00BD3E1D">
        <w:rPr>
          <w:rFonts w:ascii="Times New Roman" w:hAnsi="Times New Roman" w:cs="Times New Roman"/>
          <w:i/>
          <w:sz w:val="24"/>
        </w:rPr>
        <w:t>Quality Assessment of Case-Control Studies</w:t>
      </w:r>
    </w:p>
    <w:tbl>
      <w:tblPr>
        <w:tblW w:w="13698" w:type="dxa"/>
        <w:tblLook w:val="04A0" w:firstRow="1" w:lastRow="0" w:firstColumn="1" w:lastColumn="0" w:noHBand="0" w:noVBand="1"/>
      </w:tblPr>
      <w:tblGrid>
        <w:gridCol w:w="3574"/>
        <w:gridCol w:w="909"/>
        <w:gridCol w:w="746"/>
        <w:gridCol w:w="764"/>
        <w:gridCol w:w="909"/>
        <w:gridCol w:w="764"/>
        <w:gridCol w:w="909"/>
        <w:gridCol w:w="764"/>
        <w:gridCol w:w="764"/>
        <w:gridCol w:w="764"/>
        <w:gridCol w:w="1121"/>
        <w:gridCol w:w="855"/>
        <w:gridCol w:w="855"/>
      </w:tblGrid>
      <w:tr w:rsidR="00BD3E1D" w:rsidRPr="00BD3E1D" w14:paraId="7ECC7062" w14:textId="77777777" w:rsidTr="00BD3E1D">
        <w:trPr>
          <w:trHeight w:val="279"/>
        </w:trPr>
        <w:tc>
          <w:tcPr>
            <w:tcW w:w="0" w:type="auto"/>
            <w:tcBorders>
              <w:top w:val="single" w:sz="4" w:space="0" w:color="auto"/>
              <w:bottom w:val="single" w:sz="4" w:space="0" w:color="auto"/>
            </w:tcBorders>
            <w:vAlign w:val="center"/>
            <w:hideMark/>
          </w:tcPr>
          <w:p w14:paraId="70EA1870"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Name of the study</w:t>
            </w:r>
          </w:p>
        </w:tc>
        <w:tc>
          <w:tcPr>
            <w:tcW w:w="0" w:type="auto"/>
            <w:tcBorders>
              <w:top w:val="single" w:sz="4" w:space="0" w:color="auto"/>
              <w:bottom w:val="single" w:sz="4" w:space="0" w:color="auto"/>
            </w:tcBorders>
            <w:vAlign w:val="center"/>
            <w:hideMark/>
          </w:tcPr>
          <w:p w14:paraId="5FB86A09"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Q1</w:t>
            </w:r>
          </w:p>
        </w:tc>
        <w:tc>
          <w:tcPr>
            <w:tcW w:w="0" w:type="auto"/>
            <w:tcBorders>
              <w:top w:val="single" w:sz="4" w:space="0" w:color="auto"/>
              <w:bottom w:val="single" w:sz="4" w:space="0" w:color="auto"/>
            </w:tcBorders>
            <w:vAlign w:val="center"/>
            <w:hideMark/>
          </w:tcPr>
          <w:p w14:paraId="40C8C418"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Q2</w:t>
            </w:r>
          </w:p>
        </w:tc>
        <w:tc>
          <w:tcPr>
            <w:tcW w:w="0" w:type="auto"/>
            <w:tcBorders>
              <w:top w:val="single" w:sz="4" w:space="0" w:color="auto"/>
              <w:bottom w:val="single" w:sz="4" w:space="0" w:color="auto"/>
            </w:tcBorders>
            <w:vAlign w:val="center"/>
            <w:hideMark/>
          </w:tcPr>
          <w:p w14:paraId="7117AAFA"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Q3</w:t>
            </w:r>
          </w:p>
        </w:tc>
        <w:tc>
          <w:tcPr>
            <w:tcW w:w="0" w:type="auto"/>
            <w:tcBorders>
              <w:top w:val="single" w:sz="4" w:space="0" w:color="auto"/>
              <w:bottom w:val="single" w:sz="4" w:space="0" w:color="auto"/>
            </w:tcBorders>
            <w:vAlign w:val="center"/>
            <w:hideMark/>
          </w:tcPr>
          <w:p w14:paraId="340725FE"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Q4</w:t>
            </w:r>
          </w:p>
        </w:tc>
        <w:tc>
          <w:tcPr>
            <w:tcW w:w="0" w:type="auto"/>
            <w:tcBorders>
              <w:top w:val="single" w:sz="4" w:space="0" w:color="auto"/>
              <w:bottom w:val="single" w:sz="4" w:space="0" w:color="auto"/>
            </w:tcBorders>
            <w:vAlign w:val="center"/>
            <w:hideMark/>
          </w:tcPr>
          <w:p w14:paraId="11494DC7"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Q5</w:t>
            </w:r>
          </w:p>
        </w:tc>
        <w:tc>
          <w:tcPr>
            <w:tcW w:w="0" w:type="auto"/>
            <w:tcBorders>
              <w:top w:val="single" w:sz="4" w:space="0" w:color="auto"/>
              <w:bottom w:val="single" w:sz="4" w:space="0" w:color="auto"/>
            </w:tcBorders>
            <w:vAlign w:val="center"/>
            <w:hideMark/>
          </w:tcPr>
          <w:p w14:paraId="4439903A"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Q6</w:t>
            </w:r>
          </w:p>
        </w:tc>
        <w:tc>
          <w:tcPr>
            <w:tcW w:w="0" w:type="auto"/>
            <w:tcBorders>
              <w:top w:val="single" w:sz="4" w:space="0" w:color="auto"/>
              <w:bottom w:val="single" w:sz="4" w:space="0" w:color="auto"/>
            </w:tcBorders>
            <w:vAlign w:val="center"/>
            <w:hideMark/>
          </w:tcPr>
          <w:p w14:paraId="6F5EDF1A"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Q7</w:t>
            </w:r>
          </w:p>
        </w:tc>
        <w:tc>
          <w:tcPr>
            <w:tcW w:w="0" w:type="auto"/>
            <w:tcBorders>
              <w:top w:val="single" w:sz="4" w:space="0" w:color="auto"/>
              <w:bottom w:val="single" w:sz="4" w:space="0" w:color="auto"/>
            </w:tcBorders>
            <w:vAlign w:val="center"/>
            <w:hideMark/>
          </w:tcPr>
          <w:p w14:paraId="25A1E713"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Q8</w:t>
            </w:r>
          </w:p>
        </w:tc>
        <w:tc>
          <w:tcPr>
            <w:tcW w:w="0" w:type="auto"/>
            <w:tcBorders>
              <w:top w:val="single" w:sz="4" w:space="0" w:color="auto"/>
              <w:bottom w:val="single" w:sz="4" w:space="0" w:color="auto"/>
            </w:tcBorders>
            <w:vAlign w:val="center"/>
            <w:hideMark/>
          </w:tcPr>
          <w:p w14:paraId="4F2A9CD7"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Q9</w:t>
            </w:r>
          </w:p>
        </w:tc>
        <w:tc>
          <w:tcPr>
            <w:tcW w:w="1121" w:type="dxa"/>
            <w:tcBorders>
              <w:top w:val="single" w:sz="4" w:space="0" w:color="auto"/>
              <w:bottom w:val="single" w:sz="4" w:space="0" w:color="auto"/>
            </w:tcBorders>
            <w:vAlign w:val="center"/>
            <w:hideMark/>
          </w:tcPr>
          <w:p w14:paraId="30CFD540"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Q10</w:t>
            </w:r>
          </w:p>
        </w:tc>
        <w:tc>
          <w:tcPr>
            <w:tcW w:w="0" w:type="auto"/>
            <w:tcBorders>
              <w:top w:val="single" w:sz="4" w:space="0" w:color="auto"/>
              <w:bottom w:val="single" w:sz="4" w:space="0" w:color="auto"/>
            </w:tcBorders>
            <w:vAlign w:val="center"/>
            <w:hideMark/>
          </w:tcPr>
          <w:p w14:paraId="3034B65E"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Q11</w:t>
            </w:r>
          </w:p>
        </w:tc>
        <w:tc>
          <w:tcPr>
            <w:tcW w:w="0" w:type="auto"/>
            <w:tcBorders>
              <w:top w:val="single" w:sz="4" w:space="0" w:color="auto"/>
              <w:bottom w:val="single" w:sz="4" w:space="0" w:color="auto"/>
            </w:tcBorders>
            <w:vAlign w:val="center"/>
            <w:hideMark/>
          </w:tcPr>
          <w:p w14:paraId="7144FDE0"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Q12</w:t>
            </w:r>
          </w:p>
        </w:tc>
      </w:tr>
      <w:tr w:rsidR="00BD3E1D" w:rsidRPr="00BD3E1D" w14:paraId="4B91732E" w14:textId="77777777" w:rsidTr="00BD3E1D">
        <w:trPr>
          <w:trHeight w:val="279"/>
        </w:trPr>
        <w:tc>
          <w:tcPr>
            <w:tcW w:w="0" w:type="auto"/>
            <w:tcBorders>
              <w:top w:val="single" w:sz="4" w:space="0" w:color="auto"/>
            </w:tcBorders>
            <w:vAlign w:val="center"/>
          </w:tcPr>
          <w:p w14:paraId="0400631B" w14:textId="77777777" w:rsidR="00BD3E1D" w:rsidRPr="00BD3E1D" w:rsidRDefault="00BD3E1D" w:rsidP="00BD3E1D">
            <w:pPr>
              <w:spacing w:before="24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Alcazar et al., 2011</w:t>
            </w:r>
          </w:p>
        </w:tc>
        <w:tc>
          <w:tcPr>
            <w:tcW w:w="0" w:type="auto"/>
            <w:tcBorders>
              <w:top w:val="single" w:sz="4" w:space="0" w:color="auto"/>
            </w:tcBorders>
            <w:vAlign w:val="center"/>
          </w:tcPr>
          <w:p w14:paraId="1DE6ADE5"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top w:val="single" w:sz="4" w:space="0" w:color="auto"/>
            </w:tcBorders>
            <w:vAlign w:val="center"/>
          </w:tcPr>
          <w:p w14:paraId="35A9EEAD"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CD</w:t>
            </w:r>
          </w:p>
        </w:tc>
        <w:tc>
          <w:tcPr>
            <w:tcW w:w="0" w:type="auto"/>
            <w:tcBorders>
              <w:top w:val="single" w:sz="4" w:space="0" w:color="auto"/>
            </w:tcBorders>
            <w:vAlign w:val="center"/>
          </w:tcPr>
          <w:p w14:paraId="53363D6F"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top w:val="single" w:sz="4" w:space="0" w:color="auto"/>
            </w:tcBorders>
            <w:vAlign w:val="center"/>
          </w:tcPr>
          <w:p w14:paraId="62DFBC50"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top w:val="single" w:sz="4" w:space="0" w:color="auto"/>
            </w:tcBorders>
            <w:vAlign w:val="center"/>
          </w:tcPr>
          <w:p w14:paraId="3C4845F8"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top w:val="single" w:sz="4" w:space="0" w:color="auto"/>
            </w:tcBorders>
            <w:vAlign w:val="center"/>
          </w:tcPr>
          <w:p w14:paraId="3BB10D11"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top w:val="single" w:sz="4" w:space="0" w:color="auto"/>
            </w:tcBorders>
            <w:vAlign w:val="center"/>
          </w:tcPr>
          <w:p w14:paraId="124F1414"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top w:val="single" w:sz="4" w:space="0" w:color="auto"/>
            </w:tcBorders>
            <w:vAlign w:val="center"/>
          </w:tcPr>
          <w:p w14:paraId="7EC20101"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top w:val="single" w:sz="4" w:space="0" w:color="auto"/>
            </w:tcBorders>
            <w:vAlign w:val="center"/>
          </w:tcPr>
          <w:p w14:paraId="73AD76FA"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NA</w:t>
            </w:r>
          </w:p>
        </w:tc>
        <w:tc>
          <w:tcPr>
            <w:tcW w:w="1121" w:type="dxa"/>
            <w:tcBorders>
              <w:top w:val="single" w:sz="4" w:space="0" w:color="auto"/>
            </w:tcBorders>
            <w:vAlign w:val="center"/>
          </w:tcPr>
          <w:p w14:paraId="60BA3926"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top w:val="single" w:sz="4" w:space="0" w:color="auto"/>
            </w:tcBorders>
            <w:vAlign w:val="center"/>
          </w:tcPr>
          <w:p w14:paraId="632F4909"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NR</w:t>
            </w:r>
          </w:p>
        </w:tc>
        <w:tc>
          <w:tcPr>
            <w:tcW w:w="0" w:type="auto"/>
            <w:tcBorders>
              <w:top w:val="single" w:sz="4" w:space="0" w:color="auto"/>
            </w:tcBorders>
            <w:vAlign w:val="center"/>
          </w:tcPr>
          <w:p w14:paraId="2811BD21"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r>
      <w:tr w:rsidR="00BD3E1D" w:rsidRPr="00BD3E1D" w14:paraId="0B3AA71E" w14:textId="77777777" w:rsidTr="00BD3E1D">
        <w:trPr>
          <w:trHeight w:val="279"/>
        </w:trPr>
        <w:tc>
          <w:tcPr>
            <w:tcW w:w="0" w:type="auto"/>
            <w:tcBorders>
              <w:bottom w:val="single" w:sz="4" w:space="0" w:color="auto"/>
            </w:tcBorders>
            <w:vAlign w:val="center"/>
            <w:hideMark/>
          </w:tcPr>
          <w:p w14:paraId="25FC7D89" w14:textId="77777777" w:rsidR="00BD3E1D" w:rsidRPr="00BD3E1D" w:rsidRDefault="00BD3E1D" w:rsidP="00BD3E1D">
            <w:pPr>
              <w:spacing w:line="240" w:lineRule="auto"/>
              <w:rPr>
                <w:rFonts w:ascii="Times New Roman" w:eastAsia="Times New Roman" w:hAnsi="Times New Roman" w:cs="Times New Roman"/>
                <w:sz w:val="24"/>
                <w:szCs w:val="24"/>
                <w:lang w:eastAsia="en-GB"/>
              </w:rPr>
            </w:pPr>
            <w:proofErr w:type="spellStart"/>
            <w:r w:rsidRPr="00BD3E1D">
              <w:rPr>
                <w:rFonts w:ascii="Times New Roman" w:eastAsia="Times New Roman" w:hAnsi="Times New Roman" w:cs="Times New Roman"/>
                <w:sz w:val="24"/>
                <w:szCs w:val="24"/>
                <w:lang w:eastAsia="en-GB"/>
              </w:rPr>
              <w:t>Alcázar-Olán</w:t>
            </w:r>
            <w:proofErr w:type="spellEnd"/>
            <w:r w:rsidRPr="00BD3E1D">
              <w:rPr>
                <w:rFonts w:ascii="Times New Roman" w:eastAsia="Times New Roman" w:hAnsi="Times New Roman" w:cs="Times New Roman"/>
                <w:sz w:val="24"/>
                <w:szCs w:val="24"/>
                <w:lang w:eastAsia="en-GB"/>
              </w:rPr>
              <w:t xml:space="preserve"> et al., 2015</w:t>
            </w:r>
          </w:p>
        </w:tc>
        <w:tc>
          <w:tcPr>
            <w:tcW w:w="0" w:type="auto"/>
            <w:tcBorders>
              <w:bottom w:val="single" w:sz="4" w:space="0" w:color="auto"/>
            </w:tcBorders>
            <w:vAlign w:val="center"/>
            <w:hideMark/>
          </w:tcPr>
          <w:p w14:paraId="6268B1BB"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bottom w:val="single" w:sz="4" w:space="0" w:color="auto"/>
            </w:tcBorders>
            <w:vAlign w:val="center"/>
            <w:hideMark/>
          </w:tcPr>
          <w:p w14:paraId="65773F47"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CD</w:t>
            </w:r>
          </w:p>
        </w:tc>
        <w:tc>
          <w:tcPr>
            <w:tcW w:w="0" w:type="auto"/>
            <w:tcBorders>
              <w:bottom w:val="single" w:sz="4" w:space="0" w:color="auto"/>
            </w:tcBorders>
            <w:vAlign w:val="center"/>
            <w:hideMark/>
          </w:tcPr>
          <w:p w14:paraId="2AC379A9"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bottom w:val="single" w:sz="4" w:space="0" w:color="auto"/>
            </w:tcBorders>
            <w:vAlign w:val="center"/>
            <w:hideMark/>
          </w:tcPr>
          <w:p w14:paraId="281F0D55"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bottom w:val="single" w:sz="4" w:space="0" w:color="auto"/>
            </w:tcBorders>
            <w:vAlign w:val="center"/>
            <w:hideMark/>
          </w:tcPr>
          <w:p w14:paraId="4A4F2D8D"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bottom w:val="single" w:sz="4" w:space="0" w:color="auto"/>
            </w:tcBorders>
            <w:vAlign w:val="center"/>
            <w:hideMark/>
          </w:tcPr>
          <w:p w14:paraId="5A93527D"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bottom w:val="single" w:sz="4" w:space="0" w:color="auto"/>
            </w:tcBorders>
            <w:vAlign w:val="center"/>
            <w:hideMark/>
          </w:tcPr>
          <w:p w14:paraId="60D05E33"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bottom w:val="single" w:sz="4" w:space="0" w:color="auto"/>
            </w:tcBorders>
            <w:vAlign w:val="center"/>
            <w:hideMark/>
          </w:tcPr>
          <w:p w14:paraId="34BAADBC"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c>
          <w:tcPr>
            <w:tcW w:w="0" w:type="auto"/>
            <w:tcBorders>
              <w:bottom w:val="single" w:sz="4" w:space="0" w:color="auto"/>
            </w:tcBorders>
            <w:vAlign w:val="center"/>
            <w:hideMark/>
          </w:tcPr>
          <w:p w14:paraId="78A7CBA7"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NA</w:t>
            </w:r>
          </w:p>
        </w:tc>
        <w:tc>
          <w:tcPr>
            <w:tcW w:w="1121" w:type="dxa"/>
            <w:tcBorders>
              <w:bottom w:val="single" w:sz="4" w:space="0" w:color="auto"/>
            </w:tcBorders>
            <w:vAlign w:val="center"/>
            <w:hideMark/>
          </w:tcPr>
          <w:p w14:paraId="583CB503"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YES</w:t>
            </w:r>
          </w:p>
        </w:tc>
        <w:tc>
          <w:tcPr>
            <w:tcW w:w="0" w:type="auto"/>
            <w:tcBorders>
              <w:bottom w:val="single" w:sz="4" w:space="0" w:color="auto"/>
            </w:tcBorders>
            <w:vAlign w:val="center"/>
            <w:hideMark/>
          </w:tcPr>
          <w:p w14:paraId="2BF90AEF"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NR</w:t>
            </w:r>
          </w:p>
        </w:tc>
        <w:tc>
          <w:tcPr>
            <w:tcW w:w="0" w:type="auto"/>
            <w:tcBorders>
              <w:bottom w:val="single" w:sz="4" w:space="0" w:color="auto"/>
            </w:tcBorders>
            <w:vAlign w:val="center"/>
            <w:hideMark/>
          </w:tcPr>
          <w:p w14:paraId="0C253A4F" w14:textId="77777777" w:rsidR="00BD3E1D" w:rsidRPr="00BD3E1D" w:rsidRDefault="00BD3E1D" w:rsidP="00BD3E1D">
            <w:pPr>
              <w:spacing w:after="0" w:line="240" w:lineRule="auto"/>
              <w:rPr>
                <w:rFonts w:ascii="Times New Roman" w:eastAsia="Times New Roman" w:hAnsi="Times New Roman" w:cs="Times New Roman"/>
                <w:sz w:val="24"/>
                <w:szCs w:val="24"/>
                <w:lang w:eastAsia="en-GB"/>
              </w:rPr>
            </w:pPr>
            <w:r w:rsidRPr="00BD3E1D">
              <w:rPr>
                <w:rFonts w:ascii="Times New Roman" w:eastAsia="Times New Roman" w:hAnsi="Times New Roman" w:cs="Times New Roman"/>
                <w:sz w:val="24"/>
                <w:szCs w:val="24"/>
                <w:lang w:eastAsia="en-GB"/>
              </w:rPr>
              <w:t>NO</w:t>
            </w:r>
          </w:p>
        </w:tc>
      </w:tr>
    </w:tbl>
    <w:p w14:paraId="6429E923" w14:textId="77777777" w:rsidR="0077338D" w:rsidRPr="00BD3E1D" w:rsidRDefault="00BD3E1D" w:rsidP="00BD3E1D">
      <w:pPr>
        <w:jc w:val="both"/>
        <w:rPr>
          <w:rFonts w:ascii="Times New Roman" w:hAnsi="Times New Roman" w:cs="Times New Roman"/>
          <w:sz w:val="20"/>
        </w:rPr>
      </w:pPr>
      <w:r w:rsidRPr="00BD3E1D">
        <w:rPr>
          <w:rFonts w:ascii="Times New Roman" w:hAnsi="Times New Roman" w:cs="Times New Roman"/>
          <w:i/>
          <w:sz w:val="20"/>
        </w:rPr>
        <w:t xml:space="preserve">Note. </w:t>
      </w:r>
      <w:r w:rsidRPr="00BD3E1D">
        <w:rPr>
          <w:rFonts w:ascii="Times New Roman" w:hAnsi="Times New Roman" w:cs="Times New Roman"/>
          <w:sz w:val="20"/>
          <w:szCs w:val="20"/>
        </w:rPr>
        <w:t xml:space="preserve">Q1. Was the research question or objective in this paper clearly stated and </w:t>
      </w:r>
      <w:proofErr w:type="gramStart"/>
      <w:r w:rsidRPr="00BD3E1D">
        <w:rPr>
          <w:rFonts w:ascii="Times New Roman" w:hAnsi="Times New Roman" w:cs="Times New Roman"/>
          <w:sz w:val="20"/>
          <w:szCs w:val="20"/>
        </w:rPr>
        <w:t>appropriate?;</w:t>
      </w:r>
      <w:proofErr w:type="gramEnd"/>
      <w:r w:rsidRPr="00BD3E1D">
        <w:rPr>
          <w:rFonts w:ascii="Times New Roman" w:hAnsi="Times New Roman" w:cs="Times New Roman"/>
          <w:sz w:val="20"/>
          <w:szCs w:val="20"/>
        </w:rPr>
        <w:t xml:space="preserve"> Q2. </w:t>
      </w:r>
      <w:r w:rsidRPr="00BD3E1D">
        <w:rPr>
          <w:rFonts w:ascii="Times New Roman" w:hAnsi="Times New Roman" w:cs="Times New Roman"/>
          <w:color w:val="1F1F1F"/>
          <w:sz w:val="20"/>
          <w:szCs w:val="20"/>
          <w:shd w:val="clear" w:color="auto" w:fill="FFFFFF"/>
        </w:rPr>
        <w:t xml:space="preserve">Was the study population clearly specified and </w:t>
      </w:r>
      <w:proofErr w:type="gramStart"/>
      <w:r w:rsidRPr="00BD3E1D">
        <w:rPr>
          <w:rFonts w:ascii="Times New Roman" w:hAnsi="Times New Roman" w:cs="Times New Roman"/>
          <w:color w:val="1F1F1F"/>
          <w:sz w:val="20"/>
          <w:szCs w:val="20"/>
          <w:shd w:val="clear" w:color="auto" w:fill="FFFFFF"/>
        </w:rPr>
        <w:t>defined?;</w:t>
      </w:r>
      <w:proofErr w:type="gramEnd"/>
      <w:r w:rsidRPr="00BD3E1D">
        <w:rPr>
          <w:rFonts w:ascii="Times New Roman" w:hAnsi="Times New Roman" w:cs="Times New Roman"/>
          <w:color w:val="1F1F1F"/>
          <w:sz w:val="20"/>
          <w:szCs w:val="20"/>
          <w:shd w:val="clear" w:color="auto" w:fill="FFFFFF"/>
        </w:rPr>
        <w:t xml:space="preserve"> Q3. Did the authors include a sample size </w:t>
      </w:r>
      <w:proofErr w:type="gramStart"/>
      <w:r w:rsidRPr="00BD3E1D">
        <w:rPr>
          <w:rFonts w:ascii="Times New Roman" w:hAnsi="Times New Roman" w:cs="Times New Roman"/>
          <w:color w:val="1F1F1F"/>
          <w:sz w:val="20"/>
          <w:szCs w:val="20"/>
          <w:shd w:val="clear" w:color="auto" w:fill="FFFFFF"/>
        </w:rPr>
        <w:t>justification?;</w:t>
      </w:r>
      <w:proofErr w:type="gramEnd"/>
      <w:r w:rsidRPr="00BD3E1D">
        <w:rPr>
          <w:rFonts w:ascii="Times New Roman" w:hAnsi="Times New Roman" w:cs="Times New Roman"/>
          <w:color w:val="1F1F1F"/>
          <w:sz w:val="20"/>
          <w:szCs w:val="20"/>
          <w:shd w:val="clear" w:color="auto" w:fill="FFFFFF"/>
        </w:rPr>
        <w:t xml:space="preserve"> Q4. Were controls selected or recruited from the same or similar population that gave rise to the cases (including the same timeframe</w:t>
      </w:r>
      <w:proofErr w:type="gramStart"/>
      <w:r w:rsidRPr="00BD3E1D">
        <w:rPr>
          <w:rFonts w:ascii="Times New Roman" w:hAnsi="Times New Roman" w:cs="Times New Roman"/>
          <w:color w:val="1F1F1F"/>
          <w:sz w:val="20"/>
          <w:szCs w:val="20"/>
          <w:shd w:val="clear" w:color="auto" w:fill="FFFFFF"/>
        </w:rPr>
        <w:t>)?;</w:t>
      </w:r>
      <w:proofErr w:type="gramEnd"/>
      <w:r w:rsidRPr="00BD3E1D">
        <w:rPr>
          <w:rFonts w:ascii="Times New Roman" w:hAnsi="Times New Roman" w:cs="Times New Roman"/>
          <w:color w:val="1F1F1F"/>
          <w:sz w:val="20"/>
          <w:szCs w:val="20"/>
          <w:shd w:val="clear" w:color="auto" w:fill="FFFFFF"/>
        </w:rPr>
        <w:t xml:space="preserve"> Q5. Were the definitions, inclusion and exclusion criteria, algorithms or processes used to identify or select cases and controls valid, reliable, and implemented consistently across all study </w:t>
      </w:r>
      <w:proofErr w:type="gramStart"/>
      <w:r w:rsidRPr="00BD3E1D">
        <w:rPr>
          <w:rFonts w:ascii="Times New Roman" w:hAnsi="Times New Roman" w:cs="Times New Roman"/>
          <w:color w:val="1F1F1F"/>
          <w:sz w:val="20"/>
          <w:szCs w:val="20"/>
          <w:shd w:val="clear" w:color="auto" w:fill="FFFFFF"/>
        </w:rPr>
        <w:t>participants?;</w:t>
      </w:r>
      <w:proofErr w:type="gramEnd"/>
      <w:r w:rsidRPr="00BD3E1D">
        <w:rPr>
          <w:rFonts w:ascii="Times New Roman" w:hAnsi="Times New Roman" w:cs="Times New Roman"/>
          <w:color w:val="1F1F1F"/>
          <w:sz w:val="20"/>
          <w:szCs w:val="20"/>
          <w:shd w:val="clear" w:color="auto" w:fill="FFFFFF"/>
        </w:rPr>
        <w:t xml:space="preserve"> Q6. </w:t>
      </w:r>
      <w:r w:rsidRPr="00BD3E1D">
        <w:rPr>
          <w:rFonts w:ascii="Times New Roman" w:hAnsi="Times New Roman" w:cs="Times New Roman"/>
          <w:sz w:val="20"/>
          <w:szCs w:val="20"/>
        </w:rPr>
        <w:t xml:space="preserve">Were the cases clearly defined and differentiated from </w:t>
      </w:r>
      <w:proofErr w:type="gramStart"/>
      <w:r w:rsidRPr="00BD3E1D">
        <w:rPr>
          <w:rFonts w:ascii="Times New Roman" w:hAnsi="Times New Roman" w:cs="Times New Roman"/>
          <w:sz w:val="20"/>
          <w:szCs w:val="20"/>
        </w:rPr>
        <w:t>controls?;</w:t>
      </w:r>
      <w:proofErr w:type="gramEnd"/>
      <w:r w:rsidRPr="00BD3E1D">
        <w:rPr>
          <w:rFonts w:ascii="Times New Roman" w:hAnsi="Times New Roman" w:cs="Times New Roman"/>
          <w:sz w:val="20"/>
          <w:szCs w:val="20"/>
        </w:rPr>
        <w:t xml:space="preserve"> Q7. If less than 100 percent of eligible cases and/or controls were selected for the study, were the cases and/or controls randomly selected from those </w:t>
      </w:r>
      <w:proofErr w:type="gramStart"/>
      <w:r w:rsidRPr="00BD3E1D">
        <w:rPr>
          <w:rFonts w:ascii="Times New Roman" w:hAnsi="Times New Roman" w:cs="Times New Roman"/>
          <w:sz w:val="20"/>
          <w:szCs w:val="20"/>
        </w:rPr>
        <w:t>eligible?;</w:t>
      </w:r>
      <w:proofErr w:type="gramEnd"/>
      <w:r w:rsidRPr="00BD3E1D">
        <w:rPr>
          <w:rFonts w:ascii="Times New Roman" w:hAnsi="Times New Roman" w:cs="Times New Roman"/>
          <w:sz w:val="20"/>
          <w:szCs w:val="20"/>
        </w:rPr>
        <w:t xml:space="preserve"> Q8. Was there use of concurrent </w:t>
      </w:r>
      <w:proofErr w:type="gramStart"/>
      <w:r w:rsidRPr="00BD3E1D">
        <w:rPr>
          <w:rFonts w:ascii="Times New Roman" w:hAnsi="Times New Roman" w:cs="Times New Roman"/>
          <w:sz w:val="20"/>
          <w:szCs w:val="20"/>
        </w:rPr>
        <w:t>controls?;</w:t>
      </w:r>
      <w:proofErr w:type="gramEnd"/>
      <w:r w:rsidRPr="00BD3E1D">
        <w:rPr>
          <w:rFonts w:ascii="Times New Roman" w:hAnsi="Times New Roman" w:cs="Times New Roman"/>
          <w:sz w:val="20"/>
          <w:szCs w:val="20"/>
        </w:rPr>
        <w:t xml:space="preserve"> Q9. Were the investigators able to confirm that the exposure/risk occurred prior to the development of the condition or event that defined a participant as a </w:t>
      </w:r>
      <w:proofErr w:type="gramStart"/>
      <w:r w:rsidRPr="00BD3E1D">
        <w:rPr>
          <w:rFonts w:ascii="Times New Roman" w:hAnsi="Times New Roman" w:cs="Times New Roman"/>
          <w:sz w:val="20"/>
          <w:szCs w:val="20"/>
        </w:rPr>
        <w:t>case?;</w:t>
      </w:r>
      <w:proofErr w:type="gramEnd"/>
      <w:r w:rsidRPr="00BD3E1D">
        <w:rPr>
          <w:rFonts w:ascii="Times New Roman" w:hAnsi="Times New Roman" w:cs="Times New Roman"/>
          <w:sz w:val="20"/>
          <w:szCs w:val="20"/>
        </w:rPr>
        <w:t xml:space="preserve"> Q10. Were the measures of exposure/risk clearly defined, valid, reliable, and implemented consistently (including the same time period) across all study </w:t>
      </w:r>
      <w:proofErr w:type="gramStart"/>
      <w:r w:rsidRPr="00BD3E1D">
        <w:rPr>
          <w:rFonts w:ascii="Times New Roman" w:hAnsi="Times New Roman" w:cs="Times New Roman"/>
          <w:sz w:val="20"/>
          <w:szCs w:val="20"/>
        </w:rPr>
        <w:t>participants?;</w:t>
      </w:r>
      <w:proofErr w:type="gramEnd"/>
      <w:r w:rsidRPr="00BD3E1D">
        <w:rPr>
          <w:rFonts w:ascii="Times New Roman" w:hAnsi="Times New Roman" w:cs="Times New Roman"/>
          <w:sz w:val="20"/>
          <w:szCs w:val="20"/>
        </w:rPr>
        <w:t xml:space="preserve"> Q11. Were the assessors of exposure/risk blinded to the case or control status of </w:t>
      </w:r>
      <w:proofErr w:type="gramStart"/>
      <w:r w:rsidRPr="00BD3E1D">
        <w:rPr>
          <w:rFonts w:ascii="Times New Roman" w:hAnsi="Times New Roman" w:cs="Times New Roman"/>
          <w:sz w:val="20"/>
          <w:szCs w:val="20"/>
        </w:rPr>
        <w:t>participants?;</w:t>
      </w:r>
      <w:proofErr w:type="gramEnd"/>
      <w:r w:rsidRPr="00BD3E1D">
        <w:rPr>
          <w:rFonts w:ascii="Times New Roman" w:hAnsi="Times New Roman" w:cs="Times New Roman"/>
          <w:sz w:val="20"/>
          <w:szCs w:val="20"/>
        </w:rPr>
        <w:t xml:space="preserve"> Q12. </w:t>
      </w:r>
      <w:r w:rsidRPr="00BD3E1D">
        <w:rPr>
          <w:rFonts w:ascii="Times New Roman" w:hAnsi="Times New Roman" w:cs="Times New Roman"/>
          <w:color w:val="1F1F1F"/>
          <w:sz w:val="20"/>
          <w:szCs w:val="20"/>
          <w:shd w:val="clear" w:color="auto" w:fill="FFFFFF"/>
        </w:rPr>
        <w:t>Were key potential confounding variables measured and adjusted statistically in the analyses? If matching was used, did the investigators account for matching during study analysis?</w:t>
      </w:r>
    </w:p>
    <w:p w14:paraId="36E1C93E" w14:textId="77777777" w:rsidR="0077338D" w:rsidRDefault="0077338D" w:rsidP="0077338D"/>
    <w:p w14:paraId="0EF22E16" w14:textId="77777777" w:rsidR="0077338D" w:rsidRDefault="0077338D" w:rsidP="0077338D"/>
    <w:p w14:paraId="7BDEBE4E" w14:textId="77777777" w:rsidR="0077338D" w:rsidRDefault="0077338D" w:rsidP="0077338D"/>
    <w:p w14:paraId="2B37BF02" w14:textId="77777777" w:rsidR="0077338D" w:rsidRDefault="0077338D" w:rsidP="0077338D"/>
    <w:p w14:paraId="14A76F32" w14:textId="77777777" w:rsidR="0077338D" w:rsidRDefault="0077338D" w:rsidP="0077338D"/>
    <w:p w14:paraId="76617EDE" w14:textId="77777777" w:rsidR="0077338D" w:rsidRDefault="0077338D" w:rsidP="0077338D"/>
    <w:p w14:paraId="154D0336" w14:textId="77777777" w:rsidR="0077338D" w:rsidRPr="0077338D" w:rsidRDefault="0077338D" w:rsidP="0077338D"/>
    <w:sectPr w:rsidR="0077338D" w:rsidRPr="0077338D" w:rsidSect="0077338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8D"/>
    <w:rsid w:val="00170E40"/>
    <w:rsid w:val="001A4675"/>
    <w:rsid w:val="002160D7"/>
    <w:rsid w:val="00335386"/>
    <w:rsid w:val="0042380E"/>
    <w:rsid w:val="00477B84"/>
    <w:rsid w:val="00633034"/>
    <w:rsid w:val="006D0315"/>
    <w:rsid w:val="0077338D"/>
    <w:rsid w:val="009A1511"/>
    <w:rsid w:val="00A263E4"/>
    <w:rsid w:val="00A854EC"/>
    <w:rsid w:val="00B73739"/>
    <w:rsid w:val="00BD3E1D"/>
    <w:rsid w:val="00DA4DE9"/>
    <w:rsid w:val="00F23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3711"/>
  <w15:chartTrackingRefBased/>
  <w15:docId w15:val="{89900556-D420-43B4-A060-61A8E90B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E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645980">
      <w:bodyDiv w:val="1"/>
      <w:marLeft w:val="0"/>
      <w:marRight w:val="0"/>
      <w:marTop w:val="0"/>
      <w:marBottom w:val="0"/>
      <w:divBdr>
        <w:top w:val="none" w:sz="0" w:space="0" w:color="auto"/>
        <w:left w:val="none" w:sz="0" w:space="0" w:color="auto"/>
        <w:bottom w:val="none" w:sz="0" w:space="0" w:color="auto"/>
        <w:right w:val="none" w:sz="0" w:space="0" w:color="auto"/>
      </w:divBdr>
    </w:div>
    <w:div w:id="941835231">
      <w:bodyDiv w:val="1"/>
      <w:marLeft w:val="0"/>
      <w:marRight w:val="0"/>
      <w:marTop w:val="0"/>
      <w:marBottom w:val="0"/>
      <w:divBdr>
        <w:top w:val="none" w:sz="0" w:space="0" w:color="auto"/>
        <w:left w:val="none" w:sz="0" w:space="0" w:color="auto"/>
        <w:bottom w:val="none" w:sz="0" w:space="0" w:color="auto"/>
        <w:right w:val="none" w:sz="0" w:space="0" w:color="auto"/>
      </w:divBdr>
    </w:div>
    <w:div w:id="202416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dc:creator>
  <cp:keywords/>
  <dc:description/>
  <cp:lastModifiedBy>Andrei Miu</cp:lastModifiedBy>
  <cp:revision>2</cp:revision>
  <dcterms:created xsi:type="dcterms:W3CDTF">2025-02-07T16:33:00Z</dcterms:created>
  <dcterms:modified xsi:type="dcterms:W3CDTF">2025-02-07T16:33:00Z</dcterms:modified>
</cp:coreProperties>
</file>